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Papel de trabajo — Auditoría de Compras No Comerciales</w:t>
      </w:r>
    </w:p>
    <w:p>
      <w:pPr>
        <w:pStyle w:val="Heading2"/>
      </w:pPr>
      <w:r>
        <w:t>Tarea 3.2: Revisión de aprobaciones de pedidos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A. García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12/05/2026</w:t>
            </w:r>
          </w:p>
        </w:tc>
      </w:tr>
      <w:tr>
        <w:tc>
          <w:tcPr>
            <w:tcW w:type="dxa" w:w="4320"/>
          </w:tcPr>
          <w:p>
            <w:r>
              <w:t>Ref. Pentana</w:t>
            </w:r>
          </w:p>
        </w:tc>
        <w:tc>
          <w:tcPr>
            <w:tcW w:type="dxa" w:w="4320"/>
          </w:tcPr>
          <w:p>
            <w:r>
              <w:t>CNC-2026-03/T3.2</w:t>
            </w:r>
          </w:p>
        </w:tc>
      </w:tr>
    </w:tbl>
    <w:p>
      <w:pPr>
        <w:pStyle w:val="Heading3"/>
      </w:pPr>
      <w:r>
        <w:t>Prueba realizada</w:t>
      </w:r>
    </w:p>
    <w:p>
      <w:r>
        <w:t>Se ha seleccionado una muestra de 45 pedidos de compra superiores a 10.000 € emitidos entre enero y marzo de 2026. Para cada pedido se ha verificado: (i) existencia de aprobación previa conforme a la matriz de delegación de facultades vigente; (ii) segregación entre solicitante y aprobador; (iii) existencia de tres ofertas comparativas cuando el importe supera 30.000 €.</w:t>
      </w:r>
    </w:p>
    <w:p>
      <w:pPr>
        <w:pStyle w:val="Heading3"/>
      </w:pPr>
      <w:r>
        <w:t>Resultados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Ref.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  <w:tc>
          <w:tcPr>
            <w:tcW w:type="dxa" w:w="2880"/>
          </w:tcPr>
          <w:p>
            <w:r>
              <w:t>Evidencia</w:t>
            </w:r>
          </w:p>
        </w:tc>
      </w:tr>
      <w:tr>
        <w:tc>
          <w:tcPr>
            <w:tcW w:type="dxa" w:w="2880"/>
          </w:tcPr>
          <w:p>
            <w:r>
              <w:t>R1</w:t>
            </w:r>
          </w:p>
        </w:tc>
        <w:tc>
          <w:tcPr>
            <w:tcW w:type="dxa" w:w="2880"/>
          </w:tcPr>
          <w:p>
            <w:r>
              <w:t>En 6 de los 45 pedidos (13%) la aprobación se registró en el sistema con posterioridad a la fecha de emisión del pedido al proveedor.</w:t>
            </w:r>
          </w:p>
        </w:tc>
        <w:tc>
          <w:tcPr>
            <w:tcW w:type="dxa" w:w="2880"/>
          </w:tcPr>
          <w:p>
            <w:r>
              <w:t>Anexo E1</w:t>
            </w:r>
          </w:p>
        </w:tc>
      </w:tr>
      <w:tr>
        <w:tc>
          <w:tcPr>
            <w:tcW w:type="dxa" w:w="2880"/>
          </w:tcPr>
          <w:p>
            <w:r>
              <w:t>R2</w:t>
            </w:r>
          </w:p>
        </w:tc>
        <w:tc>
          <w:tcPr>
            <w:tcW w:type="dxa" w:w="2880"/>
          </w:tcPr>
          <w:p>
            <w:r>
              <w:t>En 2 pedidos el aprobador coincidía con el solicitante, debido a una delegación temporal de permisos durante vacaciones que no fue revertida.</w:t>
            </w:r>
          </w:p>
        </w:tc>
        <w:tc>
          <w:tcPr>
            <w:tcW w:type="dxa" w:w="2880"/>
          </w:tcPr>
          <w:p>
            <w:r>
              <w:t>Anexo E2</w:t>
            </w:r>
          </w:p>
        </w:tc>
      </w:tr>
      <w:tr>
        <w:tc>
          <w:tcPr>
            <w:tcW w:type="dxa" w:w="2880"/>
          </w:tcPr>
          <w:p>
            <w:r>
              <w:t>R3</w:t>
            </w:r>
          </w:p>
        </w:tc>
        <w:tc>
          <w:tcPr>
            <w:tcW w:type="dxa" w:w="2880"/>
          </w:tcPr>
          <w:p>
            <w:r>
              <w:t>En 3 de los 12 pedidos superiores a 30.000 € no consta la documentación de las tres ofertas comparativas en el expediente.</w:t>
            </w:r>
          </w:p>
        </w:tc>
        <w:tc>
          <w:tcPr>
            <w:tcW w:type="dxa" w:w="2880"/>
          </w:tcPr>
          <w:p>
            <w:r>
              <w:t>Anexo E3</w:t>
            </w:r>
          </w:p>
        </w:tc>
      </w:tr>
    </w:tbl>
    <w:p>
      <w:pPr>
        <w:pStyle w:val="Heading3"/>
      </w:pPr>
      <w:r>
        <w:t>Comentarios del área auditada</w:t>
      </w:r>
    </w:p>
    <w:p>
      <w:r>
        <w:t>El área indica que los 6 casos de aprobación posterior corresponden a pedidos urgentes de mantenimiento y que existe un correo previo del responsable, aunque fuera del sistema. Reconocen que la reversión de permisos tras vacaciones se gestiona manualmente.</w:t>
      </w:r>
    </w:p>
    <w:p>
      <w:pPr>
        <w:pStyle w:val="Heading3"/>
      </w:pPr>
      <w:r>
        <w:t>Evidencias</w:t>
      </w:r>
    </w:p>
    <w:p>
      <w:pPr>
        <w:pStyle w:val="ListBullet"/>
      </w:pPr>
      <w:r>
        <w:t>Extracto del módulo de compras (Anexo E1)</w:t>
      </w:r>
    </w:p>
    <w:p>
      <w:pPr>
        <w:pStyle w:val="ListBullet"/>
      </w:pPr>
      <w:r>
        <w:t>Matriz de delegación de facultades v4.2 (Anexo E2)</w:t>
      </w:r>
    </w:p>
    <w:p>
      <w:pPr>
        <w:pStyle w:val="ListBullet"/>
      </w:pPr>
      <w:r>
        <w:t>Expedientes de los pedidos de la muestra (Anexo E3)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