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MAXENT</w:t>
      </w:r>
      <w:r>
        <w:t xml:space="preserve"> </w:t>
      </w:r>
      <w:r>
        <w:t xml:space="preserve">PREDICTIVE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GRASSLAND</w:t>
      </w:r>
      <w:r>
        <w:t xml:space="preserve"> </w:t>
      </w:r>
      <w:r>
        <w:t xml:space="preserve">HUNTER-GATHERER</w:t>
      </w:r>
      <w:r>
        <w:t xml:space="preserve"> </w:t>
      </w:r>
      <w:r>
        <w:t xml:space="preserve">SITES</w:t>
      </w:r>
    </w:p>
    <w:p>
      <w:pPr>
        <w:pStyle w:val="Subtitle"/>
      </w:pPr>
      <w:r>
        <w:t xml:space="preserve">–</w:t>
      </w:r>
      <w:r>
        <w:t xml:space="preserve"> </w:t>
      </w:r>
      <w:r>
        <w:t xml:space="preserve">ODMAP</w:t>
      </w:r>
      <w:r>
        <w:t xml:space="preserve"> </w:t>
      </w:r>
      <w:r>
        <w:t xml:space="preserve">Protocol</w:t>
      </w:r>
      <w:r>
        <w:t xml:space="preserve"> </w:t>
      </w:r>
      <w:r>
        <w:t xml:space="preserve">–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Rafuse</w:t>
      </w:r>
    </w:p>
    <w:p>
      <w:pPr>
        <w:pStyle w:val="Date"/>
      </w:pPr>
      <w:r>
        <w:t xml:space="preserve">2021-01-11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overview"/>
      <w:bookmarkEnd w:id="21"/>
      <w:r>
        <w:t xml:space="preserve">Overview</w:t>
      </w:r>
    </w:p>
    <w:p>
      <w:pPr>
        <w:pStyle w:val="Heading4"/>
      </w:pPr>
      <w:bookmarkStart w:id="22" w:name="authorship"/>
      <w:bookmarkEnd w:id="22"/>
      <w:r>
        <w:t xml:space="preserve">Authorship</w:t>
      </w:r>
    </w:p>
    <w:p>
      <w:pPr>
        <w:pStyle w:val="FirstParagraph"/>
      </w:pPr>
      <w:r>
        <w:t xml:space="preserve">Contact :</w:t>
      </w:r>
      <w:r>
        <w:t xml:space="preserve"> </w:t>
      </w:r>
      <w:hyperlink r:id="rId23">
        <w:r>
          <w:rPr>
            <w:rStyle w:val="Hyperlink"/>
          </w:rPr>
          <w:t xml:space="preserve">drafuse@soc.unicen.edu.ar</w:t>
        </w:r>
      </w:hyperlink>
    </w:p>
    <w:p>
      <w:pPr>
        <w:pStyle w:val="BodyText"/>
      </w:pPr>
      <w:r>
        <w:t xml:space="preserve">Study link:</w:t>
      </w:r>
      <w:r>
        <w:t xml:space="preserve"> </w:t>
      </w:r>
      <w:hyperlink r:id="rId24">
        <w:r>
          <w:rPr>
            <w:rStyle w:val="Hyperlink"/>
          </w:rPr>
          <w:t xml:space="preserve">https://github.com/drafuse</w:t>
        </w:r>
      </w:hyperlink>
    </w:p>
    <w:p>
      <w:pPr>
        <w:pStyle w:val="Heading4"/>
      </w:pPr>
      <w:bookmarkStart w:id="25" w:name="model-objective"/>
      <w:bookmarkEnd w:id="25"/>
      <w:r>
        <w:t xml:space="preserve">Model objective</w:t>
      </w:r>
    </w:p>
    <w:p>
      <w:pPr>
        <w:pStyle w:val="FirstParagraph"/>
      </w:pPr>
      <w:r>
        <w:t xml:space="preserve">Model objective: Forecast and transfer</w:t>
      </w:r>
    </w:p>
    <w:p>
      <w:pPr>
        <w:pStyle w:val="BodyText"/>
      </w:pPr>
      <w:r>
        <w:t xml:space="preserve">Target output: The main target output are archaeology sites.</w:t>
      </w:r>
    </w:p>
    <w:p>
      <w:pPr>
        <w:pStyle w:val="Heading4"/>
      </w:pPr>
      <w:bookmarkStart w:id="26" w:name="focal-taxon"/>
      <w:bookmarkEnd w:id="26"/>
      <w:r>
        <w:t xml:space="preserve">Focal Taxon</w:t>
      </w:r>
    </w:p>
    <w:p>
      <w:pPr>
        <w:pStyle w:val="FirstParagraph"/>
      </w:pPr>
      <w:r>
        <w:t xml:space="preserve">Focal Taxon: Hunter-gatherer archaeology sites with associated radiocarbon dates.</w:t>
      </w:r>
    </w:p>
    <w:p>
      <w:pPr>
        <w:pStyle w:val="Heading4"/>
      </w:pPr>
      <w:bookmarkStart w:id="27" w:name="location"/>
      <w:bookmarkEnd w:id="27"/>
      <w:r>
        <w:t xml:space="preserve">Location</w:t>
      </w:r>
    </w:p>
    <w:p>
      <w:pPr>
        <w:pStyle w:val="FirstParagraph"/>
      </w:pPr>
      <w:r>
        <w:t xml:space="preserve">Location: Southeastern Pampas, Argentina</w:t>
      </w:r>
    </w:p>
    <w:p>
      <w:pPr>
        <w:pStyle w:val="Heading4"/>
      </w:pPr>
      <w:bookmarkStart w:id="28" w:name="scale-of-analysis"/>
      <w:bookmarkEnd w:id="28"/>
      <w:r>
        <w:t xml:space="preserve">Scale of Analysis</w:t>
      </w:r>
    </w:p>
    <w:p>
      <w:pPr>
        <w:pStyle w:val="FirstParagraph"/>
      </w:pPr>
      <w:r>
        <w:t xml:space="preserve">Spatial extent: -57.5, -63, -36.5, -39 (xmin, xmax, ymin, ymax)</w:t>
      </w:r>
    </w:p>
    <w:p>
      <w:pPr>
        <w:pStyle w:val="BodyText"/>
      </w:pPr>
      <w:r>
        <w:t xml:space="preserve">Spatial resolution: 124,740 km square.</w:t>
      </w:r>
    </w:p>
    <w:p>
      <w:pPr>
        <w:pStyle w:val="BodyText"/>
      </w:pPr>
      <w:r>
        <w:t xml:space="preserve">Temporal extent: 12,240 to 470 radiocarbon years BP.</w:t>
      </w:r>
    </w:p>
    <w:p>
      <w:pPr>
        <w:pStyle w:val="BodyText"/>
      </w:pPr>
      <w:r>
        <w:t xml:space="preserve">Temporal resolution: Approximately 40 years of professional archaeological survey.</w:t>
      </w:r>
    </w:p>
    <w:p>
      <w:pPr>
        <w:pStyle w:val="BodyText"/>
      </w:pPr>
      <w:r>
        <w:t xml:space="preserve">Boundary: rectangle</w:t>
      </w:r>
    </w:p>
    <w:p>
      <w:pPr>
        <w:pStyle w:val="Heading4"/>
      </w:pPr>
      <w:bookmarkStart w:id="29" w:name="biodiversity-data"/>
      <w:bookmarkEnd w:id="29"/>
      <w:r>
        <w:t xml:space="preserve">Biodiversity data</w:t>
      </w:r>
    </w:p>
    <w:p>
      <w:pPr>
        <w:pStyle w:val="FirstParagraph"/>
      </w:pPr>
      <w:r>
        <w:t xml:space="preserve">Observation type: field survey</w:t>
      </w:r>
    </w:p>
    <w:p>
      <w:pPr>
        <w:pStyle w:val="BodyText"/>
      </w:pPr>
      <w:r>
        <w:t xml:space="preserve">Response data type: presence-only</w:t>
      </w:r>
    </w:p>
    <w:p>
      <w:pPr>
        <w:pStyle w:val="Heading4"/>
      </w:pPr>
      <w:bookmarkStart w:id="30" w:name="predictors"/>
      <w:bookmarkEnd w:id="30"/>
      <w:r>
        <w:t xml:space="preserve">Predictors</w:t>
      </w:r>
    </w:p>
    <w:p>
      <w:pPr>
        <w:pStyle w:val="FirstParagraph"/>
      </w:pPr>
      <w:r>
        <w:t xml:space="preserve">Predictor types: habitat, topographic</w:t>
      </w:r>
    </w:p>
    <w:p>
      <w:pPr>
        <w:pStyle w:val="Heading4"/>
      </w:pPr>
      <w:bookmarkStart w:id="31" w:name="hypotheses"/>
      <w:bookmarkEnd w:id="31"/>
      <w:r>
        <w:t xml:space="preserve">Hypotheses</w:t>
      </w:r>
    </w:p>
    <w:p>
      <w:pPr>
        <w:pStyle w:val="FirstParagraph"/>
      </w:pPr>
      <w:r>
        <w:t xml:space="preserve">Hypotheses: If human behavior is modeled with respect to the natural and social environment, therefore we can predict the location of hunter-gatherer archaeological sites based on physical factors that remained stable over extended periods of time.</w:t>
      </w:r>
    </w:p>
    <w:p>
      <w:pPr>
        <w:pStyle w:val="Heading4"/>
      </w:pPr>
      <w:bookmarkStart w:id="32" w:name="assumptions"/>
      <w:bookmarkEnd w:id="32"/>
      <w:r>
        <w:t xml:space="preserve">Assumptions</w:t>
      </w:r>
    </w:p>
    <w:p>
      <w:pPr>
        <w:pStyle w:val="FirstParagraph"/>
      </w:pPr>
      <w:r>
        <w:t xml:space="preserve">Model assumptions: The enviromental predictors are measured (or estimated) without error.</w:t>
      </w:r>
    </w:p>
    <w:p>
      <w:pPr>
        <w:pStyle w:val="Heading4"/>
      </w:pPr>
      <w:bookmarkStart w:id="33" w:name="algorithms"/>
      <w:bookmarkEnd w:id="33"/>
      <w:r>
        <w:t xml:space="preserve">Algorithms</w:t>
      </w:r>
    </w:p>
    <w:p>
      <w:pPr>
        <w:pStyle w:val="FirstParagraph"/>
      </w:pPr>
      <w:r>
        <w:t xml:space="preserve">Modelling techniques: maxent</w:t>
      </w:r>
    </w:p>
    <w:p>
      <w:pPr>
        <w:pStyle w:val="BodyText"/>
      </w:pPr>
      <w:r>
        <w:t xml:space="preserve">Model complexity: MaxEnt models were built with linear and quadratic features only.</w:t>
      </w:r>
    </w:p>
    <w:p>
      <w:pPr>
        <w:pStyle w:val="BodyText"/>
      </w:pPr>
      <w:r>
        <w:t xml:space="preserve">Model averaging: 30 replicates were run.</w:t>
      </w:r>
    </w:p>
    <w:p>
      <w:pPr>
        <w:pStyle w:val="Heading4"/>
      </w:pPr>
      <w:bookmarkStart w:id="34" w:name="workflow"/>
      <w:bookmarkEnd w:id="34"/>
      <w:r>
        <w:t xml:space="preserve">Workflow</w:t>
      </w:r>
    </w:p>
    <w:p>
      <w:pPr>
        <w:pStyle w:val="FirstParagraph"/>
      </w:pPr>
      <w:r>
        <w:t xml:space="preserve">Model workflow: All enviormental predictors were processed at a 3 arc second (approximately 90-meter) cell size.</w:t>
      </w:r>
    </w:p>
    <w:p>
      <w:pPr>
        <w:pStyle w:val="Heading4"/>
      </w:pPr>
      <w:bookmarkStart w:id="35" w:name="software"/>
      <w:bookmarkEnd w:id="35"/>
      <w:r>
        <w:t xml:space="preserve">Software</w:t>
      </w:r>
    </w:p>
    <w:p>
      <w:pPr>
        <w:pStyle w:val="FirstParagraph"/>
      </w:pPr>
      <w:r>
        <w:t xml:space="preserve">Software: Maxent Version 3.4.3, November 2020; ENMTools Version 1.3, August 2020; QGIS Version 3.16.0-Hannover, October 2020.</w:t>
      </w:r>
    </w:p>
    <w:p>
      <w:pPr>
        <w:pStyle w:val="BodyText"/>
      </w:pPr>
      <w:r>
        <w:t xml:space="preserve">Code availability:</w:t>
      </w:r>
      <w:r>
        <w:t xml:space="preserve"> </w:t>
      </w:r>
      <w:hyperlink r:id="rId24">
        <w:r>
          <w:rPr>
            <w:rStyle w:val="Hyperlink"/>
          </w:rPr>
          <w:t xml:space="preserve">https://github.com/drafuse</w:t>
        </w:r>
      </w:hyperlink>
    </w:p>
    <w:p>
      <w:pPr>
        <w:pStyle w:val="BodyText"/>
      </w:pPr>
      <w:r>
        <w:t xml:space="preserve">Data availability:</w:t>
      </w:r>
      <w:r>
        <w:t xml:space="preserve"> </w:t>
      </w:r>
      <w:hyperlink r:id="rId24">
        <w:r>
          <w:rPr>
            <w:rStyle w:val="Hyperlink"/>
          </w:rPr>
          <w:t xml:space="preserve">https://github.com/drafuse</w:t>
        </w:r>
      </w:hyperlink>
    </w:p>
    <w:p>
      <w:pPr>
        <w:pStyle w:val="Heading2"/>
      </w:pPr>
      <w:bookmarkStart w:id="36" w:name="data"/>
      <w:bookmarkEnd w:id="36"/>
      <w:r>
        <w:t xml:space="preserve">Data</w:t>
      </w:r>
    </w:p>
    <w:p>
      <w:pPr>
        <w:pStyle w:val="Heading4"/>
      </w:pPr>
      <w:bookmarkStart w:id="37" w:name="biodiversity-data-1"/>
      <w:bookmarkEnd w:id="37"/>
      <w:r>
        <w:t xml:space="preserve">Biodiversity data</w:t>
      </w:r>
    </w:p>
    <w:p>
      <w:pPr>
        <w:pStyle w:val="FirstParagraph"/>
      </w:pPr>
      <w:r>
        <w:t xml:space="preserve">Taxon names: Homo sapiens.</w:t>
      </w:r>
    </w:p>
    <w:p>
      <w:pPr>
        <w:pStyle w:val="BodyText"/>
      </w:pPr>
      <w:r>
        <w:t xml:space="preserve">Taxonomic reference system: Hunter-gatherers.</w:t>
      </w:r>
    </w:p>
    <w:p>
      <w:pPr>
        <w:pStyle w:val="BodyText"/>
      </w:pPr>
      <w:r>
        <w:t xml:space="preserve">Ecological level: populations</w:t>
      </w:r>
    </w:p>
    <w:p>
      <w:pPr>
        <w:pStyle w:val="BodyText"/>
      </w:pPr>
      <w:r>
        <w:t xml:space="preserve">Data sources: See references in database.</w:t>
      </w:r>
    </w:p>
    <w:p>
      <w:pPr>
        <w:pStyle w:val="BodyText"/>
      </w:pPr>
      <w:r>
        <w:t xml:space="preserve">Sampling design: Stratified (only sites with radiocarbon dates).</w:t>
      </w:r>
    </w:p>
    <w:p>
      <w:pPr>
        <w:pStyle w:val="BodyText"/>
      </w:pPr>
      <w:r>
        <w:t xml:space="preserve">Sample size: 66 sites.</w:t>
      </w:r>
    </w:p>
    <w:p>
      <w:pPr>
        <w:pStyle w:val="BodyText"/>
      </w:pPr>
      <w:r>
        <w:t xml:space="preserve">Clipping: Southeastern Pampas, Argentina.</w:t>
      </w:r>
    </w:p>
    <w:p>
      <w:pPr>
        <w:pStyle w:val="BodyText"/>
      </w:pPr>
      <w:r>
        <w:t xml:space="preserve">Scaling: All data (raster and vector) was clipped to study area.</w:t>
      </w:r>
    </w:p>
    <w:p>
      <w:pPr>
        <w:pStyle w:val="BodyText"/>
      </w:pPr>
      <w:r>
        <w:t xml:space="preserve">Cleaning: Redundant records that occur in a single cell were randomly eliminated (total = 10 sites).</w:t>
      </w:r>
    </w:p>
    <w:p>
      <w:pPr>
        <w:pStyle w:val="BodyText"/>
      </w:pPr>
      <w:r>
        <w:t xml:space="preserve">Absence data: No absence data was used in this model.</w:t>
      </w:r>
    </w:p>
    <w:p>
      <w:pPr>
        <w:pStyle w:val="BodyText"/>
      </w:pPr>
      <w:r>
        <w:t xml:space="preserve">Background data: Bias grid file was built by deriving a kernel density estimation map.</w:t>
      </w:r>
    </w:p>
    <w:p>
      <w:pPr>
        <w:pStyle w:val="BodyText"/>
      </w:pPr>
      <w:r>
        <w:t xml:space="preserve">Errors and biases: Some geo-referencing errors are likely in sites recorded before the regular use of GPS.</w:t>
      </w:r>
    </w:p>
    <w:p>
      <w:pPr>
        <w:pStyle w:val="Heading4"/>
      </w:pPr>
      <w:bookmarkStart w:id="38" w:name="data-partitioning"/>
      <w:bookmarkEnd w:id="38"/>
      <w:r>
        <w:t xml:space="preserve">Data partitioning</w:t>
      </w:r>
    </w:p>
    <w:p>
      <w:pPr>
        <w:pStyle w:val="FirstParagraph"/>
      </w:pPr>
      <w:r>
        <w:t xml:space="preserve">Training data: 2 to 3 presence records.</w:t>
      </w:r>
    </w:p>
    <w:p>
      <w:pPr>
        <w:pStyle w:val="BodyText"/>
      </w:pPr>
      <w:r>
        <w:t xml:space="preserve">Validation data: Crossvalidate.</w:t>
      </w:r>
    </w:p>
    <w:p>
      <w:pPr>
        <w:pStyle w:val="BodyText"/>
      </w:pPr>
      <w:r>
        <w:t xml:space="preserve">Test data: Known field survey data from three localities.</w:t>
      </w:r>
    </w:p>
    <w:p>
      <w:pPr>
        <w:pStyle w:val="Heading4"/>
      </w:pPr>
      <w:bookmarkStart w:id="39" w:name="predictor-variables"/>
      <w:bookmarkEnd w:id="39"/>
      <w:r>
        <w:t xml:space="preserve">Predictor variables</w:t>
      </w:r>
    </w:p>
    <w:p>
      <w:pPr>
        <w:pStyle w:val="FirstParagraph"/>
      </w:pPr>
      <w:r>
        <w:t xml:space="preserve">Predictor variables: Digital Elevation Model (DEM); Slope; Aspect; Topographic Wetness Index (TWI); Watercourse; Bodies of water; Tool source.</w:t>
      </w:r>
    </w:p>
    <w:p>
      <w:pPr>
        <w:pStyle w:val="BodyText"/>
      </w:pPr>
      <w:r>
        <w:t xml:space="preserve">Data sources: Digital Elevation Model (DEM): STRM 3 arc second void-filled raster (</w:t>
      </w:r>
      <w:hyperlink r:id="rId40">
        <w:r>
          <w:rPr>
            <w:rStyle w:val="Hyperlink"/>
          </w:rPr>
          <w:t xml:space="preserve">https://earthexplorer.usgs.gov/</w:t>
        </w:r>
      </w:hyperlink>
      <w:r>
        <w:t xml:space="preserve">). Slope, aspect and TWI derived from DEM. Watercourses, bodies of water from IGN (</w:t>
      </w:r>
      <w:hyperlink r:id="rId41">
        <w:r>
          <w:rPr>
            <w:rStyle w:val="Hyperlink"/>
          </w:rPr>
          <w:t xml:space="preserve">https://www.ign.gob.ar/</w:t>
        </w:r>
      </w:hyperlink>
      <w:r>
        <w:t xml:space="preserve">). Tool source from SegemAR (</w:t>
      </w:r>
      <w:hyperlink r:id="rId42">
        <w:r>
          <w:rPr>
            <w:rStyle w:val="Hyperlink"/>
          </w:rPr>
          <w:t xml:space="preserve">http://www.segemar.gov.ar/institucional/</w:t>
        </w:r>
      </w:hyperlink>
      <w:r>
        <w:t xml:space="preserve">) and DEM.</w:t>
      </w:r>
    </w:p>
    <w:p>
      <w:pPr>
        <w:pStyle w:val="BodyText"/>
      </w:pPr>
      <w:r>
        <w:t xml:space="preserve">Spatial extent: -57.5000, -63.0000, -36.5000, -39.000 (xmin, xmax, ymin, ymax)</w:t>
      </w:r>
    </w:p>
    <w:p>
      <w:pPr>
        <w:pStyle w:val="BodyText"/>
      </w:pPr>
      <w:r>
        <w:t xml:space="preserve">Spatial resolution: 3 arc second.</w:t>
      </w:r>
    </w:p>
    <w:p>
      <w:pPr>
        <w:pStyle w:val="BodyText"/>
      </w:pPr>
      <w:r>
        <w:t xml:space="preserve">Coordinate reference system: WGS 1984, EPSG:4326.</w:t>
      </w:r>
    </w:p>
    <w:p>
      <w:pPr>
        <w:pStyle w:val="BodyText"/>
      </w:pPr>
      <w:r>
        <w:t xml:space="preserve">Temporal extent: Most recent data was downloaded.</w:t>
      </w:r>
    </w:p>
    <w:p>
      <w:pPr>
        <w:pStyle w:val="BodyText"/>
      </w:pPr>
      <w:r>
        <w:t xml:space="preserve">Temporal resolution: For raster data (3 arc second).</w:t>
      </w:r>
    </w:p>
    <w:p>
      <w:pPr>
        <w:pStyle w:val="BodyText"/>
      </w:pPr>
      <w:r>
        <w:t xml:space="preserve">Data processing: For watercourses, bodies of water, and tool source; a Euclidean Distance was calulated in QGIS and normalized (matrix 0-1).</w:t>
      </w:r>
    </w:p>
    <w:p>
      <w:pPr>
        <w:pStyle w:val="BodyText"/>
      </w:pPr>
      <w:r>
        <w:t xml:space="preserve">Errors and biases: Kernel density estimation map (Eligh et al. 2010) of the archaeological site locations, with a maximum radius of 10 km.</w:t>
      </w:r>
    </w:p>
    <w:p>
      <w:pPr>
        <w:pStyle w:val="BodyText"/>
      </w:pPr>
      <w:r>
        <w:t xml:space="preserve">Dimension reduction: No dimension reduction.</w:t>
      </w:r>
    </w:p>
    <w:p>
      <w:pPr>
        <w:pStyle w:val="Heading4"/>
      </w:pPr>
      <w:bookmarkStart w:id="43" w:name="transfer-data"/>
      <w:bookmarkEnd w:id="43"/>
      <w:r>
        <w:t xml:space="preserve">Transfer data</w:t>
      </w:r>
    </w:p>
    <w:p>
      <w:pPr>
        <w:pStyle w:val="FirstParagraph"/>
      </w:pPr>
      <w:r>
        <w:t xml:space="preserve">Data sources: Not applicable.</w:t>
      </w:r>
    </w:p>
    <w:p>
      <w:pPr>
        <w:pStyle w:val="BodyText"/>
      </w:pPr>
      <w:r>
        <w:t xml:space="preserve">Spatial extent: Not applicable., Not applicable., Not applicable., Not applicable. (xmin, xmax, ymin, ymax)</w:t>
      </w:r>
    </w:p>
    <w:p>
      <w:pPr>
        <w:pStyle w:val="BodyText"/>
      </w:pPr>
      <w:r>
        <w:t xml:space="preserve">Spatial resolution: Not applicable.</w:t>
      </w:r>
    </w:p>
    <w:p>
      <w:pPr>
        <w:pStyle w:val="BodyText"/>
      </w:pPr>
      <w:r>
        <w:t xml:space="preserve">Temporal extent: Not applicable.</w:t>
      </w:r>
    </w:p>
    <w:p>
      <w:pPr>
        <w:pStyle w:val="BodyText"/>
      </w:pPr>
      <w:r>
        <w:t xml:space="preserve">Temporal resolution: None.</w:t>
      </w:r>
    </w:p>
    <w:p>
      <w:pPr>
        <w:pStyle w:val="BodyText"/>
      </w:pPr>
      <w:r>
        <w:t xml:space="preserve">Models and scenarios: Not applicable.</w:t>
      </w:r>
    </w:p>
    <w:p>
      <w:pPr>
        <w:pStyle w:val="BodyText"/>
      </w:pPr>
      <w:r>
        <w:t xml:space="preserve">Data processing: None.</w:t>
      </w:r>
    </w:p>
    <w:p>
      <w:pPr>
        <w:pStyle w:val="BodyText"/>
      </w:pPr>
      <w:r>
        <w:t xml:space="preserve">Quantification of Novelty: Not applicable.</w:t>
      </w:r>
    </w:p>
    <w:p>
      <w:pPr>
        <w:pStyle w:val="Heading2"/>
      </w:pPr>
      <w:bookmarkStart w:id="44" w:name="model"/>
      <w:bookmarkEnd w:id="44"/>
      <w:r>
        <w:t xml:space="preserve">Model</w:t>
      </w:r>
    </w:p>
    <w:p>
      <w:pPr>
        <w:pStyle w:val="Heading4"/>
      </w:pPr>
      <w:bookmarkStart w:id="45" w:name="variable-pre-selection"/>
      <w:bookmarkEnd w:id="45"/>
      <w:r>
        <w:t xml:space="preserve">Variable pre-selection</w:t>
      </w:r>
    </w:p>
    <w:p>
      <w:pPr>
        <w:pStyle w:val="FirstParagraph"/>
      </w:pPr>
      <w:r>
        <w:t xml:space="preserve">Variable pre-selection: Physical factors that remained stable over extended periods of time.</w:t>
      </w:r>
    </w:p>
    <w:p>
      <w:pPr>
        <w:pStyle w:val="Heading4"/>
      </w:pPr>
      <w:bookmarkStart w:id="46" w:name="multicollinearity"/>
      <w:bookmarkEnd w:id="46"/>
      <w:r>
        <w:t xml:space="preserve">Multicollinearity</w:t>
      </w:r>
    </w:p>
    <w:p>
      <w:pPr>
        <w:pStyle w:val="FirstParagraph"/>
      </w:pPr>
      <w:r>
        <w:t xml:space="preserve">Multicollinearity: Multicollinearity between predictors was investigated using ENMTools Correlation (Pearson correlation coefficient). All variables were uncorrelated (r &lt; 0.99).</w:t>
      </w:r>
    </w:p>
    <w:p>
      <w:pPr>
        <w:pStyle w:val="Heading4"/>
      </w:pPr>
      <w:bookmarkStart w:id="47" w:name="model-settings"/>
      <w:bookmarkEnd w:id="47"/>
      <w:r>
        <w:t xml:space="preserve">Model settings</w:t>
      </w:r>
    </w:p>
    <w:p>
      <w:pPr>
        <w:pStyle w:val="FirstParagraph"/>
      </w:pPr>
      <w:r>
        <w:t xml:space="preserve">maxent: featureSet (linear and quadratic), regularizationMultiplierSet (0.75 ), convergenceThresholdSet (0.00001), samplingBiasRule (kernel density estimation map), background points (10,000), replicates (30), maximum iterations (500), default prevalence (0.5), random test percentage (0, cross-validation)</w:t>
      </w:r>
    </w:p>
    <w:p>
      <w:pPr>
        <w:pStyle w:val="BodyText"/>
      </w:pPr>
      <w:r>
        <w:t xml:space="preserve">Model settings (extrapolation): No extrapolation.</w:t>
      </w:r>
    </w:p>
    <w:p>
      <w:pPr>
        <w:pStyle w:val="Heading4"/>
      </w:pPr>
      <w:bookmarkStart w:id="48" w:name="model-estimates"/>
      <w:bookmarkEnd w:id="48"/>
      <w:r>
        <w:t xml:space="preserve">Model estimates</w:t>
      </w:r>
    </w:p>
    <w:p>
      <w:pPr>
        <w:pStyle w:val="FirstParagraph"/>
      </w:pPr>
      <w:r>
        <w:t xml:space="preserve">Coefficients: Cross-validation.</w:t>
      </w:r>
    </w:p>
    <w:p>
      <w:pPr>
        <w:pStyle w:val="BodyText"/>
      </w:pPr>
      <w:r>
        <w:t xml:space="preserve">Parameter uncertainty: No quantification of uncertainty.</w:t>
      </w:r>
    </w:p>
    <w:p>
      <w:pPr>
        <w:pStyle w:val="BodyText"/>
      </w:pPr>
      <w:r>
        <w:t xml:space="preserve">Variable importance: Percent contribution and Permutation importance</w:t>
      </w:r>
    </w:p>
    <w:p>
      <w:pPr>
        <w:pStyle w:val="Heading4"/>
      </w:pPr>
      <w:bookmarkStart w:id="49" w:name="model-selection---model-averaging---ensembles"/>
      <w:bookmarkEnd w:id="49"/>
      <w:r>
        <w:t xml:space="preserve">Model selection - model averaging - ensembles</w:t>
      </w:r>
    </w:p>
    <w:p>
      <w:pPr>
        <w:pStyle w:val="FirstParagraph"/>
      </w:pPr>
      <w:r>
        <w:t xml:space="preserve">Model selection: Parameter with the lowest AICc value.</w:t>
      </w:r>
    </w:p>
    <w:p>
      <w:pPr>
        <w:pStyle w:val="BodyText"/>
      </w:pPr>
      <w:r>
        <w:t xml:space="preserve">Model averaging: point-wise mean and standard deviation</w:t>
      </w:r>
    </w:p>
    <w:p>
      <w:pPr>
        <w:pStyle w:val="Heading4"/>
      </w:pPr>
      <w:bookmarkStart w:id="50" w:name="analysis-and-correction-of-non-independence"/>
      <w:bookmarkEnd w:id="50"/>
      <w:r>
        <w:t xml:space="preserve">Analysis and Correction of non-independence</w:t>
      </w:r>
    </w:p>
    <w:p>
      <w:pPr>
        <w:pStyle w:val="FirstParagraph"/>
      </w:pPr>
      <w:r>
        <w:t xml:space="preserve">Spatial autocorrelation: None</w:t>
      </w:r>
    </w:p>
    <w:p>
      <w:pPr>
        <w:pStyle w:val="Heading4"/>
      </w:pPr>
      <w:bookmarkStart w:id="51" w:name="threshold-selection"/>
      <w:bookmarkEnd w:id="51"/>
      <w:r>
        <w:t xml:space="preserve">Threshold selection</w:t>
      </w:r>
    </w:p>
    <w:p>
      <w:pPr>
        <w:pStyle w:val="FirstParagraph"/>
      </w:pPr>
      <w:r>
        <w:t xml:space="preserve">Threshold selection: Not applicable.</w:t>
      </w:r>
    </w:p>
    <w:p>
      <w:pPr>
        <w:pStyle w:val="Heading2"/>
      </w:pPr>
      <w:bookmarkStart w:id="52" w:name="assessment"/>
      <w:bookmarkEnd w:id="52"/>
      <w:r>
        <w:t xml:space="preserve">Assessment</w:t>
      </w:r>
    </w:p>
    <w:p>
      <w:pPr>
        <w:pStyle w:val="Heading4"/>
      </w:pPr>
      <w:bookmarkStart w:id="53" w:name="performance-statistics"/>
      <w:bookmarkEnd w:id="53"/>
      <w:r>
        <w:t xml:space="preserve">Performance statistics</w:t>
      </w:r>
    </w:p>
    <w:p>
      <w:pPr>
        <w:pStyle w:val="FirstParagraph"/>
      </w:pPr>
      <w:r>
        <w:t xml:space="preserve">Performance on training data: AIC, AUC</w:t>
      </w:r>
    </w:p>
    <w:p>
      <w:pPr>
        <w:pStyle w:val="BodyText"/>
      </w:pPr>
      <w:r>
        <w:t xml:space="preserve">Performance on validation data: AIC, AUC</w:t>
      </w:r>
    </w:p>
    <w:p>
      <w:pPr>
        <w:pStyle w:val="BodyText"/>
      </w:pPr>
      <w:r>
        <w:t xml:space="preserve">Performance on test data: AIC, AUC</w:t>
      </w:r>
    </w:p>
    <w:p>
      <w:pPr>
        <w:pStyle w:val="Heading4"/>
      </w:pPr>
      <w:bookmarkStart w:id="54" w:name="plausibility-check"/>
      <w:bookmarkEnd w:id="54"/>
      <w:r>
        <w:t xml:space="preserve">Plausibility check</w:t>
      </w:r>
    </w:p>
    <w:p>
      <w:pPr>
        <w:pStyle w:val="FirstParagraph"/>
      </w:pPr>
      <w:r>
        <w:t xml:space="preserve">Response shapes: Response curves and inspecting the mapped predictions.</w:t>
      </w:r>
    </w:p>
    <w:p>
      <w:pPr>
        <w:pStyle w:val="BodyText"/>
      </w:pPr>
      <w:r>
        <w:t xml:space="preserve">Expert judgement: Mapped predictions.</w:t>
      </w:r>
    </w:p>
    <w:p>
      <w:pPr>
        <w:pStyle w:val="Heading2"/>
      </w:pPr>
      <w:bookmarkStart w:id="55" w:name="prediction"/>
      <w:bookmarkEnd w:id="55"/>
      <w:r>
        <w:t xml:space="preserve">Prediction</w:t>
      </w:r>
    </w:p>
    <w:p>
      <w:pPr>
        <w:pStyle w:val="Heading4"/>
      </w:pPr>
      <w:bookmarkStart w:id="56" w:name="prediction-output"/>
      <w:bookmarkEnd w:id="56"/>
      <w:r>
        <w:t xml:space="preserve">Prediction output</w:t>
      </w:r>
    </w:p>
    <w:p>
      <w:pPr>
        <w:pStyle w:val="FirstParagraph"/>
      </w:pPr>
      <w:r>
        <w:t xml:space="preserve">Prediction unit: Point-wise mean and standard deviation of the 30 output grids.</w:t>
      </w:r>
    </w:p>
    <w:p>
      <w:pPr>
        <w:pStyle w:val="BodyText"/>
      </w:pPr>
      <w:r>
        <w:t xml:space="preserve">Post-processing: None.</w:t>
      </w:r>
    </w:p>
    <w:p>
      <w:pPr>
        <w:pStyle w:val="Heading4"/>
      </w:pPr>
      <w:bookmarkStart w:id="57" w:name="uncertainty-quantification"/>
      <w:bookmarkEnd w:id="57"/>
      <w:r>
        <w:t xml:space="preserve">Uncertainty quantification</w:t>
      </w:r>
    </w:p>
    <w:p>
      <w:pPr>
        <w:pStyle w:val="FirstParagraph"/>
      </w:pPr>
      <w:r>
        <w:t xml:space="preserve">Algorithmic uncertainty: None.</w:t>
      </w:r>
    </w:p>
    <w:p>
      <w:pPr>
        <w:pStyle w:val="BodyText"/>
      </w:pPr>
      <w:r>
        <w:t xml:space="preserve">Input data uncertainty: None.</w:t>
      </w:r>
    </w:p>
    <w:p>
      <w:pPr>
        <w:pStyle w:val="BodyText"/>
      </w:pPr>
      <w:r>
        <w:t xml:space="preserve">Parameter uncertainty: None.</w:t>
      </w:r>
    </w:p>
    <w:p>
      <w:pPr>
        <w:pStyle w:val="BodyText"/>
      </w:pPr>
      <w:r>
        <w:t xml:space="preserve">Scenario uncertainty: None.</w:t>
      </w:r>
    </w:p>
    <w:p>
      <w:pPr>
        <w:pStyle w:val="BodyText"/>
      </w:pPr>
      <w:r>
        <w:t xml:space="preserve">Novel environments: None.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907d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www.segemar.gov.ar/institucional/" TargetMode="External" /><Relationship Type="http://schemas.openxmlformats.org/officeDocument/2006/relationships/hyperlink" Id="rId40" Target="https://earthexplorer.usgs.gov/" TargetMode="External" /><Relationship Type="http://schemas.openxmlformats.org/officeDocument/2006/relationships/hyperlink" Id="rId24" Target="https://github.com/drafuse" TargetMode="External" /><Relationship Type="http://schemas.openxmlformats.org/officeDocument/2006/relationships/hyperlink" Id="rId41" Target="https://www.ign.gob.ar/" TargetMode="External" /><Relationship Type="http://schemas.openxmlformats.org/officeDocument/2006/relationships/hyperlink" Id="rId23" Target="mailto:drafuse@soc.unicen.edu.a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www.segemar.gov.ar/institucional/" TargetMode="External" /><Relationship Type="http://schemas.openxmlformats.org/officeDocument/2006/relationships/hyperlink" Id="rId40" Target="https://earthexplorer.usgs.gov/" TargetMode="External" /><Relationship Type="http://schemas.openxmlformats.org/officeDocument/2006/relationships/hyperlink" Id="rId24" Target="https://github.com/drafuse" TargetMode="External" /><Relationship Type="http://schemas.openxmlformats.org/officeDocument/2006/relationships/hyperlink" Id="rId41" Target="https://www.ign.gob.ar/" TargetMode="External" /><Relationship Type="http://schemas.openxmlformats.org/officeDocument/2006/relationships/hyperlink" Id="rId23" Target="mailto:drafuse@soc.unicen.edu.a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MAXENT PREDICTIVE MODEL FOR GRASSLAND HUNTER-GATHERER SITES</dc:title>
  <dc:creator>Daniel Rafuse</dc:creator>
  <dcterms:created xsi:type="dcterms:W3CDTF">2021-01-11T15:14:25Z</dcterms:created>
  <dcterms:modified xsi:type="dcterms:W3CDTF">2021-01-11T15:14:25Z</dcterms:modified>
</cp:coreProperties>
</file>