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Optical Chemical Structure Recognition (OCSR):</w:t>
        <w:br/>
        <w:t>CNN-GRU Image-to-SMILES Baseline and Dataset Extension Plan</w:t>
      </w:r>
    </w:p>
    <w:p>
      <w:pPr>
        <w:jc w:val="center"/>
      </w:pPr>
      <w:r>
        <w:rPr>
          <w:sz w:val="22"/>
        </w:rPr>
        <w:t>Christopher Le</w:t>
        <w:br/>
        <w:t>CSC 6850 - Machine Learning</w:t>
        <w:br/>
        <w:t>Spring 2026</w:t>
        <w:br/>
        <w:t>Draft Final Report</w:t>
      </w:r>
    </w:p>
    <w:p/>
    <w:p>
      <w:pPr>
        <w:pStyle w:val="Heading1"/>
      </w:pPr>
      <w:r>
        <w:rPr>
          <w:color w:val="1F4E79"/>
        </w:rPr>
        <w:t>Abstract</w:t>
      </w:r>
    </w:p>
    <w:p>
      <w:pPr>
        <w:spacing w:after="120" w:line="259" w:lineRule="auto"/>
      </w:pPr>
      <w:r>
        <w:t>OCSR, or Optical Chemical Structure Recognition, is the translation of chemical structure images into machine readable formats such as SMILES strings or molecular graphs. These formats preserve structural chemical information including ring systems, stereochemistry, atom types, bonds, and functional patterns. This project began as an application-based comparison of CNN-based, Transformer-based, and graph-based OCSR approaches. After implementation and feedback, the scope was tightened into a working CNN-GRU image-to-sequence baseline that uses a convolutional neural network encoder to read molecular images and a GRU decoder to generate SMILES tokens. The current implementation uses a PubChem-derived dataset of 400 rendered molecular images with an 80/20 train/test split. Hyperparameter experiments were run across learning rate and GRU hidden dimension. The best current run reached 0.7258 train token accuracy and 0.6932 test token accuracy, but exact SMILES match and canonical match remained 0.0. This shows that the model is learning local sequence patterns, but complete chemically correct SMILES generation is still a difficult problem.</w:t>
      </w:r>
    </w:p>
    <w:p>
      <w:pPr>
        <w:pStyle w:val="Heading1"/>
      </w:pPr>
      <w:r>
        <w:rPr>
          <w:color w:val="1F4E79"/>
        </w:rPr>
        <w:t>1. Introduction</w:t>
      </w:r>
    </w:p>
    <w:p>
      <w:pPr>
        <w:spacing w:after="120" w:line="259" w:lineRule="auto"/>
      </w:pPr>
      <w:r>
        <w:t>Chemical structures are often represented as diagrams in papers, databases, patents, and hand-drawn notes. These images are readable to a person, but they are not directly usable for machine learning, database search, or chemical analysis. OCSR attempts to convert those images into machine-readable representations such as SMILES strings or molecular graphs. This problem is challenging because a chemical image does not just contain visual lines and letters. The model has to identify atoms, bonds, rings, charges, stereochemistry, and larger patterns that chemists recognize as structural meaning.</w:t>
      </w:r>
    </w:p>
    <w:p>
      <w:pPr>
        <w:spacing w:after="120" w:line="259" w:lineRule="auto"/>
      </w:pPr>
      <w:r>
        <w:t>My original goal was to compare three categories of models: a CNN-based model, a Transformer-based model inspired by SwinOCSR, and a graph/detection-based model inspired by atom-level OCSR. The original plan also included testing across PubChem, EPA CompTox, and DECIMER hand-drawn molecule images. This was a strong direction, but it was also too ambitious to fully implement from scratch as a solo project. The current project narrows the scope while keeping the main idea: build a working OCSR-style model, evaluate it carefully, and explain what the results show.</w:t>
      </w:r>
    </w:p>
    <w:p>
      <w:pPr>
        <w:spacing w:after="120" w:line="259" w:lineRule="auto"/>
      </w:pPr>
      <w:r>
        <w:t>The main contribution so far is a custom CNN-GRU image-to-SMILES sequence baseline. The CNN encoder processes the molecule image and converts it into learned visual features. The GRU decoder then uses those features to generate a SMILES string one token at a time. This is not a full SwinOCSR reproduction, but it matches the image-to-sequence idea more closely than a closed-set CNN classifier.</w:t>
      </w:r>
    </w:p>
    <w:p>
      <w:pPr>
        <w:pStyle w:val="Heading1"/>
      </w:pPr>
      <w:r>
        <w:rPr>
          <w:color w:val="1F4E79"/>
        </w:rPr>
        <w:t>2. Related Work</w:t>
      </w:r>
    </w:p>
    <w:p>
      <w:pPr>
        <w:spacing w:after="120" w:line="259" w:lineRule="auto"/>
      </w:pPr>
      <w:r>
        <w:t>SwinOCSR by Xu et al. uses a Swin Transformer based encoder-decoder approach for end-to-end chemical structure recognition. The key idea from that paper that applies to this project is that OCSR should be treated as a sequence generation problem rather than only an image classification problem. The input is an image, and the output is a structured chemical string.</w:t>
      </w:r>
    </w:p>
    <w:p>
      <w:pPr>
        <w:spacing w:after="120" w:line="259" w:lineRule="auto"/>
      </w:pPr>
      <w:r>
        <w:t>Atom-level OCSR by Oldenhof et al. takes a different direction. Instead of generating SMILES directly, it focuses on detecting atoms and reconstructing the molecular graph. This is closer to how a person might reason about a chemical drawing: identify atoms, identify bonds, then assemble the graph. This project does not implement that graph-based model, but it remains important related work and a future direction.</w:t>
      </w:r>
    </w:p>
    <w:p>
      <w:pPr>
        <w:spacing w:after="120" w:line="259" w:lineRule="auto"/>
      </w:pPr>
      <w:r>
        <w:t>DECIMER hand-drawn molecule images are also relevant because they represent a harder evaluation setting. The dataset contains hand-drawn depictions that introduce variation in line quality, spacing, and drawing style. EPA CompTox is relevant because it provides another source of structured chemical data that can be compared against PubChem. These external datasets would help test whether the model is learning general OCSR behavior or only fitting one rendered dataset style.</w:t>
      </w:r>
    </w:p>
    <w:p>
      <w:pPr>
        <w:pStyle w:val="Heading1"/>
      </w:pPr>
      <w:r>
        <w:rPr>
          <w:color w:val="1F4E79"/>
        </w:rPr>
        <w:t>3. Methodology</w:t>
      </w:r>
    </w:p>
    <w:p>
      <w:pPr>
        <w:pStyle w:val="Heading2"/>
      </w:pPr>
      <w:r>
        <w:rPr>
          <w:color w:val="1F4E79"/>
        </w:rPr>
        <w:t>3.1 Scope Change</w:t>
      </w:r>
    </w:p>
    <w:p>
      <w:pPr>
        <w:spacing w:after="120" w:line="259" w:lineRule="auto"/>
      </w:pPr>
      <w:r>
        <w:t>The first implementation attempt treated each unique SMILES string as a class label. This meant the CNN predicted one of the known molecules in the dataset. That was useful as a starting point, but it was not true OCSR. If the model only chooses between known labels, it cannot generate a new SMILES string for a molecule it has never seen. That result helped clarify the modeling problem.</w:t>
      </w:r>
    </w:p>
    <w:p>
      <w:pPr>
        <w:spacing w:after="120" w:line="259" w:lineRule="auto"/>
      </w:pPr>
      <w:r>
        <w:t>The active implementation is now an image-to-sequence model. It still uses a CNN, but the CNN is not the final classifier. Instead, the CNN acts as an encoder that extracts visual features from the image. Those features initialize a GRU decoder, which predicts the SMILES string token by token.</w:t>
      </w:r>
    </w:p>
    <w:p>
      <w:pPr>
        <w:pStyle w:val="Heading2"/>
      </w:pPr>
      <w:r>
        <w:rPr>
          <w:color w:val="1F4E79"/>
        </w:rPr>
        <w:t>3.2 CNN-GRU Model</w:t>
      </w:r>
    </w:p>
    <w:p>
      <w:pPr>
        <w:spacing w:after="120" w:line="259" w:lineRule="auto"/>
      </w:pPr>
      <w:r>
        <w:t>The current model has four main pieces: image preprocessing, CNN encoder, SMILES tokenizer, and GRU decoder. Images are resized to 224 x 224 and converted into tensors. The CNN encoder reads the image and produces a feature vector. The tokenizer converts the target SMILES into tokens, including special START, END, PAD, and UNK tokens. The GRU decoder receives the visual feature vector and previous SMILES tokens, then predicts the next token.</w:t>
      </w:r>
    </w:p>
    <w:p>
      <w:pPr>
        <w:spacing w:after="120" w:line="259" w:lineRule="auto"/>
      </w:pPr>
      <w:r>
        <w:t>A GRU, or Gated Recurrent Unit, is a recurrent neural network layer that uses gates to decide what information to keep and what information to update. This matters for SMILES because the output is a sequence. A token near the beginning of the string can affect what should happen later, especially with branches, rings, and parentheses. The update gate controls how much old information is kept versus replaced, and the reset gate controls how much previous context is used when forming a new candidate memory. In simple terms, the CNN reads the image, and the GRU writes the chemical string while remembering sequence context.</w:t>
      </w:r>
    </w:p>
    <w:p>
      <w:pPr>
        <w:pStyle w:val="Heading2"/>
      </w:pPr>
      <w:r>
        <w:rPr>
          <w:color w:val="1F4E79"/>
        </w:rPr>
        <w:t>3.3 Training Process</w:t>
      </w:r>
    </w:p>
    <w:p>
      <w:pPr>
        <w:spacing w:after="120" w:line="259" w:lineRule="auto"/>
      </w:pPr>
      <w:r>
        <w:t>The model is trained using supervised learning. During training, the model receives an image and the correct previous SMILES tokens. This is called teacher forcing. The target is the next SMILES token at each sequence position. CrossEntropyLoss is used while ignoring PAD tokens, and Adam is used as the optimizer. Each epoch is one full pass over the training dataset. During each batch, the image passes through the CNN, the sequence passes through the GRU, loss is computed, and the CNN and GRU weights are updated together.</w:t>
      </w:r>
    </w:p>
    <w:p>
      <w:pPr>
        <w:pStyle w:val="Heading1"/>
      </w:pPr>
      <w:r>
        <w:rPr>
          <w:color w:val="1F4E79"/>
        </w:rPr>
        <w:t>4. Datasets and Processing</w:t>
      </w:r>
    </w:p>
    <w:p>
      <w:pPr>
        <w:pStyle w:val="Heading2"/>
      </w:pPr>
      <w:r>
        <w:rPr>
          <w:color w:val="1F4E79"/>
        </w:rPr>
        <w:t>4.1 PubChem Dataset</w:t>
      </w:r>
    </w:p>
    <w:p>
      <w:pPr>
        <w:spacing w:after="120" w:line="259" w:lineRule="auto"/>
      </w:pPr>
      <w:r>
        <w:t>The current completed dataset is a PubChem-derived dataset. PubChem was selected first because it provides reproducible chemical structures and SMILES labels. A subset of 400 compounds was downloaded using the PubChem API. RDKit was then used to generate standardized 2D molecule images from the SMILES strings. The final dataset uses the following format: images are stored in data/pubchem/images, and labels are stored in data/pubchem/labels.csv.</w:t>
      </w:r>
    </w:p>
    <w:p>
      <w:pPr>
        <w:spacing w:after="120" w:line="259" w:lineRule="auto"/>
      </w:pPr>
      <w:r>
        <w:t>The data was split into 320 training samples and 80 testing samples using an 80/20 split with a fixed random seed of 42. This makes the split reproducible. The model is evaluated on the held-out test set after training.</w:t>
      </w:r>
    </w:p>
    <w:p>
      <w:pPr>
        <w:pStyle w:val="ListBullet"/>
        <w:spacing w:after="60"/>
      </w:pPr>
      <w:r>
        <w:t>PubChem: completed; 400 images with 320 train and 80 test samples; main training and evaluation dataset.</w:t>
      </w:r>
    </w:p>
    <w:p>
      <w:pPr>
        <w:pStyle w:val="ListBullet"/>
        <w:spacing w:after="60"/>
      </w:pPr>
      <w:r>
        <w:t>EPA CompTox: planned; external structured-data comparison once converted into the same image/SMILES format.</w:t>
      </w:r>
    </w:p>
    <w:p>
      <w:pPr>
        <w:pStyle w:val="ListBullet"/>
        <w:spacing w:after="60"/>
      </w:pPr>
      <w:r>
        <w:t>DECIMER: planned; hand-drawn out-of-domain challenge using a subset of the 5088-image dataset.</w:t>
      </w:r>
    </w:p>
    <w:p>
      <w:pPr>
        <w:pStyle w:val="Heading2"/>
      </w:pPr>
      <w:r>
        <w:rPr>
          <w:color w:val="1F4E79"/>
        </w:rPr>
        <w:t>4.2 Starting EPA and DECIMER</w:t>
      </w:r>
    </w:p>
    <w:p>
      <w:pPr>
        <w:spacing w:after="120" w:line="259" w:lineRule="auto"/>
      </w:pPr>
      <w:r>
        <w:t>The next datasets should be added by converting them into the same folder format already used by PubChem. The most important step is not to change the model first. The cleanest approach is to make EPA and DECIMER look like PubChem from the code perspective.</w:t>
      </w:r>
    </w:p>
    <w:p>
      <w:pPr>
        <w:spacing w:after="120" w:line="259" w:lineRule="auto"/>
      </w:pPr>
      <w:r>
        <w:t>The expected dataset format is: data/&lt;dataset_name&gt;/images/ for images and data/&lt;dataset_name&gt;/labels.csv with columns image and smiles. Once EPA or DECIMER has that format, the existing training command can be reused with --dataset epa or --dataset decimer.</w:t>
      </w:r>
    </w:p>
    <w:p>
      <w:pPr>
        <w:pStyle w:val="ListBullet"/>
        <w:spacing w:after="60"/>
      </w:pPr>
      <w:r>
        <w:t>EPA CompTox: start by downloading a small list of chemicals with SMILES or identifiers. If only SMILES are available, generate images with RDKit the same way PubChem images are generated. Save them as data/epa/images and data/epa/labels.csv.</w:t>
      </w:r>
    </w:p>
    <w:p>
      <w:pPr>
        <w:pStyle w:val="ListBullet"/>
        <w:spacing w:after="60"/>
      </w:pPr>
      <w:r>
        <w:t>DECIMER: start with a small subset of the hand-drawn PNG images and their SMILES labels. Rename or map the files into data/decimer/images and create a labels.csv file with image,smiles columns.</w:t>
      </w:r>
    </w:p>
    <w:p>
      <w:pPr>
        <w:pStyle w:val="ListBullet"/>
        <w:spacing w:after="60"/>
      </w:pPr>
      <w:r>
        <w:t>After each dataset is formatted, run the existing split and validation scripts before training.</w:t>
      </w:r>
    </w:p>
    <w:p>
      <w:pPr>
        <w:spacing w:after="120" w:line="259" w:lineRule="auto"/>
      </w:pPr>
      <w:r>
        <w:t>Recommended order for both new datasets: collect raw files, convert to images plus labels.csv, run the split script, run validation, then train using src.train_sequence with the new dataset name. This keeps the codebase simple and avoids building separate model pipelines for every data source.</w:t>
      </w:r>
    </w:p>
    <w:p>
      <w:pPr>
        <w:pStyle w:val="Heading1"/>
      </w:pPr>
      <w:r>
        <w:rPr>
          <w:color w:val="1F4E79"/>
        </w:rPr>
        <w:t>5. Experiments and Results</w:t>
      </w:r>
    </w:p>
    <w:p>
      <w:pPr>
        <w:spacing w:after="120" w:line="259" w:lineRule="auto"/>
      </w:pPr>
      <w:r>
        <w:t>The current experiment uses the CNN-GRU sequence model on the PubChem dataset. Evaluation uses token accuracy, exact SMILES match, canonical SMILES match, and valid SMILES rate. Token accuracy checks whether individual sequence tokens are correct. Exact match checks whether the predicted SMILES string exactly matches the target. Canonical match uses RDKit canonicalization to check whether two SMILES strings represent the same molecule. Valid SMILES rate checks whether RDKit can parse the generated string.</w:t>
      </w:r>
    </w:p>
    <w:p>
      <w:pPr>
        <w:pStyle w:val="ListBullet"/>
        <w:spacing w:after="60"/>
      </w:pPr>
      <w:r>
        <w:t>Train token accuracy: correct token predictions on training data; best run 0.7258.</w:t>
      </w:r>
    </w:p>
    <w:p>
      <w:pPr>
        <w:pStyle w:val="ListBullet"/>
        <w:spacing w:after="60"/>
      </w:pPr>
      <w:r>
        <w:t>Test token accuracy: correct token predictions on held-out test data; best run 0.6932.</w:t>
      </w:r>
    </w:p>
    <w:p>
      <w:pPr>
        <w:pStyle w:val="ListBullet"/>
        <w:spacing w:after="60"/>
      </w:pPr>
      <w:r>
        <w:t>Exact match: predicted SMILES exactly equals the target; current runs remain 0.0.</w:t>
      </w:r>
    </w:p>
    <w:p>
      <w:pPr>
        <w:pStyle w:val="ListBullet"/>
        <w:spacing w:after="60"/>
      </w:pPr>
      <w:r>
        <w:t>Canonical match: RDKit says predicted and target represent the same molecule; current runs remain 0.0.</w:t>
      </w:r>
    </w:p>
    <w:p>
      <w:pPr>
        <w:pStyle w:val="ListBullet"/>
        <w:spacing w:after="60"/>
      </w:pPr>
      <w:r>
        <w:t>Valid SMILES rate: RDKit can parse the generated string; useful, but not enough by itself.</w:t>
      </w:r>
    </w:p>
    <w:p>
      <w:pPr>
        <w:spacing w:after="120" w:line="259" w:lineRule="auto"/>
      </w:pPr>
      <w:r>
        <w:t>A hyperparameter grid was run using three learning rates and three GRU hidden dimensions. Each setting was run three times, for 27 total runs. The embedding dimension stayed fixed at 128, the batch size stayed fixed at 16, and each run used 10 epochs.</w:t>
      </w:r>
    </w:p>
    <w:p>
      <w:pPr>
        <w:pStyle w:val="ListBullet"/>
        <w:spacing w:after="60"/>
      </w:pPr>
      <w:r>
        <w:t>Learning rate values tested: 0.001, 0.0005, 0.0001.</w:t>
      </w:r>
    </w:p>
    <w:p>
      <w:pPr>
        <w:pStyle w:val="ListBullet"/>
        <w:spacing w:after="60"/>
      </w:pPr>
      <w:r>
        <w:t>GRU hidden dimensions tested: 128, 256, 512.</w:t>
      </w:r>
    </w:p>
    <w:p>
      <w:pPr>
        <w:pStyle w:val="ListBullet"/>
        <w:spacing w:after="60"/>
      </w:pPr>
      <w:r>
        <w:t>Embedding dimension: 128.</w:t>
      </w:r>
    </w:p>
    <w:p>
      <w:pPr>
        <w:pStyle w:val="ListBullet"/>
        <w:spacing w:after="60"/>
      </w:pPr>
      <w:r>
        <w:t>Epochs per run: 10.</w:t>
      </w:r>
    </w:p>
    <w:p>
      <w:pPr>
        <w:pStyle w:val="ListBullet"/>
        <w:spacing w:after="60"/>
      </w:pPr>
      <w:r>
        <w:t>Batch size: 16.</w:t>
      </w:r>
    </w:p>
    <w:p>
      <w:pPr>
        <w:pStyle w:val="ListBullet"/>
        <w:spacing w:after="60"/>
      </w:pPr>
      <w:r>
        <w:t>Average test token accuracy by learning rate: 0.001 -&gt; 0.6367; 0.0005 -&gt; 0.5883; 0.0001 -&gt; 0.4849.</w:t>
      </w:r>
    </w:p>
    <w:p>
      <w:pPr>
        <w:pStyle w:val="ListBullet"/>
        <w:spacing w:after="60"/>
      </w:pPr>
      <w:r>
        <w:t>Average test token accuracy by hidden dimension: 128 -&gt; 0.5260; 256 -&gt; 0.5741; 512 -&gt; 0.6098.</w:t>
      </w:r>
    </w:p>
    <w:p>
      <w:pPr>
        <w:spacing w:after="120" w:line="259" w:lineRule="auto"/>
      </w:pPr>
      <w:r>
        <w:t>The best run used learning rate 0.001, hidden dimension 512, and embedding dimension 128. It reached 0.7258 train token accuracy and 0.6932 test token accuracy. The train/test gap was about 0.0326, which suggests that the model is not only memorizing the training data. However, exact match and canonical match remained 0.0. This means the model learned useful local SMILES patterns, but not complete correct molecular strings.</w:t>
      </w:r>
    </w:p>
    <w:p>
      <w:pPr>
        <w:pStyle w:val="Heading1"/>
      </w:pPr>
      <w:r>
        <w:rPr>
          <w:color w:val="1F4E79"/>
        </w:rPr>
        <w:t>6. Discussion</w:t>
      </w:r>
    </w:p>
    <w:p>
      <w:pPr>
        <w:spacing w:after="120" w:line="259" w:lineRule="auto"/>
      </w:pPr>
      <w:r>
        <w:t>The results show that increasing the GRU hidden dimension improved token accuracy. This makes sense because a larger hidden state gives the decoder more capacity to remember image and sequence information. The higher learning rate also performed better in this grid, while 0.0001 likely learned too slowly for only 10 epochs.</w:t>
      </w:r>
    </w:p>
    <w:p>
      <w:pPr>
        <w:spacing w:after="120" w:line="259" w:lineRule="auto"/>
      </w:pPr>
      <w:r>
        <w:t>The difficult part is that token accuracy does not guarantee a correct molecule. A SMILES string can have many correct tokens but still fail if parentheses, ring numbers, branches, or atom ordering are wrong. This is why exact and canonical match remained zero even when token accuracy improved. The model is learning parts of the language, but it is not yet reliably generating complete valid/correct chemistry.</w:t>
      </w:r>
    </w:p>
    <w:p>
      <w:pPr>
        <w:spacing w:after="120" w:line="259" w:lineRule="auto"/>
      </w:pPr>
      <w:r>
        <w:t>This is an important outcome rather than just a failure. It shows why full OCSR is harder than image classification and why papers such as SwinOCSR and atom-level OCSR use stronger architectures, larger datasets, attention mechanisms, graph refinement, or more structured decoding.</w:t>
      </w:r>
    </w:p>
    <w:p>
      <w:pPr>
        <w:pStyle w:val="Heading1"/>
      </w:pPr>
      <w:r>
        <w:rPr>
          <w:color w:val="1F4E79"/>
        </w:rPr>
        <w:t>7. Limitations and Hardships</w:t>
      </w:r>
    </w:p>
    <w:p>
      <w:pPr>
        <w:spacing w:after="120" w:line="259" w:lineRule="auto"/>
      </w:pPr>
      <w:r>
        <w:t>The biggest hardship was scope. The original plan to implement CNN, Transformer, and graph-based OCSR systems from scratch across multiple datasets was too large for a solo project. The feedback to tighten the scope was correct. Another hardship was discovering that a simple CNN classifier was not the right formulation. It could only predict known molecules as labels, which does not match the OCSR goal of generating a molecular representation.</w:t>
      </w:r>
    </w:p>
    <w:p>
      <w:pPr>
        <w:spacing w:after="120" w:line="259" w:lineRule="auto"/>
      </w:pPr>
      <w:r>
        <w:t>The current CNN-GRU model is a better direction, but it is still limited. It uses a relatively small dataset and a simple greedy decoder. It does not use attention, beam search, chemical grammar constraints, or graph-based validation during generation. These limitations help explain why token accuracy improved while exact and canonical match stayed at zero.</w:t>
      </w:r>
    </w:p>
    <w:p>
      <w:pPr>
        <w:pStyle w:val="Heading1"/>
      </w:pPr>
      <w:r>
        <w:rPr>
          <w:color w:val="1F4E79"/>
        </w:rPr>
        <w:t>8. Future Work</w:t>
      </w:r>
    </w:p>
    <w:p>
      <w:pPr>
        <w:spacing w:after="120" w:line="259" w:lineRule="auto"/>
      </w:pPr>
      <w:r>
        <w:t>The next step is to add EPA and DECIMER datasets using the same dataset format as PubChem. EPA would test whether the model generalizes to another structured chemical data source. DECIMER would test a harder out-of-domain setting with hand-drawn molecules. After that, future model improvements could include attention, beam search, a Transformer-style encoder, grammar-aware decoding, or graph-based post-processing.</w:t>
      </w:r>
    </w:p>
    <w:p>
      <w:pPr>
        <w:spacing w:after="120" w:line="259" w:lineRule="auto"/>
      </w:pPr>
      <w:r>
        <w:t>LSTM can also be included as a future comparison, but it was removed from the active implementation to keep the current project focused. A stronger future comparison would be CNN-GRU versus CNN-LSTM versus a Transformer-based encoder-decoder, all using the same data split and metrics.</w:t>
      </w:r>
    </w:p>
    <w:p>
      <w:pPr>
        <w:pStyle w:val="Heading1"/>
      </w:pPr>
      <w:r>
        <w:rPr>
          <w:color w:val="1F4E79"/>
        </w:rPr>
        <w:t>9. Conclusion</w:t>
      </w:r>
    </w:p>
    <w:p>
      <w:pPr>
        <w:spacing w:after="120" w:line="259" w:lineRule="auto"/>
      </w:pPr>
      <w:r>
        <w:t>This project investigated OCSR by building a working CNN-GRU image-to-SMILES baseline. The project started with a broader goal of comparing CNN, Transformer, and graph-based systems, but the scope was narrowed to produce a runnable and explainable implementation. The PubChem dataset pipeline is complete, and the current model can train and evaluate on a reproducible train/test split. Hyperparameter results show that higher learning rate and larger GRU hidden dimension improved token-level accuracy. However, exact and canonical SMILES match remain zero, which shows that full molecule generation is still difficult. The project now has a clear baseline, a clear limitation, and a clear path for adding EPA and DECIMER as external datasets.</w:t>
      </w:r>
    </w:p>
    <w:p>
      <w:pPr>
        <w:pStyle w:val="Heading1"/>
      </w:pPr>
      <w:r>
        <w:rPr>
          <w:color w:val="1F4E79"/>
        </w:rPr>
        <w:t>Solo Workload Statement</w:t>
      </w:r>
    </w:p>
    <w:p>
      <w:pPr>
        <w:spacing w:after="120" w:line="259" w:lineRule="auto"/>
      </w:pPr>
      <w:r>
        <w:t>This project was completed as a solo project. I was responsible for dataset collection and processing, RDKit image generation, model implementation, training, hyperparameter experiments, evaluation, analysis, and writing.</w:t>
      </w:r>
    </w:p>
    <w:p>
      <w:pPr>
        <w:pStyle w:val="Heading1"/>
      </w:pPr>
      <w:r>
        <w:rPr>
          <w:color w:val="1F4E79"/>
        </w:rPr>
        <w:t>References</w:t>
      </w:r>
    </w:p>
    <w:p>
      <w:pPr>
        <w:pStyle w:val="ListNumber"/>
      </w:pPr>
      <w:r>
        <w:t>Xu, X. et al. SwinOCSR: End-to-end optical chemical structure recognition using a Swin Transformer. Journal of Cheminformatics, 2022.</w:t>
      </w:r>
    </w:p>
    <w:p>
      <w:pPr>
        <w:pStyle w:val="ListNumber"/>
      </w:pPr>
      <w:r>
        <w:t>Oldenhof, M., De Brouwer, E., Arany, A., and Moreau, Y. Atom-level optical chemical structure recognition with limited supervision. CVPR, 2024.</w:t>
      </w:r>
    </w:p>
    <w:p>
      <w:pPr>
        <w:pStyle w:val="ListNumber"/>
      </w:pPr>
      <w:r>
        <w:t>Brinkhaus, H. O., Zielesny, A., Steinbeck, C., and Rajan, K. DECIMER - hand-drawn molecule images dataset. Journal of Cheminformatics, 2022. Dataset available through Zenodo: https://doi.org/10.5281/zenodo.6456306.</w:t>
      </w:r>
    </w:p>
    <w:p>
      <w:pPr>
        <w:pStyle w:val="ListNumber"/>
      </w:pPr>
      <w:r>
        <w:t>U.S. Environmental Protection Agency. CompTox Chemicals Dashboard. https://www.epa.gov/comptox-tools/comptox-chemicals-dashboard.</w:t>
      </w:r>
    </w:p>
    <w:p>
      <w:pPr>
        <w:pStyle w:val="ListNumber"/>
      </w:pPr>
      <w:r>
        <w:t>RDKit: Open-source cheminformatics software. https://www.rdkit.org/.</w:t>
      </w:r>
    </w:p>
    <w:p>
      <w:pPr>
        <w:pStyle w:val="ListNumber"/>
      </w:pPr>
      <w:r>
        <w:t>PyTorch: An open source machine learning framework. https://pytorch.org/.</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OCSR Final Report Draft - Christopher 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