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Calibri" w:cs="Calibri" w:eastAsia="Calibri" w:hAnsi="Calibri"/>
          <w:b/>
          <w:bCs/>
          <w:caps/>
          <w:color w:val="4338CA"/>
          <w:spacing w:val="60"/>
          <w:sz w:val="20"/>
          <w:szCs w:val="20"/>
        </w:rPr>
        <w:t xml:space="preserve">SPEECH DE PRESENTACIÓN</w:t>
      </w:r>
    </w:p>
    <w:p>
      <w:pPr>
        <w:spacing w:after="100"/>
      </w:pPr>
      <w:r>
        <w:rPr>
          <w:rFonts w:ascii="Calibri" w:cs="Calibri" w:eastAsia="Calibri" w:hAnsi="Calibri"/>
          <w:b/>
          <w:bCs/>
          <w:color w:val="1A1A2E"/>
          <w:sz w:val="56"/>
          <w:szCs w:val="56"/>
        </w:rPr>
        <w:t xml:space="preserve">InvestTracker</w:t>
      </w:r>
    </w:p>
    <w:p>
      <w:pPr>
        <w:pBdr>
          <w:bottom w:val="single" w:color="4338CA" w:sz="12" w:space="10"/>
        </w:pBdr>
        <w:spacing w:after="260"/>
      </w:pPr>
      <w:r>
        <w:rPr>
          <w:rFonts w:ascii="Calibri" w:cs="Calibri" w:eastAsia="Calibri" w:hAnsi="Calibri"/>
          <w:color w:val="6B7280"/>
          <w:sz w:val="21"/>
          <w:szCs w:val="21"/>
        </w:rPr>
        <w:t xml:space="preserve">Duración objetivo ~2:55  ·  387 palabras  ·  ritmo ~140 palabras por minuto</w:t>
      </w:r>
    </w:p>
    <w:p>
      <w:pPr>
        <w:spacing w:after="120" w:line="280"/>
      </w:pPr>
      <w:r>
        <w:rPr>
          <w:rFonts w:ascii="Calibri" w:cs="Calibri" w:eastAsia="Calibri" w:hAnsi="Calibri"/>
          <w:color w:val="6B7280"/>
          <w:sz w:val="20"/>
          <w:szCs w:val="20"/>
        </w:rPr>
        <w:t xml:space="preserve">Todas las cifras citadas están verificadas contra fuente primaria. El banco de datos con enlaces, cifras exactas y salvedades está al final del documento.</w:t>
      </w:r>
    </w:p>
    <w:p>
      <w:pPr>
        <w:spacing w:after="160"/>
      </w:pPr>
    </w:p>
    <w:p>
      <w:pPr>
        <w:pStyle w:val="Heading2"/>
        <w:pBdr>
          <w:bottom w:val="single" w:color="D4D4D8" w:sz="6" w:space="6"/>
        </w:pBdr>
        <w:spacing w:after="180" w:before="380"/>
      </w:pPr>
      <w:r>
        <w:rPr>
          <w:rFonts w:ascii="Calibri" w:cs="Calibri" w:eastAsia="Calibri" w:hAnsi="Calibri"/>
          <w:b/>
          <w:bCs/>
          <w:caps/>
          <w:color w:val="4338CA"/>
          <w:spacing w:val="20"/>
          <w:sz w:val="26"/>
          <w:szCs w:val="26"/>
        </w:rPr>
        <w:t xml:space="preserve">1. Apertura — el dato que abre</w:t>
      </w:r>
      <w:r>
        <w:rPr>
          <w:rFonts w:ascii="Calibri" w:cs="Calibri" w:eastAsia="Calibri" w:hAnsi="Calibri"/>
          <w:color w:val="6B7280"/>
          <w:sz w:val="22"/>
          <w:szCs w:val="22"/>
        </w:rPr>
        <w:t xml:space="preserve"> 0:00 – 0:30</w:t>
      </w:r>
    </w:p>
    <w:p>
      <w:pPr>
        <w:spacing w:after="220" w:line="340"/>
        <w:jc w:val="left"/>
      </w:pPr>
      <w:r>
        <w:rPr>
          <w:rFonts w:ascii="Georgia" w:cs="Georgia" w:eastAsia="Georgia" w:hAnsi="Georgia"/>
          <w:color w:val="1A1A2E"/>
          <w:sz w:val="26"/>
          <w:szCs w:val="26"/>
        </w:rPr>
        <w:t xml:space="preserve">En México, según la Encuesta Nacional de Inclusión Financiera del INEGI y la CNBV, solo el </w:t>
      </w:r>
      <w:r>
        <w:rPr>
          <w:rFonts w:ascii="Georgia" w:cs="Georgia" w:eastAsia="Georgia" w:hAnsi="Georgia"/>
          <w:b/>
          <w:bCs/>
          <w:color w:val="1A1A2E"/>
          <w:sz w:val="26"/>
          <w:szCs w:val="26"/>
        </w:rPr>
        <w:t xml:space="preserve">3.4 % de los adultos</w:t>
      </w:r>
      <w:r>
        <w:rPr>
          <w:rFonts w:ascii="Georgia" w:cs="Georgia" w:eastAsia="Georgia" w:hAnsi="Georgia"/>
          <w:color w:val="1A1A2E"/>
          <w:sz w:val="26"/>
          <w:szCs w:val="26"/>
        </w:rPr>
        <w:t xml:space="preserve"> tiene un fondo de inversión o un depósito a plazo. Tres punto cuatro por ciento.</w:t>
      </w:r>
    </w:p>
    <w:p>
      <w:pPr>
        <w:spacing w:after="220" w:line="340"/>
        <w:jc w:val="left"/>
      </w:pPr>
      <w:r>
        <w:rPr>
          <w:rFonts w:ascii="Georgia" w:cs="Georgia" w:eastAsia="Georgia" w:hAnsi="Georgia"/>
          <w:color w:val="1A1A2E"/>
          <w:sz w:val="26"/>
          <w:szCs w:val="26"/>
        </w:rPr>
        <w:t xml:space="preserve">Y al mismo tiempo, la AMIB reportó que los inversionistas activos en fondos pasaron de </w:t>
      </w:r>
      <w:r>
        <w:rPr>
          <w:rFonts w:ascii="Georgia" w:cs="Georgia" w:eastAsia="Georgia" w:hAnsi="Georgia"/>
          <w:b/>
          <w:bCs/>
          <w:color w:val="1A1A2E"/>
          <w:sz w:val="26"/>
          <w:szCs w:val="26"/>
        </w:rPr>
        <w:t xml:space="preserve">menos de tres millones a 13.1 millones en cinco años</w:t>
      </w:r>
      <w:r>
        <w:rPr>
          <w:rFonts w:ascii="Georgia" w:cs="Georgia" w:eastAsia="Georgia" w:hAnsi="Georgia"/>
          <w:color w:val="1A1A2E"/>
          <w:sz w:val="26"/>
          <w:szCs w:val="26"/>
        </w:rPr>
        <w:t xml:space="preserve">.</w:t>
      </w:r>
    </w:p>
    <w:p>
      <w:pPr>
        <w:spacing w:after="220" w:line="340"/>
        <w:jc w:val="left"/>
      </w:pPr>
      <w:r>
        <w:rPr>
          <w:rFonts w:ascii="Georgia" w:cs="Georgia" w:eastAsia="Georgia" w:hAnsi="Georgia"/>
          <w:color w:val="1A1A2E"/>
          <w:sz w:val="26"/>
          <w:szCs w:val="26"/>
        </w:rPr>
        <w:t xml:space="preserve">O sea: casi nadie invierte todavía, pero los que empiezan están llegando en masa. Y llegan sin herramientas.</w:t>
      </w:r>
    </w:p>
    <w:p>
      <w:pPr>
        <w:pStyle w:val="Heading2"/>
        <w:pBdr>
          <w:bottom w:val="single" w:color="D4D4D8" w:sz="6" w:space="6"/>
        </w:pBdr>
        <w:spacing w:after="180" w:before="380"/>
      </w:pPr>
      <w:r>
        <w:rPr>
          <w:rFonts w:ascii="Calibri" w:cs="Calibri" w:eastAsia="Calibri" w:hAnsi="Calibri"/>
          <w:b/>
          <w:bCs/>
          <w:caps/>
          <w:color w:val="4338CA"/>
          <w:spacing w:val="20"/>
          <w:sz w:val="26"/>
          <w:szCs w:val="26"/>
        </w:rPr>
        <w:t xml:space="preserve">2. El problema — con evidencia</w:t>
      </w:r>
      <w:r>
        <w:rPr>
          <w:rFonts w:ascii="Calibri" w:cs="Calibri" w:eastAsia="Calibri" w:hAnsi="Calibri"/>
          <w:color w:val="6B7280"/>
          <w:sz w:val="22"/>
          <w:szCs w:val="22"/>
        </w:rPr>
        <w:t xml:space="preserve"> 0:30 – 1:10</w:t>
      </w:r>
    </w:p>
    <w:p>
      <w:pPr>
        <w:spacing w:after="220" w:line="340"/>
        <w:jc w:val="left"/>
      </w:pPr>
      <w:r>
        <w:rPr>
          <w:rFonts w:ascii="Georgia" w:cs="Georgia" w:eastAsia="Georgia" w:hAnsi="Georgia"/>
          <w:color w:val="1A1A2E"/>
          <w:sz w:val="26"/>
          <w:szCs w:val="26"/>
        </w:rPr>
        <w:t xml:space="preserve">¿Y qué pasa cuando inviertes sin medir? Hay dos estudios que lo responden.</w:t>
      </w:r>
    </w:p>
    <w:p>
      <w:pPr>
        <w:spacing w:after="220" w:line="340"/>
        <w:jc w:val="left"/>
      </w:pPr>
      <w:r>
        <w:rPr>
          <w:rFonts w:ascii="Georgia" w:cs="Georgia" w:eastAsia="Georgia" w:hAnsi="Georgia"/>
          <w:color w:val="1A1A2E"/>
          <w:sz w:val="26"/>
          <w:szCs w:val="26"/>
        </w:rPr>
        <w:t xml:space="preserve">Morningstar publicó </w:t>
      </w:r>
      <w:r>
        <w:rPr>
          <w:rFonts w:ascii="Georgia" w:cs="Georgia" w:eastAsia="Georgia" w:hAnsi="Georgia"/>
          <w:i/>
          <w:iCs/>
          <w:color w:val="1A1A2E"/>
          <w:sz w:val="26"/>
          <w:szCs w:val="26"/>
        </w:rPr>
        <w:t xml:space="preserve">Mind the Gap</w:t>
      </w:r>
      <w:r>
        <w:rPr>
          <w:rFonts w:ascii="Georgia" w:cs="Georgia" w:eastAsia="Georgia" w:hAnsi="Georgia"/>
          <w:color w:val="1A1A2E"/>
          <w:sz w:val="26"/>
          <w:szCs w:val="26"/>
        </w:rPr>
        <w:t xml:space="preserve"> en 2025: en diez años, los fondos en Estados Unidos rindieron </w:t>
      </w:r>
      <w:r>
        <w:rPr>
          <w:rFonts w:ascii="Georgia" w:cs="Georgia" w:eastAsia="Georgia" w:hAnsi="Georgia"/>
          <w:b/>
          <w:bCs/>
          <w:color w:val="1A1A2E"/>
          <w:sz w:val="26"/>
          <w:szCs w:val="26"/>
        </w:rPr>
        <w:t xml:space="preserve">8.2 % anual</w:t>
      </w:r>
      <w:r>
        <w:rPr>
          <w:rFonts w:ascii="Georgia" w:cs="Georgia" w:eastAsia="Georgia" w:hAnsi="Georgia"/>
          <w:color w:val="1A1A2E"/>
          <w:sz w:val="26"/>
          <w:szCs w:val="26"/>
        </w:rPr>
        <w:t xml:space="preserve">, pero el dinero de los inversionistas solo ganó </w:t>
      </w:r>
      <w:r>
        <w:rPr>
          <w:rFonts w:ascii="Georgia" w:cs="Georgia" w:eastAsia="Georgia" w:hAnsi="Georgia"/>
          <w:b/>
          <w:bCs/>
          <w:color w:val="1A1A2E"/>
          <w:sz w:val="26"/>
          <w:szCs w:val="26"/>
        </w:rPr>
        <w:t xml:space="preserve">7.0 %</w:t>
      </w:r>
      <w:r>
        <w:rPr>
          <w:rFonts w:ascii="Georgia" w:cs="Georgia" w:eastAsia="Georgia" w:hAnsi="Georgia"/>
          <w:color w:val="1A1A2E"/>
          <w:sz w:val="26"/>
          <w:szCs w:val="26"/>
        </w:rPr>
        <w:t xml:space="preserve">. Un punto dos porcentuales al año, perdidos — no por malos fondos, sino por mal </w:t>
      </w:r>
      <w:r>
        <w:rPr>
          <w:rFonts w:ascii="Georgia" w:cs="Georgia" w:eastAsia="Georgia" w:hAnsi="Georgia"/>
          <w:i/>
          <w:iCs/>
          <w:color w:val="1A1A2E"/>
          <w:sz w:val="26"/>
          <w:szCs w:val="26"/>
        </w:rPr>
        <w:t xml:space="preserve">timing</w:t>
      </w:r>
      <w:r>
        <w:rPr>
          <w:rFonts w:ascii="Georgia" w:cs="Georgia" w:eastAsia="Georgia" w:hAnsi="Georgia"/>
          <w:color w:val="1A1A2E"/>
          <w:sz w:val="26"/>
          <w:szCs w:val="26"/>
        </w:rPr>
        <w:t xml:space="preserve">. Y el detalle que importa: entre quienes más movían su dinero, la brecha crecía a </w:t>
      </w:r>
      <w:r>
        <w:rPr>
          <w:rFonts w:ascii="Georgia" w:cs="Georgia" w:eastAsia="Georgia" w:hAnsi="Georgia"/>
          <w:b/>
          <w:bCs/>
          <w:color w:val="1A1A2E"/>
          <w:sz w:val="26"/>
          <w:szCs w:val="26"/>
        </w:rPr>
        <w:t xml:space="preserve">1.8 puntos</w:t>
      </w:r>
      <w:r>
        <w:rPr>
          <w:rFonts w:ascii="Georgia" w:cs="Georgia" w:eastAsia="Georgia" w:hAnsi="Georgia"/>
          <w:color w:val="1A1A2E"/>
          <w:sz w:val="26"/>
          <w:szCs w:val="26"/>
        </w:rPr>
        <w:t xml:space="preserve">; entre quienes estaban diversificados, casi desaparecía: </w:t>
      </w:r>
      <w:r>
        <w:rPr>
          <w:rFonts w:ascii="Georgia" w:cs="Georgia" w:eastAsia="Georgia" w:hAnsi="Georgia"/>
          <w:b/>
          <w:bCs/>
          <w:color w:val="1A1A2E"/>
          <w:sz w:val="26"/>
          <w:szCs w:val="26"/>
        </w:rPr>
        <w:t xml:space="preserve">0.1</w:t>
      </w:r>
      <w:r>
        <w:rPr>
          <w:rFonts w:ascii="Georgia" w:cs="Georgia" w:eastAsia="Georgia" w:hAnsi="Georgia"/>
          <w:color w:val="1A1A2E"/>
          <w:sz w:val="26"/>
          <w:szCs w:val="26"/>
        </w:rPr>
        <w:t xml:space="preserve">.</w:t>
      </w:r>
    </w:p>
    <w:p>
      <w:pPr>
        <w:spacing w:after="220" w:line="340"/>
        <w:jc w:val="left"/>
      </w:pPr>
      <w:r>
        <w:rPr>
          <w:rFonts w:ascii="Georgia" w:cs="Georgia" w:eastAsia="Georgia" w:hAnsi="Georgia"/>
          <w:color w:val="1A1A2E"/>
          <w:sz w:val="26"/>
          <w:szCs w:val="26"/>
        </w:rPr>
        <w:t xml:space="preserve">Barber y Odean, en el </w:t>
      </w:r>
      <w:r>
        <w:rPr>
          <w:rFonts w:ascii="Georgia" w:cs="Georgia" w:eastAsia="Georgia" w:hAnsi="Georgia"/>
          <w:i/>
          <w:iCs/>
          <w:color w:val="1A1A2E"/>
          <w:sz w:val="26"/>
          <w:szCs w:val="26"/>
        </w:rPr>
        <w:t xml:space="preserve">Journal of Finance</w:t>
      </w:r>
      <w:r>
        <w:rPr>
          <w:rFonts w:ascii="Georgia" w:cs="Georgia" w:eastAsia="Georgia" w:hAnsi="Georgia"/>
          <w:color w:val="1A1A2E"/>
          <w:sz w:val="26"/>
          <w:szCs w:val="26"/>
        </w:rPr>
        <w:t xml:space="preserve">, lo vieron aún más crudo: de 66 mil hogares, los que más operaban ganaron </w:t>
      </w:r>
      <w:r>
        <w:rPr>
          <w:rFonts w:ascii="Georgia" w:cs="Georgia" w:eastAsia="Georgia" w:hAnsi="Georgia"/>
          <w:b/>
          <w:bCs/>
          <w:color w:val="1A1A2E"/>
          <w:sz w:val="26"/>
          <w:szCs w:val="26"/>
        </w:rPr>
        <w:t xml:space="preserve">11.4 % anual</w:t>
      </w:r>
      <w:r>
        <w:rPr>
          <w:rFonts w:ascii="Georgia" w:cs="Georgia" w:eastAsia="Georgia" w:hAnsi="Georgia"/>
          <w:color w:val="1A1A2E"/>
          <w:sz w:val="26"/>
          <w:szCs w:val="26"/>
        </w:rPr>
        <w:t xml:space="preserve"> mientras el mercado daba </w:t>
      </w:r>
      <w:r>
        <w:rPr>
          <w:rFonts w:ascii="Georgia" w:cs="Georgia" w:eastAsia="Georgia" w:hAnsi="Georgia"/>
          <w:b/>
          <w:bCs/>
          <w:color w:val="1A1A2E"/>
          <w:sz w:val="26"/>
          <w:szCs w:val="26"/>
        </w:rPr>
        <w:t xml:space="preserve">17.9 %</w:t>
      </w:r>
      <w:r>
        <w:rPr>
          <w:rFonts w:ascii="Georgia" w:cs="Georgia" w:eastAsia="Georgia" w:hAnsi="Georgia"/>
          <w:color w:val="1A1A2E"/>
          <w:sz w:val="26"/>
          <w:szCs w:val="26"/>
        </w:rPr>
        <w:t xml:space="preserve">.</w:t>
      </w:r>
    </w:p>
    <w:p>
      <w:pPr>
        <w:spacing w:after="220" w:line="340"/>
        <w:jc w:val="left"/>
      </w:pPr>
      <w:r>
        <w:rPr>
          <w:rFonts w:ascii="Georgia" w:cs="Georgia" w:eastAsia="Georgia" w:hAnsi="Georgia"/>
          <w:color w:val="1A1A2E"/>
          <w:sz w:val="26"/>
          <w:szCs w:val="26"/>
        </w:rPr>
        <w:t xml:space="preserve">El enemigo no es el mercado. Es no saber cómo vas.</w:t>
      </w:r>
    </w:p>
    <w:p>
      <w:pPr>
        <w:pStyle w:val="Heading2"/>
        <w:pBdr>
          <w:bottom w:val="single" w:color="D4D4D8" w:sz="6" w:space="6"/>
        </w:pBdr>
        <w:spacing w:after="180" w:before="380"/>
      </w:pPr>
      <w:r>
        <w:rPr>
          <w:rFonts w:ascii="Calibri" w:cs="Calibri" w:eastAsia="Calibri" w:hAnsi="Calibri"/>
          <w:b/>
          <w:bCs/>
          <w:caps/>
          <w:color w:val="4338CA"/>
          <w:spacing w:val="20"/>
          <w:sz w:val="26"/>
          <w:szCs w:val="26"/>
        </w:rPr>
        <w:t xml:space="preserve">3. Qué es InvestTracker</w:t>
      </w:r>
      <w:r>
        <w:rPr>
          <w:rFonts w:ascii="Calibri" w:cs="Calibri" w:eastAsia="Calibri" w:hAnsi="Calibri"/>
          <w:color w:val="6B7280"/>
          <w:sz w:val="22"/>
          <w:szCs w:val="22"/>
        </w:rPr>
        <w:t xml:space="preserve"> 1:10 – 2:00</w:t>
      </w:r>
    </w:p>
    <w:p>
      <w:pPr>
        <w:spacing w:after="220" w:line="340"/>
        <w:jc w:val="left"/>
      </w:pPr>
      <w:r>
        <w:rPr>
          <w:rFonts w:ascii="Georgia" w:cs="Georgia" w:eastAsia="Georgia" w:hAnsi="Georgia"/>
          <w:b/>
          <w:bCs/>
          <w:color w:val="1A1A2E"/>
          <w:sz w:val="26"/>
          <w:szCs w:val="26"/>
        </w:rPr>
        <w:t xml:space="preserve">InvestTracker</w:t>
      </w:r>
      <w:r>
        <w:rPr>
          <w:rFonts w:ascii="Georgia" w:cs="Georgia" w:eastAsia="Georgia" w:hAnsi="Georgia"/>
          <w:color w:val="1A1A2E"/>
          <w:sz w:val="26"/>
          <w:szCs w:val="26"/>
        </w:rPr>
        <w:t xml:space="preserve"> ataca exactamente eso.</w:t>
      </w:r>
    </w:p>
    <w:p>
      <w:pPr>
        <w:spacing w:after="220" w:line="340"/>
        <w:jc w:val="left"/>
      </w:pPr>
      <w:r>
        <w:rPr>
          <w:rFonts w:ascii="Georgia" w:cs="Georgia" w:eastAsia="Georgia" w:hAnsi="Georgia"/>
          <w:color w:val="1A1A2E"/>
          <w:sz w:val="26"/>
          <w:szCs w:val="26"/>
        </w:rPr>
        <w:t xml:space="preserve">Reúne todo tu patrimonio en un solo lugar: seis tipos de activo —acciones, ETFs, cripto, bonos y CETES, divisas y commodities—, de la Bolsa Mexicana y de Estados Unidos, todo en tu moneda base.</w:t>
      </w:r>
    </w:p>
    <w:p>
      <w:pPr>
        <w:spacing w:after="220" w:line="340"/>
        <w:jc w:val="left"/>
      </w:pPr>
      <w:r>
        <w:rPr>
          <w:rFonts w:ascii="Georgia" w:cs="Georgia" w:eastAsia="Georgia" w:hAnsi="Georgia"/>
          <w:color w:val="1A1A2E"/>
          <w:sz w:val="26"/>
          <w:szCs w:val="26"/>
        </w:rPr>
        <w:t xml:space="preserve">Y calcula lo que casi ninguna app muestra: </w:t>
      </w:r>
      <w:r>
        <w:rPr>
          <w:rFonts w:ascii="Georgia" w:cs="Georgia" w:eastAsia="Georgia" w:hAnsi="Georgia"/>
          <w:b/>
          <w:bCs/>
          <w:color w:val="1A1A2E"/>
          <w:sz w:val="26"/>
          <w:szCs w:val="26"/>
        </w:rPr>
        <w:t xml:space="preserve">rendimiento ponderado por tiempo y por dinero — TWR y MWR</w:t>
      </w:r>
      <w:r>
        <w:rPr>
          <w:rFonts w:ascii="Georgia" w:cs="Georgia" w:eastAsia="Georgia" w:hAnsi="Georgia"/>
          <w:color w:val="1A1A2E"/>
          <w:sz w:val="26"/>
          <w:szCs w:val="26"/>
        </w:rPr>
        <w:t xml:space="preserve">. Esa diferencia </w:t>
      </w:r>
      <w:r>
        <w:rPr>
          <w:rFonts w:ascii="Georgia" w:cs="Georgia" w:eastAsia="Georgia" w:hAnsi="Georgia"/>
          <w:i/>
          <w:iCs/>
          <w:color w:val="1A1A2E"/>
          <w:sz w:val="26"/>
          <w:szCs w:val="26"/>
        </w:rPr>
        <w:t xml:space="preserve">es</w:t>
      </w:r>
      <w:r>
        <w:rPr>
          <w:rFonts w:ascii="Georgia" w:cs="Georgia" w:eastAsia="Georgia" w:hAnsi="Georgia"/>
          <w:color w:val="1A1A2E"/>
          <w:sz w:val="26"/>
          <w:szCs w:val="26"/>
        </w:rPr>
        <w:t xml:space="preserve"> la brecha de Morningstar. InvestTracker te la pone en pantalla.</w:t>
      </w:r>
    </w:p>
    <w:p>
      <w:pPr>
        <w:spacing w:after="220" w:line="340"/>
        <w:jc w:val="left"/>
      </w:pPr>
      <w:r>
        <w:rPr>
          <w:rFonts w:ascii="Georgia" w:cs="Georgia" w:eastAsia="Georgia" w:hAnsi="Georgia"/>
          <w:color w:val="1A1A2E"/>
          <w:sz w:val="26"/>
          <w:szCs w:val="26"/>
        </w:rPr>
        <w:t xml:space="preserve">Encima de eso: volatilidad, Sharpe, máximo </w:t>
      </w:r>
      <w:r>
        <w:rPr>
          <w:rFonts w:ascii="Georgia" w:cs="Georgia" w:eastAsia="Georgia" w:hAnsi="Georgia"/>
          <w:i/>
          <w:iCs/>
          <w:color w:val="1A1A2E"/>
          <w:sz w:val="26"/>
          <w:szCs w:val="26"/>
        </w:rPr>
        <w:t xml:space="preserve">drawdown</w:t>
      </w:r>
      <w:r>
        <w:rPr>
          <w:rFonts w:ascii="Georgia" w:cs="Georgia" w:eastAsia="Georgia" w:hAnsi="Georgia"/>
          <w:color w:val="1A1A2E"/>
          <w:sz w:val="26"/>
          <w:szCs w:val="26"/>
        </w:rPr>
        <w:t xml:space="preserve">, comparación contra </w:t>
      </w:r>
      <w:r>
        <w:rPr>
          <w:rFonts w:ascii="Georgia" w:cs="Georgia" w:eastAsia="Georgia" w:hAnsi="Georgia"/>
          <w:i/>
          <w:iCs/>
          <w:color w:val="1A1A2E"/>
          <w:sz w:val="26"/>
          <w:szCs w:val="26"/>
        </w:rPr>
        <w:t xml:space="preserve">benchmark</w:t>
      </w:r>
      <w:r>
        <w:rPr>
          <w:rFonts w:ascii="Georgia" w:cs="Georgia" w:eastAsia="Georgia" w:hAnsi="Georgia"/>
          <w:color w:val="1A1A2E"/>
          <w:sz w:val="26"/>
          <w:szCs w:val="26"/>
        </w:rPr>
        <w:t xml:space="preserve"> y atribución por activo y sector. </w:t>
      </w:r>
      <w:r>
        <w:rPr>
          <w:rFonts w:ascii="Georgia" w:cs="Georgia" w:eastAsia="Georgia" w:hAnsi="Georgia"/>
          <w:b/>
          <w:bCs/>
          <w:color w:val="1A1A2E"/>
          <w:sz w:val="26"/>
          <w:szCs w:val="26"/>
        </w:rPr>
        <w:t xml:space="preserve">Alertas de concentración</w:t>
      </w:r>
      <w:r>
        <w:rPr>
          <w:rFonts w:ascii="Georgia" w:cs="Georgia" w:eastAsia="Georgia" w:hAnsi="Georgia"/>
          <w:color w:val="1A1A2E"/>
          <w:sz w:val="26"/>
          <w:szCs w:val="26"/>
        </w:rPr>
        <w:t xml:space="preserve">, que avisan cuando un activo pesa demasiado — el problema exacto que Morningstar midió. Y un asesor que te perfila y simula tu meta con Monte Carlo.</w:t>
      </w:r>
    </w:p>
    <w:p>
      <w:pPr>
        <w:pStyle w:val="Heading2"/>
        <w:pBdr>
          <w:bottom w:val="single" w:color="D4D4D8" w:sz="6" w:space="6"/>
        </w:pBdr>
        <w:spacing w:after="180" w:before="380"/>
      </w:pPr>
      <w:r>
        <w:rPr>
          <w:rFonts w:ascii="Calibri" w:cs="Calibri" w:eastAsia="Calibri" w:hAnsi="Calibri"/>
          <w:b/>
          <w:bCs/>
          <w:caps/>
          <w:color w:val="4338CA"/>
          <w:spacing w:val="20"/>
          <w:sz w:val="26"/>
          <w:szCs w:val="26"/>
        </w:rPr>
        <w:t xml:space="preserve">4. Cómo está construido</w:t>
      </w:r>
      <w:r>
        <w:rPr>
          <w:rFonts w:ascii="Calibri" w:cs="Calibri" w:eastAsia="Calibri" w:hAnsi="Calibri"/>
          <w:color w:val="6B7280"/>
          <w:sz w:val="22"/>
          <w:szCs w:val="22"/>
        </w:rPr>
        <w:t xml:space="preserve"> 2:00 – 2:30</w:t>
      </w:r>
    </w:p>
    <w:p>
      <w:pPr>
        <w:spacing w:after="220" w:line="340"/>
        <w:jc w:val="left"/>
      </w:pPr>
      <w:r>
        <w:rPr>
          <w:rFonts w:ascii="Georgia" w:cs="Georgia" w:eastAsia="Georgia" w:hAnsi="Georgia"/>
          <w:color w:val="1A1A2E"/>
          <w:sz w:val="26"/>
          <w:szCs w:val="26"/>
        </w:rPr>
        <w:t xml:space="preserve">Por dentro: </w:t>
      </w:r>
      <w:r>
        <w:rPr>
          <w:rFonts w:ascii="Georgia" w:cs="Georgia" w:eastAsia="Georgia" w:hAnsi="Georgia"/>
          <w:b/>
          <w:bCs/>
          <w:color w:val="1A1A2E"/>
          <w:sz w:val="26"/>
          <w:szCs w:val="26"/>
        </w:rPr>
        <w:t xml:space="preserve">Next.js 16 y React 19</w:t>
      </w:r>
      <w:r>
        <w:rPr>
          <w:rFonts w:ascii="Georgia" w:cs="Georgia" w:eastAsia="Georgia" w:hAnsi="Georgia"/>
          <w:color w:val="1A1A2E"/>
          <w:sz w:val="26"/>
          <w:szCs w:val="26"/>
        </w:rPr>
        <w:t xml:space="preserve"> en Vercel. </w:t>
      </w:r>
      <w:r>
        <w:rPr>
          <w:rFonts w:ascii="Georgia" w:cs="Georgia" w:eastAsia="Georgia" w:hAnsi="Georgia"/>
          <w:b/>
          <w:bCs/>
          <w:color w:val="1A1A2E"/>
          <w:sz w:val="26"/>
          <w:szCs w:val="26"/>
        </w:rPr>
        <w:t xml:space="preserve">Supabase</w:t>
      </w:r>
      <w:r>
        <w:rPr>
          <w:rFonts w:ascii="Georgia" w:cs="Georgia" w:eastAsia="Georgia" w:hAnsi="Georgia"/>
          <w:color w:val="1A1A2E"/>
          <w:sz w:val="26"/>
          <w:szCs w:val="26"/>
        </w:rPr>
        <w:t xml:space="preserve"> con Row Level Security: cada usuario solo ve lo suyo. Un </w:t>
      </w:r>
      <w:r>
        <w:rPr>
          <w:rFonts w:ascii="Georgia" w:cs="Georgia" w:eastAsia="Georgia" w:hAnsi="Georgia"/>
          <w:b/>
          <w:bCs/>
          <w:color w:val="1A1A2E"/>
          <w:sz w:val="26"/>
          <w:szCs w:val="26"/>
        </w:rPr>
        <w:t xml:space="preserve">Worker en Cloudflare</w:t>
      </w:r>
      <w:r>
        <w:rPr>
          <w:rFonts w:ascii="Georgia" w:cs="Georgia" w:eastAsia="Georgia" w:hAnsi="Georgia"/>
          <w:color w:val="1A1A2E"/>
          <w:sz w:val="26"/>
          <w:szCs w:val="26"/>
        </w:rPr>
        <w:t xml:space="preserve"> que actualiza precios por cron, </w:t>
      </w:r>
      <w:r>
        <w:rPr>
          <w:rFonts w:ascii="Georgia" w:cs="Georgia" w:eastAsia="Georgia" w:hAnsi="Georgia"/>
          <w:b/>
          <w:bCs/>
          <w:color w:val="1A1A2E"/>
          <w:sz w:val="26"/>
          <w:szCs w:val="26"/>
        </w:rPr>
        <w:t xml:space="preserve">caché en Redis</w:t>
      </w:r>
      <w:r>
        <w:rPr>
          <w:rFonts w:ascii="Georgia" w:cs="Georgia" w:eastAsia="Georgia" w:hAnsi="Georgia"/>
          <w:color w:val="1A1A2E"/>
          <w:sz w:val="26"/>
          <w:szCs w:val="26"/>
        </w:rPr>
        <w:t xml:space="preserve">, y </w:t>
      </w:r>
      <w:r>
        <w:rPr>
          <w:rFonts w:ascii="Georgia" w:cs="Georgia" w:eastAsia="Georgia" w:hAnsi="Georgia"/>
          <w:b/>
          <w:bCs/>
          <w:color w:val="1A1A2E"/>
          <w:sz w:val="26"/>
          <w:szCs w:val="26"/>
        </w:rPr>
        <w:t xml:space="preserve">tres proveedores de mercado</w:t>
      </w:r>
      <w:r>
        <w:rPr>
          <w:rFonts w:ascii="Georgia" w:cs="Georgia" w:eastAsia="Georgia" w:hAnsi="Georgia"/>
          <w:color w:val="1A1A2E"/>
          <w:sz w:val="26"/>
          <w:szCs w:val="26"/>
        </w:rPr>
        <w:t xml:space="preserve"> —Yahoo, Finnhub y Twelve Data— con </w:t>
      </w:r>
      <w:r>
        <w:rPr>
          <w:rFonts w:ascii="Georgia" w:cs="Georgia" w:eastAsia="Georgia" w:hAnsi="Georgia"/>
          <w:i/>
          <w:iCs/>
          <w:color w:val="1A1A2E"/>
          <w:sz w:val="26"/>
          <w:szCs w:val="26"/>
        </w:rPr>
        <w:t xml:space="preserve">fallback</w:t>
      </w:r>
      <w:r>
        <w:rPr>
          <w:rFonts w:ascii="Georgia" w:cs="Georgia" w:eastAsia="Georgia" w:hAnsi="Georgia"/>
          <w:color w:val="1A1A2E"/>
          <w:sz w:val="26"/>
          <w:szCs w:val="26"/>
        </w:rPr>
        <w:t xml:space="preserve">: si uno falla, la aplicación sigue en pie.</w:t>
      </w:r>
    </w:p>
    <w:p>
      <w:pPr>
        <w:pStyle w:val="Heading2"/>
        <w:pBdr>
          <w:bottom w:val="single" w:color="D4D4D8" w:sz="6" w:space="6"/>
        </w:pBdr>
        <w:spacing w:after="180" w:before="380"/>
      </w:pPr>
      <w:r>
        <w:rPr>
          <w:rFonts w:ascii="Calibri" w:cs="Calibri" w:eastAsia="Calibri" w:hAnsi="Calibri"/>
          <w:b/>
          <w:bCs/>
          <w:caps/>
          <w:color w:val="4338CA"/>
          <w:spacing w:val="20"/>
          <w:sz w:val="26"/>
          <w:szCs w:val="26"/>
        </w:rPr>
        <w:t xml:space="preserve">5. Cierre</w:t>
      </w:r>
      <w:r>
        <w:rPr>
          <w:rFonts w:ascii="Calibri" w:cs="Calibri" w:eastAsia="Calibri" w:hAnsi="Calibri"/>
          <w:color w:val="6B7280"/>
          <w:sz w:val="22"/>
          <w:szCs w:val="22"/>
        </w:rPr>
        <w:t xml:space="preserve"> 2:30 – 2:55</w:t>
      </w:r>
    </w:p>
    <w:p>
      <w:pPr>
        <w:spacing w:after="220" w:line="340"/>
        <w:jc w:val="left"/>
      </w:pPr>
      <w:r>
        <w:rPr>
          <w:rFonts w:ascii="Georgia" w:cs="Georgia" w:eastAsia="Georgia" w:hAnsi="Georgia"/>
          <w:color w:val="1A1A2E"/>
          <w:sz w:val="26"/>
          <w:szCs w:val="26"/>
        </w:rPr>
        <w:t xml:space="preserve">La misma ENIF encontró algo más: de quienes llevan registro de sus gastos, solo el </w:t>
      </w:r>
      <w:r>
        <w:rPr>
          <w:rFonts w:ascii="Georgia" w:cs="Georgia" w:eastAsia="Georgia" w:hAnsi="Georgia"/>
          <w:b/>
          <w:bCs/>
          <w:color w:val="1A1A2E"/>
          <w:sz w:val="26"/>
          <w:szCs w:val="26"/>
        </w:rPr>
        <w:t xml:space="preserve">19.5 %</w:t>
      </w:r>
      <w:r>
        <w:rPr>
          <w:rFonts w:ascii="Georgia" w:cs="Georgia" w:eastAsia="Georgia" w:hAnsi="Georgia"/>
          <w:color w:val="1A1A2E"/>
          <w:sz w:val="26"/>
          <w:szCs w:val="26"/>
        </w:rPr>
        <w:t xml:space="preserve"> usa una herramienta digital. El resto: memoria, papel o Excel.</w:t>
      </w:r>
    </w:p>
    <w:p>
      <w:pPr>
        <w:spacing w:after="220" w:line="340"/>
        <w:jc w:val="left"/>
      </w:pPr>
      <w:r>
        <w:rPr>
          <w:rFonts w:ascii="Georgia" w:cs="Georgia" w:eastAsia="Georgia" w:hAnsi="Georgia"/>
          <w:color w:val="1A1A2E"/>
          <w:sz w:val="26"/>
          <w:szCs w:val="26"/>
        </w:rPr>
        <w:t xml:space="preserve">InvestTracker es esa herramienta que falta, para el lado de las inversiones. Porque no puedes mejorar lo que no mides.</w:t>
      </w:r>
    </w:p>
    <w:p>
      <w:pPr>
        <w:spacing w:after="220" w:line="340"/>
        <w:jc w:val="left"/>
      </w:pPr>
      <w:r>
        <w:rPr>
          <w:rFonts w:ascii="Georgia" w:cs="Georgia" w:eastAsia="Georgia" w:hAnsi="Georgia"/>
          <w:color w:val="1A1A2E"/>
          <w:sz w:val="26"/>
          <w:szCs w:val="26"/>
        </w:rPr>
        <w:t xml:space="preserve">Gracias.</w:t>
      </w:r>
    </w:p>
    <w:p>
      <w:r>
        <w:br w:type="page"/>
      </w:r>
    </w:p>
    <w:p>
      <w:pPr>
        <w:pStyle w:val="Heading1"/>
        <w:spacing w:after="200" w:before="120"/>
      </w:pPr>
      <w:r>
        <w:rPr>
          <w:rFonts w:ascii="Calibri" w:cs="Calibri" w:eastAsia="Calibri" w:hAnsi="Calibri"/>
          <w:b/>
          <w:bCs/>
          <w:color w:val="1A1A2E"/>
          <w:sz w:val="34"/>
          <w:szCs w:val="34"/>
        </w:rPr>
        <w:t xml:space="preserve">Banco de datos — fuentes verificadas</w:t>
      </w:r>
    </w:p>
    <w:p>
      <w:pPr>
        <w:spacing w:after="60" w:before="160"/>
      </w:pPr>
      <w:r>
        <w:rPr>
          <w:rFonts w:ascii="Calibri" w:cs="Calibri" w:eastAsia="Calibri" w:hAnsi="Calibri"/>
          <w:b/>
          <w:bCs/>
          <w:color w:val="1A1A2E"/>
          <w:sz w:val="24"/>
          <w:szCs w:val="24"/>
        </w:rPr>
        <w:t xml:space="preserve">1.  INEGI / CNBV — Encuesta Nacional de Inclusión Financiera (ENIF) 2024</w:t>
      </w:r>
    </w:p>
    <w:p>
      <w:pPr>
        <w:spacing w:after="120" w:line="280"/>
      </w:pPr>
      <w:r>
        <w:rPr>
          <w:rFonts w:ascii="Calibri" w:cs="Calibri" w:eastAsia="Calibri" w:hAnsi="Calibri"/>
          <w:color w:val="6B7280"/>
          <w:sz w:val="20"/>
          <w:szCs w:val="20"/>
        </w:rPr>
        <w:t xml:space="preserve">Comunicado de prensa 49/25, 13 de marzo de 2025. Base: población de 18 a 70 años.</w:t>
      </w:r>
    </w:p>
    <w:tbl>
      <w:tblPr>
        <w:tblW w:type="dxa" w:w="9360"/>
        <w:tblBorders>
          <w:top w:val="single" w:color="D4D4D8" w:sz="4"/>
          <w:left w:val="none" w:color="FFFFFF" w:sz="0"/>
          <w:bottom w:val="single" w:color="D4D4D8" w:sz="4"/>
          <w:right w:val="none" w:color="FFFFFF" w:sz="0"/>
          <w:insideH w:val="single" w:color="D4D4D8" w:sz="4"/>
          <w:insideV w:val="none" w:color="FFFFFF" w:sz="0"/>
        </w:tblBorders>
      </w:tblPr>
      <w:tblGrid>
        <w:gridCol w:w="6560"/>
        <w:gridCol w:w="2800"/>
      </w:tblGrid>
      <w:tr>
        <w:trPr>
          <w:tblHeader/>
        </w:trPr>
        <w:tc>
          <w:tcPr>
            <w:tcW w:type="dxa" w:w="6560"/>
            <w:shd w:fill="EEF2FF" w:color="auto" w:val="clear"/>
            <w:tcMar>
              <w:top w:type="dxa" w:w="90"/>
              <w:left w:type="dxa" w:w="140"/>
              <w:bottom w:type="dxa" w:w="90"/>
              <w:right w:type="dxa" w:w="140"/>
            </w:tcMar>
          </w:tcPr>
          <w:p>
            <w:pPr>
              <w:spacing w:after="0" w:line="260"/>
              <w:jc w:val="left"/>
            </w:pPr>
            <w:r>
              <w:rPr>
                <w:rFonts w:ascii="Calibri" w:cs="Calibri" w:eastAsia="Calibri" w:hAnsi="Calibri"/>
                <w:b/>
                <w:bCs/>
                <w:color w:val="4338CA"/>
                <w:sz w:val="19"/>
                <w:szCs w:val="19"/>
              </w:rPr>
              <w:t xml:space="preserve"/>
            </w:r>
          </w:p>
        </w:tc>
        <w:tc>
          <w:tcPr>
            <w:tcW w:type="dxa" w:w="2800"/>
            <w:shd w:fill="EEF2FF" w:color="auto" w:val="clear"/>
            <w:tcMar>
              <w:top w:type="dxa" w:w="90"/>
              <w:left w:type="dxa" w:w="140"/>
              <w:bottom w:type="dxa" w:w="90"/>
              <w:right w:type="dxa" w:w="140"/>
            </w:tcMar>
          </w:tcPr>
          <w:p>
            <w:pPr>
              <w:spacing w:after="0" w:line="260"/>
              <w:jc w:val="right"/>
            </w:pPr>
            <w:r>
              <w:rPr>
                <w:rFonts w:ascii="Calibri" w:cs="Calibri" w:eastAsia="Calibri" w:hAnsi="Calibri"/>
                <w:b/>
                <w:bCs/>
                <w:color w:val="4338CA"/>
                <w:sz w:val="19"/>
                <w:szCs w:val="19"/>
              </w:rPr>
              <w:t xml:space="preserve"/>
            </w:r>
          </w:p>
        </w:tc>
      </w:tr>
      <w:tr>
        <w:trPr>
          <w:tblHeader w:val="false"/>
        </w:trPr>
        <w:tc>
          <w:tcPr>
            <w:tcW w:type="dxa" w:w="6560"/>
            <w:tcMar>
              <w:top w:type="dxa" w:w="90"/>
              <w:left w:type="dxa" w:w="140"/>
              <w:bottom w:type="dxa" w:w="90"/>
              <w:right w:type="dxa" w:w="140"/>
            </w:tcMar>
          </w:tcPr>
          <w:p>
            <w:pPr>
              <w:spacing w:after="0" w:line="260"/>
              <w:jc w:val="left"/>
            </w:pPr>
            <w:r>
              <w:rPr>
                <w:rFonts w:ascii="Calibri" w:cs="Calibri" w:eastAsia="Calibri" w:hAnsi="Calibri"/>
                <w:color w:val="1A1A2E"/>
                <w:sz w:val="19"/>
                <w:szCs w:val="19"/>
              </w:rPr>
              <w:t xml:space="preserve">Población con </w:t>
            </w:r>
            <w:r>
              <w:rPr>
                <w:rFonts w:ascii="Calibri" w:cs="Calibri" w:eastAsia="Calibri" w:hAnsi="Calibri"/>
                <w:b/>
                <w:bCs/>
                <w:color w:val="1A1A2E"/>
                <w:sz w:val="19"/>
                <w:szCs w:val="19"/>
              </w:rPr>
              <w:t xml:space="preserve">depósito a plazo fijo o fondo de inversión</w:t>
            </w:r>
          </w:p>
        </w:tc>
        <w:tc>
          <w:tcPr>
            <w:tcW w:type="dxa" w:w="2800"/>
            <w:tcMar>
              <w:top w:type="dxa" w:w="90"/>
              <w:left w:type="dxa" w:w="140"/>
              <w:bottom w:type="dxa" w:w="90"/>
              <w:right w:type="dxa" w:w="140"/>
            </w:tcMar>
          </w:tcPr>
          <w:p>
            <w:pPr>
              <w:spacing w:after="0" w:line="260"/>
              <w:jc w:val="right"/>
            </w:pPr>
            <w:r>
              <w:rPr>
                <w:rFonts w:ascii="Calibri" w:cs="Calibri" w:eastAsia="Calibri" w:hAnsi="Calibri"/>
                <w:b/>
                <w:bCs/>
                <w:color w:val="1A1A2E"/>
                <w:sz w:val="19"/>
                <w:szCs w:val="19"/>
              </w:rPr>
              <w:t xml:space="preserve">3.4 %</w:t>
            </w:r>
            <w:r>
              <w:rPr>
                <w:rFonts w:ascii="Calibri" w:cs="Calibri" w:eastAsia="Calibri" w:hAnsi="Calibri"/>
                <w:color w:val="1A1A2E"/>
                <w:sz w:val="19"/>
                <w:szCs w:val="19"/>
              </w:rPr>
              <w:t xml:space="preserve">  (2.1 % en 2021)</w:t>
            </w:r>
          </w:p>
        </w:tc>
      </w:tr>
      <w:tr>
        <w:trPr>
          <w:tblHeader w:val="false"/>
        </w:trPr>
        <w:tc>
          <w:tcPr>
            <w:tcW w:type="dxa" w:w="6560"/>
            <w:tcMar>
              <w:top w:type="dxa" w:w="90"/>
              <w:left w:type="dxa" w:w="140"/>
              <w:bottom w:type="dxa" w:w="90"/>
              <w:right w:type="dxa" w:w="140"/>
            </w:tcMar>
          </w:tcPr>
          <w:p>
            <w:pPr>
              <w:spacing w:after="0" w:line="260"/>
              <w:jc w:val="left"/>
            </w:pPr>
            <w:r>
              <w:rPr>
                <w:rFonts w:ascii="Calibri" w:cs="Calibri" w:eastAsia="Calibri" w:hAnsi="Calibri"/>
                <w:color w:val="1A1A2E"/>
                <w:sz w:val="19"/>
                <w:szCs w:val="19"/>
              </w:rPr>
              <w:t xml:space="preserve">Población con al menos una cuenta de ahorro formal</w:t>
            </w:r>
          </w:p>
        </w:tc>
        <w:tc>
          <w:tcPr>
            <w:tcW w:type="dxa" w:w="2800"/>
            <w:tcMar>
              <w:top w:type="dxa" w:w="90"/>
              <w:left w:type="dxa" w:w="140"/>
              <w:bottom w:type="dxa" w:w="90"/>
              <w:right w:type="dxa" w:w="140"/>
            </w:tcMar>
          </w:tcPr>
          <w:p>
            <w:pPr>
              <w:spacing w:after="0" w:line="260"/>
              <w:jc w:val="right"/>
            </w:pPr>
            <w:r>
              <w:rPr>
                <w:rFonts w:ascii="Calibri" w:cs="Calibri" w:eastAsia="Calibri" w:hAnsi="Calibri"/>
                <w:color w:val="1A1A2E"/>
                <w:sz w:val="19"/>
                <w:szCs w:val="19"/>
              </w:rPr>
              <w:t xml:space="preserve">63.0 %  (+18.9 pp desde 2015)</w:t>
            </w:r>
          </w:p>
        </w:tc>
      </w:tr>
      <w:tr>
        <w:trPr>
          <w:tblHeader w:val="false"/>
        </w:trPr>
        <w:tc>
          <w:tcPr>
            <w:tcW w:type="dxa" w:w="6560"/>
            <w:tcMar>
              <w:top w:type="dxa" w:w="90"/>
              <w:left w:type="dxa" w:w="140"/>
              <w:bottom w:type="dxa" w:w="90"/>
              <w:right w:type="dxa" w:w="140"/>
            </w:tcMar>
          </w:tcPr>
          <w:p>
            <w:pPr>
              <w:spacing w:after="0" w:line="260"/>
              <w:jc w:val="left"/>
            </w:pPr>
            <w:r>
              <w:rPr>
                <w:rFonts w:ascii="Calibri" w:cs="Calibri" w:eastAsia="Calibri" w:hAnsi="Calibri"/>
                <w:color w:val="1A1A2E"/>
                <w:sz w:val="19"/>
                <w:szCs w:val="19"/>
              </w:rPr>
              <w:t xml:space="preserve">Población con al menos un producto financiero</w:t>
            </w:r>
          </w:p>
        </w:tc>
        <w:tc>
          <w:tcPr>
            <w:tcW w:type="dxa" w:w="2800"/>
            <w:tcMar>
              <w:top w:type="dxa" w:w="90"/>
              <w:left w:type="dxa" w:w="140"/>
              <w:bottom w:type="dxa" w:w="90"/>
              <w:right w:type="dxa" w:w="140"/>
            </w:tcMar>
          </w:tcPr>
          <w:p>
            <w:pPr>
              <w:spacing w:after="0" w:line="260"/>
              <w:jc w:val="right"/>
            </w:pPr>
            <w:r>
              <w:rPr>
                <w:rFonts w:ascii="Calibri" w:cs="Calibri" w:eastAsia="Calibri" w:hAnsi="Calibri"/>
                <w:color w:val="1A1A2E"/>
                <w:sz w:val="19"/>
                <w:szCs w:val="19"/>
              </w:rPr>
              <w:t xml:space="preserve">76.5 %</w:t>
            </w:r>
          </w:p>
        </w:tc>
      </w:tr>
      <w:tr>
        <w:trPr>
          <w:tblHeader w:val="false"/>
        </w:trPr>
        <w:tc>
          <w:tcPr>
            <w:tcW w:type="dxa" w:w="6560"/>
            <w:tcMar>
              <w:top w:type="dxa" w:w="90"/>
              <w:left w:type="dxa" w:w="140"/>
              <w:bottom w:type="dxa" w:w="90"/>
              <w:right w:type="dxa" w:w="140"/>
            </w:tcMar>
          </w:tcPr>
          <w:p>
            <w:pPr>
              <w:spacing w:after="0" w:line="260"/>
              <w:jc w:val="left"/>
            </w:pPr>
            <w:r>
              <w:rPr>
                <w:rFonts w:ascii="Calibri" w:cs="Calibri" w:eastAsia="Calibri" w:hAnsi="Calibri"/>
                <w:color w:val="1A1A2E"/>
                <w:sz w:val="19"/>
                <w:szCs w:val="19"/>
              </w:rPr>
              <w:t xml:space="preserve">Población que llevó registro de sus gastos</w:t>
            </w:r>
          </w:p>
        </w:tc>
        <w:tc>
          <w:tcPr>
            <w:tcW w:type="dxa" w:w="2800"/>
            <w:tcMar>
              <w:top w:type="dxa" w:w="90"/>
              <w:left w:type="dxa" w:w="140"/>
              <w:bottom w:type="dxa" w:w="90"/>
              <w:right w:type="dxa" w:w="140"/>
            </w:tcMar>
          </w:tcPr>
          <w:p>
            <w:pPr>
              <w:spacing w:after="0" w:line="260"/>
              <w:jc w:val="right"/>
            </w:pPr>
            <w:r>
              <w:rPr>
                <w:rFonts w:ascii="Calibri" w:cs="Calibri" w:eastAsia="Calibri" w:hAnsi="Calibri"/>
                <w:color w:val="1A1A2E"/>
                <w:sz w:val="19"/>
                <w:szCs w:val="19"/>
              </w:rPr>
              <w:t xml:space="preserve">65.3 %</w:t>
            </w:r>
          </w:p>
        </w:tc>
      </w:tr>
      <w:tr>
        <w:trPr>
          <w:tblHeader w:val="false"/>
        </w:trPr>
        <w:tc>
          <w:tcPr>
            <w:tcW w:type="dxa" w:w="6560"/>
            <w:tcMar>
              <w:top w:type="dxa" w:w="90"/>
              <w:left w:type="dxa" w:w="140"/>
              <w:bottom w:type="dxa" w:w="90"/>
              <w:right w:type="dxa" w:w="140"/>
            </w:tcMar>
          </w:tcPr>
          <w:p>
            <w:pPr>
              <w:spacing w:after="0" w:line="260"/>
              <w:jc w:val="left"/>
            </w:pPr>
            <w:r>
              <w:rPr>
                <w:rFonts w:ascii="Calibri" w:cs="Calibri" w:eastAsia="Calibri" w:hAnsi="Calibri"/>
                <w:color w:val="1A1A2E"/>
                <w:sz w:val="19"/>
                <w:szCs w:val="19"/>
              </w:rPr>
              <w:t xml:space="preserve">— de ese grupo, quienes usan </w:t>
            </w:r>
            <w:r>
              <w:rPr>
                <w:rFonts w:ascii="Calibri" w:cs="Calibri" w:eastAsia="Calibri" w:hAnsi="Calibri"/>
                <w:b/>
                <w:bCs/>
                <w:color w:val="1A1A2E"/>
                <w:sz w:val="19"/>
                <w:szCs w:val="19"/>
              </w:rPr>
              <w:t xml:space="preserve">apps o herramientas financieras</w:t>
            </w:r>
          </w:p>
        </w:tc>
        <w:tc>
          <w:tcPr>
            <w:tcW w:type="dxa" w:w="2800"/>
            <w:tcMar>
              <w:top w:type="dxa" w:w="90"/>
              <w:left w:type="dxa" w:w="140"/>
              <w:bottom w:type="dxa" w:w="90"/>
              <w:right w:type="dxa" w:w="140"/>
            </w:tcMar>
          </w:tcPr>
          <w:p>
            <w:pPr>
              <w:spacing w:after="0" w:line="260"/>
              <w:jc w:val="right"/>
            </w:pPr>
            <w:r>
              <w:rPr>
                <w:rFonts w:ascii="Calibri" w:cs="Calibri" w:eastAsia="Calibri" w:hAnsi="Calibri"/>
                <w:b/>
                <w:bCs/>
                <w:color w:val="1A1A2E"/>
                <w:sz w:val="19"/>
                <w:szCs w:val="19"/>
              </w:rPr>
              <w:t xml:space="preserve">19.5 %</w:t>
            </w:r>
          </w:p>
        </w:tc>
      </w:tr>
      <w:tr>
        <w:trPr>
          <w:tblHeader w:val="false"/>
        </w:trPr>
        <w:tc>
          <w:tcPr>
            <w:tcW w:type="dxa" w:w="6560"/>
            <w:tcMar>
              <w:top w:type="dxa" w:w="90"/>
              <w:left w:type="dxa" w:w="140"/>
              <w:bottom w:type="dxa" w:w="90"/>
              <w:right w:type="dxa" w:w="140"/>
            </w:tcMar>
          </w:tcPr>
          <w:p>
            <w:pPr>
              <w:spacing w:after="0" w:line="260"/>
              <w:jc w:val="left"/>
            </w:pPr>
            <w:r>
              <w:rPr>
                <w:rFonts w:ascii="Calibri" w:cs="Calibri" w:eastAsia="Calibri" w:hAnsi="Calibri"/>
                <w:color w:val="1A1A2E"/>
                <w:sz w:val="19"/>
                <w:szCs w:val="19"/>
              </w:rPr>
              <w:t xml:space="preserve">— de ese grupo, quienes llevan un presupuesto formal</w:t>
            </w:r>
          </w:p>
        </w:tc>
        <w:tc>
          <w:tcPr>
            <w:tcW w:type="dxa" w:w="2800"/>
            <w:tcMar>
              <w:top w:type="dxa" w:w="90"/>
              <w:left w:type="dxa" w:w="140"/>
              <w:bottom w:type="dxa" w:w="90"/>
              <w:right w:type="dxa" w:w="140"/>
            </w:tcMar>
          </w:tcPr>
          <w:p>
            <w:pPr>
              <w:spacing w:after="0" w:line="260"/>
              <w:jc w:val="right"/>
            </w:pPr>
            <w:r>
              <w:rPr>
                <w:rFonts w:ascii="Calibri" w:cs="Calibri" w:eastAsia="Calibri" w:hAnsi="Calibri"/>
                <w:color w:val="1A1A2E"/>
                <w:sz w:val="19"/>
                <w:szCs w:val="19"/>
              </w:rPr>
              <w:t xml:space="preserve">23.9 %</w:t>
            </w:r>
          </w:p>
        </w:tc>
      </w:tr>
    </w:tbl>
    <w:p>
      <w:pPr>
        <w:spacing w:after="120"/>
      </w:pPr>
    </w:p>
    <w:p>
      <w:pPr>
        <w:spacing w:after="200"/>
      </w:pPr>
      <w:hyperlink w:history="1" r:id="rIdves57ykg1lwe1e2vcqhn_">
        <w:r>
          <w:rPr>
            <w:rFonts w:ascii="Calibri" w:cs="Calibri" w:eastAsia="Calibri" w:hAnsi="Calibri"/>
            <w:color w:val="4338CA"/>
            <w:sz w:val="19"/>
            <w:szCs w:val="19"/>
            <w:u w:val="single"/>
          </w:rPr>
          <w:t xml:space="preserve">inegi.org.mx — Comunicado ENIF 2024 (PDF)</w:t>
        </w:r>
      </w:hyperlink>
    </w:p>
    <w:p>
      <w:pPr>
        <w:spacing w:after="60" w:before="260"/>
      </w:pPr>
      <w:r>
        <w:rPr>
          <w:rFonts w:ascii="Calibri" w:cs="Calibri" w:eastAsia="Calibri" w:hAnsi="Calibri"/>
          <w:b/>
          <w:bCs/>
          <w:color w:val="1A1A2E"/>
          <w:sz w:val="24"/>
          <w:szCs w:val="24"/>
        </w:rPr>
        <w:t xml:space="preserve">2.  AMIB — Foro de Fondos 2025</w:t>
      </w:r>
    </w:p>
    <w:p>
      <w:pPr>
        <w:spacing w:after="120" w:line="280"/>
      </w:pPr>
      <w:r>
        <w:rPr>
          <w:rFonts w:ascii="Calibri" w:cs="Calibri" w:eastAsia="Calibri" w:hAnsi="Calibri"/>
          <w:color w:val="6B7280"/>
          <w:sz w:val="20"/>
          <w:szCs w:val="20"/>
        </w:rPr>
        <w:t xml:space="preserve">Álvaro García Pimentel, presidente de la AMIB, 27 de mayo de 2025.</w:t>
      </w:r>
    </w:p>
    <w:p>
      <w:pPr>
        <w:pStyle w:val="ListParagraph"/>
        <w:numPr>
          <w:ilvl w:val="0"/>
          <w:numId w:val="2"/>
        </w:numPr>
        <w:spacing w:after="100" w:line="290"/>
      </w:pPr>
      <w:r>
        <w:rPr>
          <w:rFonts w:ascii="Calibri" w:cs="Calibri" w:eastAsia="Calibri" w:hAnsi="Calibri"/>
          <w:color w:val="1A1A2E"/>
          <w:sz w:val="21"/>
          <w:szCs w:val="21"/>
        </w:rPr>
        <w:t xml:space="preserve">Personas activas en fondos de inversión: </w:t>
      </w:r>
      <w:r>
        <w:rPr>
          <w:rFonts w:ascii="Calibri" w:cs="Calibri" w:eastAsia="Calibri" w:hAnsi="Calibri"/>
          <w:b/>
          <w:bCs/>
          <w:color w:val="1A1A2E"/>
          <w:sz w:val="21"/>
          <w:szCs w:val="21"/>
        </w:rPr>
        <w:t xml:space="preserve">de menos de 3 millones a 13.1 millones en 5 años</w:t>
      </w:r>
      <w:r>
        <w:rPr>
          <w:rFonts w:ascii="Calibri" w:cs="Calibri" w:eastAsia="Calibri" w:hAnsi="Calibri"/>
          <w:color w:val="1A1A2E"/>
          <w:sz w:val="21"/>
          <w:szCs w:val="21"/>
        </w:rPr>
        <w:t xml:space="preserve"> (+400 %).</w:t>
      </w:r>
    </w:p>
    <w:p>
      <w:pPr>
        <w:pStyle w:val="ListParagraph"/>
        <w:numPr>
          <w:ilvl w:val="0"/>
          <w:numId w:val="2"/>
        </w:numPr>
        <w:spacing w:after="100" w:line="290"/>
      </w:pPr>
      <w:r>
        <w:rPr>
          <w:rFonts w:ascii="Calibri" w:cs="Calibri" w:eastAsia="Calibri" w:hAnsi="Calibri"/>
          <w:color w:val="1A1A2E"/>
          <w:sz w:val="21"/>
          <w:szCs w:val="21"/>
        </w:rPr>
        <w:t xml:space="preserve">Total de inversionistas en el sistema bursátil mexicano: </w:t>
      </w:r>
      <w:r>
        <w:rPr>
          <w:rFonts w:ascii="Calibri" w:cs="Calibri" w:eastAsia="Calibri" w:hAnsi="Calibri"/>
          <w:b/>
          <w:bCs/>
          <w:color w:val="1A1A2E"/>
          <w:sz w:val="21"/>
          <w:szCs w:val="21"/>
        </w:rPr>
        <w:t xml:space="preserve">31 millones</w:t>
      </w:r>
      <w:r>
        <w:rPr>
          <w:rFonts w:ascii="Calibri" w:cs="Calibri" w:eastAsia="Calibri" w:hAnsi="Calibri"/>
          <w:color w:val="1A1A2E"/>
          <w:sz w:val="21"/>
          <w:szCs w:val="21"/>
        </w:rPr>
        <w:t xml:space="preserve">.</w:t>
      </w:r>
    </w:p>
    <w:p>
      <w:pPr>
        <w:pStyle w:val="ListParagraph"/>
        <w:numPr>
          <w:ilvl w:val="0"/>
          <w:numId w:val="2"/>
        </w:numPr>
        <w:spacing w:after="100" w:line="290"/>
      </w:pPr>
      <w:r>
        <w:rPr>
          <w:rFonts w:ascii="Calibri" w:cs="Calibri" w:eastAsia="Calibri" w:hAnsi="Calibri"/>
          <w:color w:val="1A1A2E"/>
          <w:sz w:val="21"/>
          <w:szCs w:val="21"/>
        </w:rPr>
        <w:t xml:space="preserve">Activos bajo administración: </w:t>
      </w:r>
      <w:r>
        <w:rPr>
          <w:rFonts w:ascii="Calibri" w:cs="Calibri" w:eastAsia="Calibri" w:hAnsi="Calibri"/>
          <w:b/>
          <w:bCs/>
          <w:color w:val="1A1A2E"/>
          <w:sz w:val="21"/>
          <w:szCs w:val="21"/>
        </w:rPr>
        <w:t xml:space="preserve">4.5 billones de pesos</w:t>
      </w:r>
      <w:r>
        <w:rPr>
          <w:rFonts w:ascii="Calibri" w:cs="Calibri" w:eastAsia="Calibri" w:hAnsi="Calibri"/>
          <w:color w:val="1A1A2E"/>
          <w:sz w:val="21"/>
          <w:szCs w:val="21"/>
        </w:rPr>
        <w:t xml:space="preserve"> (el doble que los 2.4 billones previos).</w:t>
      </w:r>
    </w:p>
    <w:p>
      <w:pPr>
        <w:spacing w:after="200"/>
      </w:pPr>
      <w:hyperlink w:history="1" r:id="rIdfip9rdybdvhnro9zpj3mf">
        <w:r>
          <w:rPr>
            <w:rFonts w:ascii="Calibri" w:cs="Calibri" w:eastAsia="Calibri" w:hAnsi="Calibri"/>
            <w:color w:val="4338CA"/>
            <w:sz w:val="19"/>
            <w:szCs w:val="19"/>
            <w:u w:val="single"/>
          </w:rPr>
          <w:t xml:space="preserve">Cobertura del Foro de Fondos AMIB 2025</w:t>
        </w:r>
      </w:hyperlink>
    </w:p>
    <w:p>
      <w:pPr>
        <w:spacing w:after="60" w:before="260"/>
      </w:pPr>
      <w:r>
        <w:rPr>
          <w:rFonts w:ascii="Calibri" w:cs="Calibri" w:eastAsia="Calibri" w:hAnsi="Calibri"/>
          <w:b/>
          <w:bCs/>
          <w:color w:val="1A1A2E"/>
          <w:sz w:val="24"/>
          <w:szCs w:val="24"/>
        </w:rPr>
        <w:t xml:space="preserve">3.  Morningstar — Mind the Gap 2025</w:t>
      </w:r>
    </w:p>
    <w:p>
      <w:pPr>
        <w:spacing w:after="120" w:line="280"/>
      </w:pPr>
      <w:r>
        <w:rPr>
          <w:rFonts w:ascii="Calibri" w:cs="Calibri" w:eastAsia="Calibri" w:hAnsi="Calibri"/>
          <w:color w:val="6B7280"/>
          <w:sz w:val="20"/>
          <w:szCs w:val="20"/>
        </w:rPr>
        <w:t xml:space="preserve">Publicado en agosto de 2025. Periodo: 10 años terminados el 31 de diciembre de 2024. Universo: fondos mutuos y ETFs de Estados Unidos.</w:t>
      </w:r>
    </w:p>
    <w:tbl>
      <w:tblPr>
        <w:tblW w:type="dxa" w:w="9360"/>
        <w:tblBorders>
          <w:top w:val="single" w:color="D4D4D8" w:sz="4"/>
          <w:left w:val="none" w:color="FFFFFF" w:sz="0"/>
          <w:bottom w:val="single" w:color="D4D4D8" w:sz="4"/>
          <w:right w:val="none" w:color="FFFFFF" w:sz="0"/>
          <w:insideH w:val="single" w:color="D4D4D8" w:sz="4"/>
          <w:insideV w:val="none" w:color="FFFFFF" w:sz="0"/>
        </w:tblBorders>
      </w:tblPr>
      <w:tblGrid>
        <w:gridCol w:w="6560"/>
        <w:gridCol w:w="2800"/>
      </w:tblGrid>
      <w:tr>
        <w:trPr>
          <w:tblHeader/>
        </w:trPr>
        <w:tc>
          <w:tcPr>
            <w:tcW w:type="dxa" w:w="6560"/>
            <w:shd w:fill="EEF2FF" w:color="auto" w:val="clear"/>
            <w:tcMar>
              <w:top w:type="dxa" w:w="90"/>
              <w:left w:type="dxa" w:w="140"/>
              <w:bottom w:type="dxa" w:w="90"/>
              <w:right w:type="dxa" w:w="140"/>
            </w:tcMar>
          </w:tcPr>
          <w:p>
            <w:pPr>
              <w:spacing w:after="0" w:line="260"/>
              <w:jc w:val="left"/>
            </w:pPr>
            <w:r>
              <w:rPr>
                <w:rFonts w:ascii="Calibri" w:cs="Calibri" w:eastAsia="Calibri" w:hAnsi="Calibri"/>
                <w:b/>
                <w:bCs/>
                <w:color w:val="4338CA"/>
                <w:sz w:val="19"/>
                <w:szCs w:val="19"/>
              </w:rPr>
              <w:t xml:space="preserve"/>
            </w:r>
          </w:p>
        </w:tc>
        <w:tc>
          <w:tcPr>
            <w:tcW w:type="dxa" w:w="2800"/>
            <w:shd w:fill="EEF2FF" w:color="auto" w:val="clear"/>
            <w:tcMar>
              <w:top w:type="dxa" w:w="90"/>
              <w:left w:type="dxa" w:w="140"/>
              <w:bottom w:type="dxa" w:w="90"/>
              <w:right w:type="dxa" w:w="140"/>
            </w:tcMar>
          </w:tcPr>
          <w:p>
            <w:pPr>
              <w:spacing w:after="0" w:line="260"/>
              <w:jc w:val="right"/>
            </w:pPr>
            <w:r>
              <w:rPr>
                <w:rFonts w:ascii="Calibri" w:cs="Calibri" w:eastAsia="Calibri" w:hAnsi="Calibri"/>
                <w:b/>
                <w:bCs/>
                <w:color w:val="4338CA"/>
                <w:sz w:val="19"/>
                <w:szCs w:val="19"/>
              </w:rPr>
              <w:t xml:space="preserve"/>
            </w:r>
          </w:p>
        </w:tc>
      </w:tr>
      <w:tr>
        <w:trPr>
          <w:tblHeader w:val="false"/>
        </w:trPr>
        <w:tc>
          <w:tcPr>
            <w:tcW w:type="dxa" w:w="6560"/>
            <w:tcMar>
              <w:top w:type="dxa" w:w="90"/>
              <w:left w:type="dxa" w:w="140"/>
              <w:bottom w:type="dxa" w:w="90"/>
              <w:right w:type="dxa" w:w="140"/>
            </w:tcMar>
          </w:tcPr>
          <w:p>
            <w:pPr>
              <w:spacing w:after="0" w:line="260"/>
              <w:jc w:val="left"/>
            </w:pPr>
            <w:r>
              <w:rPr>
                <w:rFonts w:ascii="Calibri" w:cs="Calibri" w:eastAsia="Calibri" w:hAnsi="Calibri"/>
                <w:color w:val="1A1A2E"/>
                <w:sz w:val="19"/>
                <w:szCs w:val="19"/>
              </w:rPr>
              <w:t xml:space="preserve">Retorno del inversionista (ponderado por dinero)</w:t>
            </w:r>
          </w:p>
        </w:tc>
        <w:tc>
          <w:tcPr>
            <w:tcW w:type="dxa" w:w="2800"/>
            <w:tcMar>
              <w:top w:type="dxa" w:w="90"/>
              <w:left w:type="dxa" w:w="140"/>
              <w:bottom w:type="dxa" w:w="90"/>
              <w:right w:type="dxa" w:w="140"/>
            </w:tcMar>
          </w:tcPr>
          <w:p>
            <w:pPr>
              <w:spacing w:after="0" w:line="260"/>
              <w:jc w:val="right"/>
            </w:pPr>
            <w:r>
              <w:rPr>
                <w:rFonts w:ascii="Calibri" w:cs="Calibri" w:eastAsia="Calibri" w:hAnsi="Calibri"/>
                <w:b/>
                <w:bCs/>
                <w:color w:val="1A1A2E"/>
                <w:sz w:val="19"/>
                <w:szCs w:val="19"/>
              </w:rPr>
              <w:t xml:space="preserve">7.0 % anual</w:t>
            </w:r>
          </w:p>
        </w:tc>
      </w:tr>
      <w:tr>
        <w:trPr>
          <w:tblHeader w:val="false"/>
        </w:trPr>
        <w:tc>
          <w:tcPr>
            <w:tcW w:type="dxa" w:w="6560"/>
            <w:tcMar>
              <w:top w:type="dxa" w:w="90"/>
              <w:left w:type="dxa" w:w="140"/>
              <w:bottom w:type="dxa" w:w="90"/>
              <w:right w:type="dxa" w:w="140"/>
            </w:tcMar>
          </w:tcPr>
          <w:p>
            <w:pPr>
              <w:spacing w:after="0" w:line="260"/>
              <w:jc w:val="left"/>
            </w:pPr>
            <w:r>
              <w:rPr>
                <w:rFonts w:ascii="Calibri" w:cs="Calibri" w:eastAsia="Calibri" w:hAnsi="Calibri"/>
                <w:color w:val="1A1A2E"/>
                <w:sz w:val="19"/>
                <w:szCs w:val="19"/>
              </w:rPr>
              <w:t xml:space="preserve">Retorno total del fondo (ponderado por tiempo)</w:t>
            </w:r>
          </w:p>
        </w:tc>
        <w:tc>
          <w:tcPr>
            <w:tcW w:type="dxa" w:w="2800"/>
            <w:tcMar>
              <w:top w:type="dxa" w:w="90"/>
              <w:left w:type="dxa" w:w="140"/>
              <w:bottom w:type="dxa" w:w="90"/>
              <w:right w:type="dxa" w:w="140"/>
            </w:tcMar>
          </w:tcPr>
          <w:p>
            <w:pPr>
              <w:spacing w:after="0" w:line="260"/>
              <w:jc w:val="right"/>
            </w:pPr>
            <w:r>
              <w:rPr>
                <w:rFonts w:ascii="Calibri" w:cs="Calibri" w:eastAsia="Calibri" w:hAnsi="Calibri"/>
                <w:b/>
                <w:bCs/>
                <w:color w:val="1A1A2E"/>
                <w:sz w:val="19"/>
                <w:szCs w:val="19"/>
              </w:rPr>
              <w:t xml:space="preserve">8.2 % anual</w:t>
            </w:r>
          </w:p>
        </w:tc>
      </w:tr>
      <w:tr>
        <w:trPr>
          <w:tblHeader w:val="false"/>
        </w:trPr>
        <w:tc>
          <w:tcPr>
            <w:tcW w:type="dxa" w:w="6560"/>
            <w:tcMar>
              <w:top w:type="dxa" w:w="90"/>
              <w:left w:type="dxa" w:w="140"/>
              <w:bottom w:type="dxa" w:w="90"/>
              <w:right w:type="dxa" w:w="140"/>
            </w:tcMar>
          </w:tcPr>
          <w:p>
            <w:pPr>
              <w:spacing w:after="0" w:line="260"/>
              <w:jc w:val="left"/>
            </w:pPr>
            <w:r>
              <w:rPr>
                <w:rFonts w:ascii="Calibri" w:cs="Calibri" w:eastAsia="Calibri" w:hAnsi="Calibri"/>
                <w:b/>
                <w:bCs/>
                <w:color w:val="1A1A2E"/>
                <w:sz w:val="19"/>
                <w:szCs w:val="19"/>
              </w:rPr>
              <w:t xml:space="preserve">Brecha</w:t>
            </w:r>
          </w:p>
        </w:tc>
        <w:tc>
          <w:tcPr>
            <w:tcW w:type="dxa" w:w="2800"/>
            <w:tcMar>
              <w:top w:type="dxa" w:w="90"/>
              <w:left w:type="dxa" w:w="140"/>
              <w:bottom w:type="dxa" w:w="90"/>
              <w:right w:type="dxa" w:w="140"/>
            </w:tcMar>
          </w:tcPr>
          <w:p>
            <w:pPr>
              <w:spacing w:after="0" w:line="260"/>
              <w:jc w:val="right"/>
            </w:pPr>
            <w:r>
              <w:rPr>
                <w:rFonts w:ascii="Calibri" w:cs="Calibri" w:eastAsia="Calibri" w:hAnsi="Calibri"/>
                <w:b/>
                <w:bCs/>
                <w:color w:val="1A1A2E"/>
                <w:sz w:val="19"/>
                <w:szCs w:val="19"/>
              </w:rPr>
              <w:t xml:space="preserve">–1.2 puntos porcentuales al año</w:t>
            </w:r>
          </w:p>
        </w:tc>
      </w:tr>
      <w:tr>
        <w:trPr>
          <w:tblHeader w:val="false"/>
        </w:trPr>
        <w:tc>
          <w:tcPr>
            <w:tcW w:type="dxa" w:w="6560"/>
            <w:tcMar>
              <w:top w:type="dxa" w:w="90"/>
              <w:left w:type="dxa" w:w="140"/>
              <w:bottom w:type="dxa" w:w="90"/>
              <w:right w:type="dxa" w:w="140"/>
            </w:tcMar>
          </w:tcPr>
          <w:p>
            <w:pPr>
              <w:spacing w:after="0" w:line="260"/>
              <w:jc w:val="left"/>
            </w:pPr>
            <w:r>
              <w:rPr>
                <w:rFonts w:ascii="Calibri" w:cs="Calibri" w:eastAsia="Calibri" w:hAnsi="Calibri"/>
                <w:color w:val="1A1A2E"/>
                <w:sz w:val="19"/>
                <w:szCs w:val="19"/>
              </w:rPr>
              <w:t xml:space="preserve">Quintil que MENOS opera → quintil que MÁS opera</w:t>
            </w:r>
          </w:p>
        </w:tc>
        <w:tc>
          <w:tcPr>
            <w:tcW w:type="dxa" w:w="2800"/>
            <w:tcMar>
              <w:top w:type="dxa" w:w="90"/>
              <w:left w:type="dxa" w:w="140"/>
              <w:bottom w:type="dxa" w:w="90"/>
              <w:right w:type="dxa" w:w="140"/>
            </w:tcMar>
          </w:tcPr>
          <w:p>
            <w:pPr>
              <w:spacing w:after="0" w:line="260"/>
              <w:jc w:val="right"/>
            </w:pPr>
            <w:r>
              <w:rPr>
                <w:rFonts w:ascii="Calibri" w:cs="Calibri" w:eastAsia="Calibri" w:hAnsi="Calibri"/>
                <w:color w:val="1A1A2E"/>
                <w:sz w:val="19"/>
                <w:szCs w:val="19"/>
              </w:rPr>
              <w:t xml:space="preserve">–0.8 pp  →  –1.8 pp</w:t>
            </w:r>
          </w:p>
        </w:tc>
      </w:tr>
      <w:tr>
        <w:trPr>
          <w:tblHeader w:val="false"/>
        </w:trPr>
        <w:tc>
          <w:tcPr>
            <w:tcW w:type="dxa" w:w="6560"/>
            <w:tcMar>
              <w:top w:type="dxa" w:w="90"/>
              <w:left w:type="dxa" w:w="140"/>
              <w:bottom w:type="dxa" w:w="90"/>
              <w:right w:type="dxa" w:w="140"/>
            </w:tcMar>
          </w:tcPr>
          <w:p>
            <w:pPr>
              <w:spacing w:after="0" w:line="260"/>
              <w:jc w:val="left"/>
            </w:pPr>
            <w:r>
              <w:rPr>
                <w:rFonts w:ascii="Calibri" w:cs="Calibri" w:eastAsia="Calibri" w:hAnsi="Calibri"/>
                <w:color w:val="1A1A2E"/>
                <w:sz w:val="19"/>
                <w:szCs w:val="19"/>
              </w:rPr>
              <w:t xml:space="preserve">Fondos de asignación / diversificados</w:t>
            </w:r>
          </w:p>
        </w:tc>
        <w:tc>
          <w:tcPr>
            <w:tcW w:type="dxa" w:w="2800"/>
            <w:tcMar>
              <w:top w:type="dxa" w:w="90"/>
              <w:left w:type="dxa" w:w="140"/>
              <w:bottom w:type="dxa" w:w="90"/>
              <w:right w:type="dxa" w:w="140"/>
            </w:tcMar>
          </w:tcPr>
          <w:p>
            <w:pPr>
              <w:spacing w:after="0" w:line="260"/>
              <w:jc w:val="right"/>
            </w:pPr>
            <w:r>
              <w:rPr>
                <w:rFonts w:ascii="Calibri" w:cs="Calibri" w:eastAsia="Calibri" w:hAnsi="Calibri"/>
                <w:color w:val="1A1A2E"/>
                <w:sz w:val="19"/>
                <w:szCs w:val="19"/>
              </w:rPr>
              <w:t xml:space="preserve">–0.1 pp  (capturan ~97 %)</w:t>
            </w:r>
          </w:p>
        </w:tc>
      </w:tr>
      <w:tr>
        <w:trPr>
          <w:tblHeader w:val="false"/>
        </w:trPr>
        <w:tc>
          <w:tcPr>
            <w:tcW w:type="dxa" w:w="6560"/>
            <w:tcMar>
              <w:top w:type="dxa" w:w="90"/>
              <w:left w:type="dxa" w:w="140"/>
              <w:bottom w:type="dxa" w:w="90"/>
              <w:right w:type="dxa" w:w="140"/>
            </w:tcMar>
          </w:tcPr>
          <w:p>
            <w:pPr>
              <w:spacing w:after="0" w:line="260"/>
              <w:jc w:val="left"/>
            </w:pPr>
            <w:r>
              <w:rPr>
                <w:rFonts w:ascii="Calibri" w:cs="Calibri" w:eastAsia="Calibri" w:hAnsi="Calibri"/>
                <w:color w:val="1A1A2E"/>
                <w:sz w:val="19"/>
                <w:szCs w:val="19"/>
              </w:rPr>
              <w:t xml:space="preserve">Fondos sectoriales (apuestas concentradas)</w:t>
            </w:r>
          </w:p>
        </w:tc>
        <w:tc>
          <w:tcPr>
            <w:tcW w:type="dxa" w:w="2800"/>
            <w:tcMar>
              <w:top w:type="dxa" w:w="90"/>
              <w:left w:type="dxa" w:w="140"/>
              <w:bottom w:type="dxa" w:w="90"/>
              <w:right w:type="dxa" w:w="140"/>
            </w:tcMar>
          </w:tcPr>
          <w:p>
            <w:pPr>
              <w:spacing w:after="0" w:line="260"/>
              <w:jc w:val="right"/>
            </w:pPr>
            <w:r>
              <w:rPr>
                <w:rFonts w:ascii="Calibri" w:cs="Calibri" w:eastAsia="Calibri" w:hAnsi="Calibri"/>
                <w:color w:val="1A1A2E"/>
                <w:sz w:val="19"/>
                <w:szCs w:val="19"/>
              </w:rPr>
              <w:t xml:space="preserve">–1.5 pp</w:t>
            </w:r>
          </w:p>
        </w:tc>
      </w:tr>
    </w:tbl>
    <w:p>
      <w:pPr>
        <w:spacing w:after="120"/>
      </w:pPr>
    </w:p>
    <w:p>
      <w:pPr>
        <w:spacing w:after="200"/>
      </w:pPr>
      <w:hyperlink w:history="1" r:id="rId-ozjlhsixedh-8foqkhaq">
        <w:r>
          <w:rPr>
            <w:rFonts w:ascii="Calibri" w:cs="Calibri" w:eastAsia="Calibri" w:hAnsi="Calibri"/>
            <w:color w:val="4338CA"/>
            <w:sz w:val="19"/>
            <w:szCs w:val="19"/>
            <w:u w:val="single"/>
          </w:rPr>
          <w:t xml:space="preserve">morningstar.com — Mind the Gap</w:t>
        </w:r>
      </w:hyperlink>
    </w:p>
    <w:p>
      <w:pPr>
        <w:spacing w:after="60" w:before="260"/>
      </w:pPr>
      <w:r>
        <w:rPr>
          <w:rFonts w:ascii="Calibri" w:cs="Calibri" w:eastAsia="Calibri" w:hAnsi="Calibri"/>
          <w:b/>
          <w:bCs/>
          <w:color w:val="1A1A2E"/>
          <w:sz w:val="24"/>
          <w:szCs w:val="24"/>
        </w:rPr>
        <w:t xml:space="preserve">4.  Barber &amp; Odean (2000) — Trading Is Hazardous to Your Wealth</w:t>
      </w:r>
    </w:p>
    <w:p>
      <w:pPr>
        <w:spacing w:after="120" w:line="280"/>
      </w:pPr>
      <w:r>
        <w:rPr>
          <w:rFonts w:ascii="Calibri" w:cs="Calibri" w:eastAsia="Calibri" w:hAnsi="Calibri"/>
          <w:color w:val="6B7280"/>
          <w:sz w:val="20"/>
          <w:szCs w:val="20"/>
        </w:rPr>
        <w:t xml:space="preserve">The Journal of Finance, Vol. LV, No. 2, abril de 2000. Cita textual del abstract.</w:t>
      </w:r>
    </w:p>
    <w:p>
      <w:pPr>
        <w:pBdr>
          <w:left w:val="single" w:color="4338CA" w:sz="12" w:space="12"/>
        </w:pBdr>
        <w:spacing w:after="160" w:line="300"/>
        <w:ind w:left="360"/>
      </w:pPr>
      <w:r>
        <w:rPr>
          <w:rFonts w:ascii="Georgia" w:cs="Georgia" w:eastAsia="Georgia" w:hAnsi="Georgia"/>
          <w:i/>
          <w:iCs/>
          <w:color w:val="1A1A2E"/>
          <w:sz w:val="21"/>
          <w:szCs w:val="21"/>
        </w:rPr>
        <w:t xml:space="preserve">“Of 66,465 households with accounts at a large discount broker during 1991 to 1996, those that trade most earn an annual return of 11.4 percent, while the market returns 17.9 percent. The average household earns an annual return of 16.4 percent […] and turns over 75 percent of its portfolio annually.”</w:t>
      </w:r>
    </w:p>
    <w:p>
      <w:pPr>
        <w:spacing w:after="200"/>
      </w:pPr>
      <w:hyperlink w:history="1" r:id="rIdxwddul-l1egabl90_yq80">
        <w:r>
          <w:rPr>
            <w:rFonts w:ascii="Calibri" w:cs="Calibri" w:eastAsia="Calibri" w:hAnsi="Calibri"/>
            <w:color w:val="4338CA"/>
            <w:sz w:val="19"/>
            <w:szCs w:val="19"/>
            <w:u w:val="single"/>
          </w:rPr>
          <w:t xml:space="preserve">Journal of Finance — Barber &amp; Odean (2000)</w:t>
        </w:r>
      </w:hyperlink>
    </w:p>
    <w:p>
      <w:r>
        <w:br w:type="page"/>
      </w:r>
    </w:p>
    <w:p>
      <w:pPr>
        <w:pStyle w:val="Heading1"/>
        <w:spacing w:after="200" w:before="120"/>
      </w:pPr>
      <w:r>
        <w:rPr>
          <w:rFonts w:ascii="Calibri" w:cs="Calibri" w:eastAsia="Calibri" w:hAnsi="Calibri"/>
          <w:b/>
          <w:bCs/>
          <w:color w:val="1A1A2E"/>
          <w:sz w:val="34"/>
          <w:szCs w:val="34"/>
        </w:rPr>
        <w:t xml:space="preserve">Notas de entrega</w:t>
      </w:r>
    </w:p>
    <w:p>
      <w:pPr>
        <w:spacing w:after="80" w:before="100"/>
      </w:pPr>
      <w:r>
        <w:rPr>
          <w:rFonts w:ascii="Calibri" w:cs="Calibri" w:eastAsia="Calibri" w:hAnsi="Calibri"/>
          <w:b/>
          <w:bCs/>
          <w:color w:val="1A1A2E"/>
          <w:sz w:val="24"/>
          <w:szCs w:val="24"/>
        </w:rPr>
        <w:t xml:space="preserve">Si te cuestionan las fuentes</w:t>
      </w:r>
    </w:p>
    <w:p>
      <w:pPr>
        <w:pStyle w:val="ListParagraph"/>
        <w:numPr>
          <w:ilvl w:val="0"/>
          <w:numId w:val="2"/>
        </w:numPr>
        <w:spacing w:after="100" w:line="290"/>
      </w:pPr>
      <w:r>
        <w:rPr>
          <w:rFonts w:ascii="Calibri" w:cs="Calibri" w:eastAsia="Calibri" w:hAnsi="Calibri"/>
          <w:b/>
          <w:bCs/>
          <w:color w:val="1A1A2E"/>
          <w:sz w:val="21"/>
          <w:szCs w:val="21"/>
        </w:rPr>
        <w:t xml:space="preserve">Morningstar tiene réplica académica.</w:t>
      </w:r>
      <w:r>
        <w:rPr>
          <w:rFonts w:ascii="Calibri" w:cs="Calibri" w:eastAsia="Calibri" w:hAnsi="Calibri"/>
          <w:color w:val="1A1A2E"/>
          <w:sz w:val="21"/>
          <w:szCs w:val="21"/>
        </w:rPr>
        <w:t xml:space="preserve"> Fulkerson, Jordan, Riley &amp; Yan (</w:t>
      </w:r>
      <w:r>
        <w:rPr>
          <w:rFonts w:ascii="Calibri" w:cs="Calibri" w:eastAsia="Calibri" w:hAnsi="Calibri"/>
          <w:i/>
          <w:iCs/>
          <w:color w:val="1A1A2E"/>
          <w:sz w:val="21"/>
          <w:szCs w:val="21"/>
        </w:rPr>
        <w:t xml:space="preserve">Financial Analysts Journal</w:t>
      </w:r>
      <w:r>
        <w:rPr>
          <w:rFonts w:ascii="Calibri" w:cs="Calibri" w:eastAsia="Calibri" w:hAnsi="Calibri"/>
          <w:color w:val="1A1A2E"/>
          <w:sz w:val="21"/>
          <w:szCs w:val="21"/>
        </w:rPr>
        <w:t xml:space="preserve">) cuestionan el encuadre de "los inversionistas pierden 15 % de sus rendimientos". La brecha de </w:t>
      </w:r>
      <w:r>
        <w:rPr>
          <w:rFonts w:ascii="Calibri" w:cs="Calibri" w:eastAsia="Calibri" w:hAnsi="Calibri"/>
          <w:b/>
          <w:bCs/>
          <w:color w:val="1A1A2E"/>
          <w:sz w:val="21"/>
          <w:szCs w:val="21"/>
        </w:rPr>
        <w:t xml:space="preserve">1.2 puntos porcentuales anuales</w:t>
      </w:r>
      <w:r>
        <w:rPr>
          <w:rFonts w:ascii="Calibri" w:cs="Calibri" w:eastAsia="Calibri" w:hAnsi="Calibri"/>
          <w:color w:val="1A1A2E"/>
          <w:sz w:val="21"/>
          <w:szCs w:val="21"/>
        </w:rPr>
        <w:t xml:space="preserve"> no está en disputa; lo debatido es cómo se traduce a un porcentaje del rendimiento total. Por eso el speech cita los puntos porcentuales y nunca el 15 %.</w:t>
      </w:r>
    </w:p>
    <w:p>
      <w:pPr>
        <w:pStyle w:val="ListParagraph"/>
        <w:numPr>
          <w:ilvl w:val="0"/>
          <w:numId w:val="2"/>
        </w:numPr>
        <w:spacing w:after="100" w:line="290"/>
      </w:pPr>
      <w:r>
        <w:rPr>
          <w:rFonts w:ascii="Calibri" w:cs="Calibri" w:eastAsia="Calibri" w:hAnsi="Calibri"/>
          <w:b/>
          <w:bCs/>
          <w:color w:val="1A1A2E"/>
          <w:sz w:val="21"/>
          <w:szCs w:val="21"/>
        </w:rPr>
        <w:t xml:space="preserve">Barber &amp; Odean es del año 2000.</w:t>
      </w:r>
      <w:r>
        <w:rPr>
          <w:rFonts w:ascii="Calibri" w:cs="Calibri" w:eastAsia="Calibri" w:hAnsi="Calibri"/>
          <w:color w:val="1A1A2E"/>
          <w:sz w:val="21"/>
          <w:szCs w:val="21"/>
        </w:rPr>
        <w:t xml:space="preserve"> Si alguien objeta la antigüedad: es el estudio seminal y sigue siendo la referencia canónica; Morningstar 2025 confirma el mismo patrón con datos actuales. Ese es el argumento, no la fecha.</w:t>
      </w:r>
    </w:p>
    <w:p>
      <w:pPr>
        <w:pStyle w:val="ListParagraph"/>
        <w:numPr>
          <w:ilvl w:val="0"/>
          <w:numId w:val="2"/>
        </w:numPr>
        <w:spacing w:after="100" w:line="290"/>
      </w:pPr>
      <w:r>
        <w:rPr>
          <w:rFonts w:ascii="Calibri" w:cs="Calibri" w:eastAsia="Calibri" w:hAnsi="Calibri"/>
          <w:b/>
          <w:bCs/>
          <w:color w:val="1A1A2E"/>
          <w:sz w:val="21"/>
          <w:szCs w:val="21"/>
        </w:rPr>
        <w:t xml:space="preserve">La cifra de la AMIB es fuente secundaria</w:t>
      </w:r>
      <w:r>
        <w:rPr>
          <w:rFonts w:ascii="Calibri" w:cs="Calibri" w:eastAsia="Calibri" w:hAnsi="Calibri"/>
          <w:color w:val="1A1A2E"/>
          <w:sz w:val="21"/>
          <w:szCs w:val="21"/>
        </w:rPr>
        <w:t xml:space="preserve"> (cobertura del evento con cita directa de su presidente). Ante público técnico, atribúyela como "según la AMIB", no como dato oficial de la CNBV.</w:t>
      </w:r>
    </w:p>
    <w:p>
      <w:pPr>
        <w:spacing w:after="80" w:before="240"/>
      </w:pPr>
      <w:r>
        <w:rPr>
          <w:rFonts w:ascii="Calibri" w:cs="Calibri" w:eastAsia="Calibri" w:hAnsi="Calibri"/>
          <w:b/>
          <w:bCs/>
          <w:color w:val="1A1A2E"/>
          <w:sz w:val="24"/>
          <w:szCs w:val="24"/>
        </w:rPr>
        <w:t xml:space="preserve">Cómo entregarlo</w:t>
      </w:r>
    </w:p>
    <w:p>
      <w:pPr>
        <w:pStyle w:val="ListParagraph"/>
        <w:numPr>
          <w:ilvl w:val="0"/>
          <w:numId w:val="2"/>
        </w:numPr>
        <w:spacing w:after="100" w:line="290"/>
      </w:pPr>
      <w:r>
        <w:rPr>
          <w:rFonts w:ascii="Calibri" w:cs="Calibri" w:eastAsia="Calibri" w:hAnsi="Calibri"/>
          <w:b/>
          <w:bCs/>
          <w:color w:val="1A1A2E"/>
          <w:sz w:val="21"/>
          <w:szCs w:val="21"/>
        </w:rPr>
        <w:t xml:space="preserve">Pausa fuerte</w:t>
      </w:r>
      <w:r>
        <w:rPr>
          <w:rFonts w:ascii="Calibri" w:cs="Calibri" w:eastAsia="Calibri" w:hAnsi="Calibri"/>
          <w:color w:val="1A1A2E"/>
          <w:sz w:val="21"/>
          <w:szCs w:val="21"/>
        </w:rPr>
        <w:t xml:space="preserve"> después de "Tres punto cuatro por ciento", después de "Es no saber cómo vas", y antes de "Gracias".</w:t>
      </w:r>
    </w:p>
    <w:p>
      <w:pPr>
        <w:pStyle w:val="ListParagraph"/>
        <w:numPr>
          <w:ilvl w:val="0"/>
          <w:numId w:val="2"/>
        </w:numPr>
        <w:spacing w:after="100" w:line="290"/>
      </w:pPr>
      <w:r>
        <w:rPr>
          <w:rFonts w:ascii="Calibri" w:cs="Calibri" w:eastAsia="Calibri" w:hAnsi="Calibri"/>
          <w:b/>
          <w:bCs/>
          <w:color w:val="1A1A2E"/>
          <w:sz w:val="21"/>
          <w:szCs w:val="21"/>
        </w:rPr>
        <w:t xml:space="preserve">Si te falta tiempo:</w:t>
      </w:r>
      <w:r>
        <w:rPr>
          <w:rFonts w:ascii="Calibri" w:cs="Calibri" w:eastAsia="Calibri" w:hAnsi="Calibri"/>
          <w:color w:val="1A1A2E"/>
          <w:sz w:val="21"/>
          <w:szCs w:val="21"/>
        </w:rPr>
        <w:t xml:space="preserve"> recorta la sección 4 (arquitectura) a una sola frase. La evidencia de la sección 2 es el corazón del argumento — no la toques.</w:t>
      </w:r>
    </w:p>
    <w:p>
      <w:pPr>
        <w:pStyle w:val="ListParagraph"/>
        <w:numPr>
          <w:ilvl w:val="0"/>
          <w:numId w:val="2"/>
        </w:numPr>
        <w:spacing w:after="100" w:line="290"/>
      </w:pPr>
      <w:r>
        <w:rPr>
          <w:rFonts w:ascii="Calibri" w:cs="Calibri" w:eastAsia="Calibri" w:hAnsi="Calibri"/>
          <w:b/>
          <w:bCs/>
          <w:color w:val="1A1A2E"/>
          <w:sz w:val="21"/>
          <w:szCs w:val="21"/>
        </w:rPr>
        <w:t xml:space="preserve">Si te sobra tiempo:</w:t>
      </w:r>
      <w:r>
        <w:rPr>
          <w:rFonts w:ascii="Calibri" w:cs="Calibri" w:eastAsia="Calibri" w:hAnsi="Calibri"/>
          <w:color w:val="1A1A2E"/>
          <w:sz w:val="21"/>
          <w:szCs w:val="21"/>
        </w:rPr>
        <w:t xml:space="preserve"> el puente más fuerte es TWR contra MWR. Explícalo con un ejemplo: "si metiste más dinero justo antes de una caída, tu MWR será peor que tu TWR — y esa distancia es tu costo por mal timing".</w:t>
      </w:r>
    </w:p>
    <w:p>
      <w:pPr>
        <w:pStyle w:val="ListParagraph"/>
        <w:numPr>
          <w:ilvl w:val="0"/>
          <w:numId w:val="2"/>
        </w:numPr>
        <w:spacing w:after="100" w:line="290"/>
      </w:pPr>
      <w:r>
        <w:rPr>
          <w:rFonts w:ascii="Calibri" w:cs="Calibri" w:eastAsia="Calibri" w:hAnsi="Calibri"/>
          <w:b/>
          <w:bCs/>
          <w:color w:val="1A1A2E"/>
          <w:sz w:val="21"/>
          <w:szCs w:val="21"/>
        </w:rPr>
        <w:t xml:space="preserve">No entres en detalle técnico</w:t>
      </w:r>
      <w:r>
        <w:rPr>
          <w:rFonts w:ascii="Calibri" w:cs="Calibri" w:eastAsia="Calibri" w:hAnsi="Calibri"/>
          <w:color w:val="1A1A2E"/>
          <w:sz w:val="21"/>
          <w:szCs w:val="21"/>
        </w:rPr>
        <w:t xml:space="preserve"> durante la arquitectura: son 30 segundos, es un inventario, no una explicación.</w:t>
      </w:r>
    </w:p>
    <w:p>
      <w:pPr>
        <w:spacing w:after="80" w:before="240"/>
      </w:pPr>
      <w:r>
        <w:rPr>
          <w:rFonts w:ascii="Calibri" w:cs="Calibri" w:eastAsia="Calibri" w:hAnsi="Calibri"/>
          <w:b/>
          <w:bCs/>
          <w:color w:val="1A1A2E"/>
          <w:sz w:val="24"/>
          <w:szCs w:val="24"/>
        </w:rPr>
        <w:t xml:space="preserve">El puente que sostiene todo el argumento</w:t>
      </w:r>
    </w:p>
    <w:p>
      <w:pPr>
        <w:spacing w:after="140" w:line="300"/>
      </w:pPr>
      <w:r>
        <w:rPr>
          <w:rFonts w:ascii="Calibri" w:cs="Calibri" w:eastAsia="Calibri" w:hAnsi="Calibri"/>
          <w:color w:val="1A1A2E"/>
          <w:sz w:val="21"/>
          <w:szCs w:val="21"/>
        </w:rPr>
        <w:t xml:space="preserve">La brecha que mide Morningstar </w:t>
      </w:r>
      <w:r>
        <w:rPr>
          <w:rFonts w:ascii="Calibri" w:cs="Calibri" w:eastAsia="Calibri" w:hAnsi="Calibri"/>
          <w:b/>
          <w:bCs/>
          <w:color w:val="1A1A2E"/>
          <w:sz w:val="21"/>
          <w:szCs w:val="21"/>
        </w:rPr>
        <w:t xml:space="preserve">es literalmente la diferencia entre TWR y MWR</w:t>
      </w:r>
      <w:r>
        <w:rPr>
          <w:rFonts w:ascii="Calibri" w:cs="Calibri" w:eastAsia="Calibri" w:hAnsi="Calibri"/>
          <w:color w:val="1A1A2E"/>
          <w:sz w:val="21"/>
          <w:szCs w:val="21"/>
        </w:rPr>
        <w:t xml:space="preserve">, y la aplicación ya calcula ambas. Lo mismo con las alertas de concentración frente al hallazgo de que los fondos sectoriales pierden 1.5 pp y los diversificados solo 0.1. La evidencia justifica funcionalidad que ya existe, no promesas a futuro.</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2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ves57ykg1lwe1e2vcqhn_" Type="http://schemas.openxmlformats.org/officeDocument/2006/relationships/hyperlink" Target="https://www.inegi.org.mx/contenidos/saladeprensa/boletines/2025/enif/ENIF2024_CP.pdf" TargetMode="External"/><Relationship Id="rIdfip9rdybdvhnro9zpj3mf" Type="http://schemas.openxmlformats.org/officeDocument/2006/relationships/hyperlink" Target="https://es-us.noticias.yahoo.com/foro-fondos-amib-2025-31-160000945.html" TargetMode="External"/><Relationship Id="rId-ozjlhsixedh-8foqkhaq" Type="http://schemas.openxmlformats.org/officeDocument/2006/relationships/hyperlink" Target="https://www.morningstar.com/business/insights/research/mind-the-gap" TargetMode="External"/><Relationship Id="rIdxwddul-l1egabl90_yq80" Type="http://schemas.openxmlformats.org/officeDocument/2006/relationships/hyperlink" Target="https://onlinelibrary.wiley.com/doi/abs/10.1111/0022-1082.00226" TargetMode="Externa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InvestTracker — Speech de presentación</dc:title>
  <dc:creator>InvestTracker</dc:creator>
  <dc:description>Speech de 3 minutos con justificación basada en datos verificados</dc:description>
  <cp:lastModifiedBy>Un-named</cp:lastModifiedBy>
  <cp:revision>1</cp:revision>
  <dcterms:created xsi:type="dcterms:W3CDTF">2026-08-18T15:35:54.029Z</dcterms:created>
  <dcterms:modified xsi:type="dcterms:W3CDTF">2026-08-18T15:35:54.030Z</dcterms:modified>
</cp:coreProperties>
</file>

<file path=docProps/custom.xml><?xml version="1.0" encoding="utf-8"?>
<Properties xmlns="http://schemas.openxmlformats.org/officeDocument/2006/custom-properties" xmlns:vt="http://schemas.openxmlformats.org/officeDocument/2006/docPropsVTypes"/>
</file>