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Annex D — Financial Proposal / Bill of Quantities (BoQ) &amp; Total Cost of Ownership</w:t>
      </w:r>
    </w:p>
    <w:p>
      <w:pPr/>
      <w:r>
        <w:rPr>
          <w:b/>
        </w:rPr>
        <w:t xml:space="preserve">RFP Reference No.:</w:t>
      </w:r>
      <w:r>
        <w:t xml:space="preserve"> _____ /SW-LMS/2082-83</w:t>
      </w:r>
    </w:p>
    <w:p>
      <w:pPr/>
      <w:r>
        <w:rPr>
          <w:b/>
        </w:rPr>
        <w:t xml:space="preserve">Bidder/Firm Name:</w:t>
      </w:r>
      <w:r>
        <w:t xml:space="preserve"> ____________________________</w:t>
      </w:r>
    </w:p>
    <w:p>
      <w:pPr/>
      <w:r>
        <w:rPr>
          <w:b/>
        </w:rPr>
        <w:t xml:space="preserve">Currency:</w:t>
      </w:r>
      <w:r>
        <w:t xml:space="preserve"> NPR (Nepalese Rupees) </w:t>
      </w:r>
      <w:r>
        <w:rPr>
          <w:b/>
        </w:rPr>
        <w:t xml:space="preserve">[ADAPT]</w:t>
      </w:r>
    </w:p>
    <w:p>
      <w:pPr/>
      <w:r>
        <w:rPr>
          <w:b/>
        </w:rPr>
        <w:t xml:space="preserve">Contract Term for TCO:</w:t>
      </w:r>
      <w:r>
        <w:t xml:space="preserve"> 5 years (1 year implementation/warranty + 4 years support) </w:t>
      </w:r>
      <w:r>
        <w:rPr>
          <w:b/>
        </w:rPr>
        <w:t xml:space="preserve">[ADAPT]</w:t>
      </w:r>
    </w:p>
    <w:p>
      <w:pPr>
        <w:pStyle w:val="Heading1"/>
      </w:pPr>
      <w:r>
        <w:t xml:space="preserve">Instructions to Bidders</w:t>
      </w:r>
    </w:p>
    <w:p>
      <w:pPr>
        <w:ind w:left="360"/>
      </w:pPr>
      <w:r>
        <w:t xml:space="preserve">1. Quote </w:t>
      </w:r>
      <w:r>
        <w:rPr>
          <w:b/>
        </w:rPr>
        <w:t xml:space="preserve">all-inclusive</w:t>
      </w:r>
      <w:r>
        <w:t xml:space="preserve"> prices in </w:t>
      </w:r>
      <w:r>
        <w:rPr>
          <w:b/>
        </w:rPr>
        <w:t xml:space="preserve">NPR</w:t>
      </w:r>
      <w:r>
        <w:t xml:space="preserve">, </w:t>
      </w:r>
      <w:r>
        <w:rPr>
          <w:b/>
        </w:rPr>
        <w:t xml:space="preserve">inclusive of all applicable taxes (incl. VAT)</w:t>
      </w:r>
      <w:r>
        <w:t xml:space="preserve"> unless the procuring entity directs otherwise; state the tax treatment explicitly in D.6.</w:t>
      </w:r>
    </w:p>
    <w:p>
      <w:pPr>
        <w:ind w:left="360"/>
      </w:pPr>
      <w:r>
        <w:t xml:space="preserve">2. Fill </w:t>
      </w:r>
      <w:r>
        <w:rPr>
          <w:b/>
        </w:rPr>
        <w:t xml:space="preserve">every</w:t>
      </w:r>
      <w:r>
        <w:t xml:space="preserve"> line item. Items left blank are deemed quoted at </w:t>
      </w:r>
      <w:r>
        <w:rPr>
          <w:b/>
        </w:rPr>
        <w:t xml:space="preserve">zero</w:t>
      </w:r>
      <w:r>
        <w:t xml:space="preserve"> and must still be delivered at no cost.</w:t>
      </w:r>
    </w:p>
    <w:p>
      <w:pPr>
        <w:ind w:left="360"/>
      </w:pPr>
      <w:r>
        <w:t xml:space="preserve">3. Prices must be </w:t>
      </w:r>
      <w:r>
        <w:rPr>
          <w:b/>
        </w:rPr>
        <w:t xml:space="preserve">fixed and firm</w:t>
      </w:r>
      <w:r>
        <w:t xml:space="preserve"> for the proposal validity period and, for recurring items, for the full contract term unless an indexation basis is stated and approved.</w:t>
      </w:r>
    </w:p>
    <w:p>
      <w:pPr>
        <w:ind w:left="360"/>
      </w:pPr>
      <w:r>
        <w:t xml:space="preserve">4. The Financial Proposal must be submitted in a </w:t>
      </w:r>
      <w:r>
        <w:rPr>
          <w:b/>
        </w:rPr>
        <w:t xml:space="preserve">separate sealed envelope</w:t>
      </w:r>
      <w:r>
        <w:t xml:space="preserve"> (or financial section of the e-GP system) from the Technical Proposal.</w:t>
      </w:r>
    </w:p>
    <w:p>
      <w:pPr>
        <w:ind w:left="360"/>
      </w:pPr>
      <w:r>
        <w:t xml:space="preserve">5. Itemize per </w:t>
      </w:r>
      <w:r>
        <w:rPr>
          <w:b/>
        </w:rPr>
        <w:t xml:space="preserve">Lot</w:t>
      </w:r>
      <w:r>
        <w:t xml:space="preserve"> (Lot 1 Core, Lot 2 ERP, Lot 3 AI/Analytics – optional). Evaluation uses the </w:t>
      </w:r>
      <w:r>
        <w:rPr>
          <w:b/>
        </w:rPr>
        <w:t xml:space="preserve">5-Year TCO (D.5)</w:t>
      </w:r>
      <w:r>
        <w:t xml:space="preserve">.</w:t>
      </w:r>
    </w:p>
    <w:p>
      <w:pPr>
        <w:ind w:left="360"/>
      </w:pPr>
      <w:r>
        <w:t xml:space="preserve">6. In case of discrepancy between unit price and total, the </w:t>
      </w:r>
      <w:r>
        <w:rPr>
          <w:b/>
        </w:rPr>
        <w:t xml:space="preserve">unit price governs</w:t>
      </w:r>
      <w:r>
        <w:t xml:space="preserve">; between figures and words, </w:t>
      </w:r>
      <w:r>
        <w:rPr>
          <w:b/>
        </w:rPr>
        <w:t xml:space="preserve">words govern</w:t>
      </w:r>
      <w:r>
        <w:t xml:space="preserve">.</w:t>
      </w:r>
    </w:p>
    <w:p>
      <w:pPr>
        <w:ind w:left="360"/>
      </w:pPr>
      <w:r>
        <w:rPr>
          <w:b/>
        </w:rPr>
        <w:t xml:space="preserve">Volumetric assumptions (to be fixed by procuring entity in Annex F):</w:t>
      </w:r>
      <w:r>
        <w:t xml:space="preserve"> Number of schools = </w:t>
      </w:r>
      <w:r>
        <w:rPr>
          <w:b/>
        </w:rPr>
        <w:t xml:space="preserve">[N]</w:t>
      </w:r>
      <w:r>
        <w:t xml:space="preserve">; total active users = </w:t>
      </w:r>
      <w:r>
        <w:rPr>
          <w:b/>
        </w:rPr>
        <w:t xml:space="preserve">[X]</w:t>
      </w:r>
      <w:r>
        <w:t xml:space="preserve">; pilot schools = </w:t>
      </w:r>
      <w:r>
        <w:rPr>
          <w:b/>
        </w:rPr>
        <w:t xml:space="preserve">[5–10]</w:t>
      </w:r>
      <w:r>
        <w:t xml:space="preserve">. Bidders price against these published figures.</w:t>
      </w:r>
    </w:p>
    <w:p>
      <w:pPr>
        <w:pBdr>
          <w:bottom w:val="single" w:sz="6" w:color="CCCCCC" w:space="1"/>
        </w:pBdr>
      </w:pPr>
    </w:p>
    <w:p>
      <w:pPr>
        <w:pStyle w:val="Heading1"/>
      </w:pPr>
      <w:r>
        <w:t xml:space="preserve">D.1 One-Time / Capital Costs (CAPEX)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#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Item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Unit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Qty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Unit Price (NPR)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Total (NPR)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1.1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Solution licensing — perpetual/initial (if applicable)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lump sum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1.2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Configuration &amp; customization — Lot 1 (Core)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lump sum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1.3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Configuration &amp; customization — Lot 2 (ERP)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lump sum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1.4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Configuration &amp; customization — Lot 3 (AI/Analytics, optional)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lump sum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1.5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Localization (Nepali/Devanagari, BS calendar)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lump sum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1.6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Integrations (eSewa/Khalti/ConnectIPS, SMS, email, push, EMIS export)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per integration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[n]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1.7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Data migration (per school or per record band)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per school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[N]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1.8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Environment setup (prod/staging/test) &amp; deployment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lump sum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1.9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Security hardening, audit/pen-test remediation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lump sum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1.10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Mobile app build &amp; store publishing (Android + iOS)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lump sum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  <w:t xml:space="preserve">Subtotal — One-Time (A)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</w:tbl>
    <w:p/>
    <w:p>
      <w:pPr>
        <w:pStyle w:val="Heading1"/>
      </w:pPr>
      <w:r>
        <w:t xml:space="preserve">D.2 Training &amp; Change Management (One-Time)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#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Item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Unit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Qty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Unit Price (NPR)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Total (NPR)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2.1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Administrator training (per batch)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per batch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[n]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2.2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Teacher training (per batch)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per batch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[n]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2.3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Finance/HR staff training (per batch)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per batch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[n]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2.4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Train-the-Trainer program (master trainers)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per trainer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[N]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2.5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Documentation, manuals, video tutorials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lump sum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  <w:t xml:space="preserve">Subtotal — Training (B)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</w:tbl>
    <w:p/>
    <w:p>
      <w:pPr>
        <w:pStyle w:val="Heading1"/>
      </w:pPr>
      <w:r>
        <w:t xml:space="preserve">D.3 Recurring / Operating Costs (OPEX) — per year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#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Item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Basis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Qty/Yr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Unit Price (NPR)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Annual Total (NPR)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3.1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Subscription / license — Lot 1 (Core)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per school/yr </w:t>
            </w:r>
            <w:r>
              <w:rPr>
                <w:b/>
              </w:rPr>
              <w:t xml:space="preserve">or</w:t>
            </w:r>
            <w:r>
              <w:t xml:space="preserve"> per active user/yr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[N]/[X]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3.2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Subscription / license — Lot 2 (ERP)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per school/yr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[N]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3.3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Subscription / license — Lot 3 (AI/Analytics, optional)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per school/yr + usage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[N]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3.4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Hosting / cloud / data-centre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per year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3.5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Support &amp; maintenance (SLA, patches, minor enhancements)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per year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3.6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SMS/communication gateway pass-through (state rate)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per message </w:t>
            </w:r>
            <w:r>
              <w:rPr>
                <w:b/>
              </w:rPr>
              <w:t xml:space="preserve">or</w:t>
            </w:r>
            <w:r>
              <w:t xml:space="preserve"> bundle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[n]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3.7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AI/LLM usage (if Lot 3) — with stated cost-control caps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per year (capped)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  <w:t xml:space="preserve">Subtotal — Recurring per Year (C)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</w:tbl>
    <w:p/>
    <w:p>
      <w:pPr>
        <w:pStyle w:val="Heading1"/>
      </w:pPr>
      <w:r>
        <w:t xml:space="preserve">D.4 Optional / Variable Items (priced for evaluation, ordered on demand)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#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Item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Unit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Unit Price (NPR)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4.1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Additional school onboarding (beyond base [N])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per school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4.2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Additional customization / change request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per person-day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4.3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Additional training batch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per batch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4.4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Premium/extended support (e.g., 24×7) uplift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per year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4.5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On-site support visit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per visit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</w:tbl>
    <w:p/>
    <w:p>
      <w:pPr>
        <w:pStyle w:val="Heading1"/>
      </w:pPr>
      <w:r>
        <w:t xml:space="preserve">D.5 Five-Year Total Cost of Ownership (TCO) — Evaluation Basis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Cost Component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Year 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Year 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Year 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Year 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Year 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5-Yr Total (NPR)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One-Time (A)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Training (B)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Recurring (C)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  <w:t xml:space="preserve">Annual Total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  <w:t xml:space="preserve">Grand Total (5-Yr TCO)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  <w:t xml:space="preserve">NPR ________</w:t>
            </w:r>
          </w:p>
        </w:tc>
      </w:tr>
    </w:tbl>
    <w:p/>
    <w:p>
      <w:pPr/>
      <w:r>
        <w:rPr>
          <w:b/>
        </w:rPr>
        <w:t xml:space="preserve">Grand Total in words:</w:t>
      </w:r>
      <w:r>
        <w:t xml:space="preserve"> ___________________________________________________</w:t>
      </w:r>
    </w:p>
    <w:p>
      <w:pPr>
        <w:pStyle w:val="Heading1"/>
      </w:pPr>
      <w:r>
        <w:t xml:space="preserve">D.6 Tax, Validity &amp; Declarations</w:t>
      </w:r>
    </w:p>
    <w:p>
      <w:pPr>
        <w:ind w:left="360"/>
      </w:pPr>
      <w:r>
        <w:t xml:space="preserve">• Tax treatment (VAT inclusive/exclusive; TDS applicability): ____________________</w:t>
      </w:r>
    </w:p>
    <w:p>
      <w:pPr>
        <w:ind w:left="360"/>
      </w:pPr>
      <w:r>
        <w:t xml:space="preserve">• Price validity: </w:t>
      </w:r>
      <w:r>
        <w:rPr>
          <w:b/>
        </w:rPr>
        <w:t xml:space="preserve">90 days</w:t>
      </w:r>
      <w:r>
        <w:t xml:space="preserve"> from submission (recurring rates firm for full term).</w:t>
      </w:r>
    </w:p>
    <w:p>
      <w:pPr>
        <w:ind w:left="360"/>
      </w:pPr>
      <w:r>
        <w:t xml:space="preserve">• Indexation basis for recurring items (if any), capped: ____________________</w:t>
      </w:r>
    </w:p>
    <w:p>
      <w:pPr>
        <w:ind w:left="360"/>
      </w:pPr>
      <w:r>
        <w:t xml:space="preserve">• Bid security/EMD attached: amount </w:t>
      </w:r>
      <w:r>
        <w:rPr>
          <w:b/>
        </w:rPr>
        <w:t xml:space="preserve">NPR ______</w:t>
      </w:r>
      <w:r>
        <w:t xml:space="preserve"> ; instrument: ____________________</w:t>
      </w:r>
    </w:p>
    <w:p>
      <w:pPr>
        <w:ind w:left="360"/>
      </w:pPr>
      <w:r>
        <w:t xml:space="preserve">• The bidder confirms prices cover </w:t>
      </w:r>
      <w:r>
        <w:rPr>
          <w:b/>
        </w:rPr>
        <w:t xml:space="preserve">complete delivery</w:t>
      </w:r>
      <w:r>
        <w:t xml:space="preserve"> of all Technical Proposal commitments (Annex C) and the SLA (RFP §8).</w:t>
      </w:r>
    </w:p>
    <w:p>
      <w:pPr>
        <w:pBdr>
          <w:bottom w:val="single" w:sz="6" w:color="CCCCCC" w:space="1"/>
        </w:pBdr>
      </w:pPr>
    </w:p>
    <w:p>
      <w:pPr/>
      <w:r>
        <w:rPr>
          <w:b/>
        </w:rPr>
        <w:t xml:space="preserve">Authorized Signature:</w:t>
      </w:r>
      <w:r>
        <w:t xml:space="preserve"> ____________________  </w:t>
      </w:r>
      <w:r>
        <w:rPr>
          <w:b/>
        </w:rPr>
        <w:t xml:space="preserve">Name/Designation:</w:t>
      </w:r>
      <w:r>
        <w:t xml:space="preserve"> ____________________  </w:t>
      </w:r>
      <w:r>
        <w:rPr>
          <w:b/>
        </w:rPr>
        <w:t xml:space="preserve">Date:</w:t>
      </w:r>
      <w:r>
        <w:t xml:space="preserve"> __________</w:t>
      </w:r>
    </w:p>
    <w:p>
      <w:pPr/>
      <w:r>
        <w:rPr>
          <w:b/>
        </w:rPr>
        <w:t xml:space="preserve">Company Seal: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20"/>
    </w:pPr>
  </w:style>
  <w:style w:type="paragraph" w:styleId="Title">
    <w:name w:val="Title"/>
    <w:pPr>
      <w:spacing w:before="240" w:after="240"/>
    </w:pPr>
    <w:rPr>
      <w:b/>
      <w:sz w:val="40"/>
      <w:color w:val="1F3864"/>
    </w:rPr>
  </w:style>
  <w:style w:type="paragraph" w:styleId="Heading1">
    <w:name w:val="heading 1"/>
    <w:pPr>
      <w:keepNext/>
      <w:spacing w:before="240" w:after="80"/>
      <w:outlineLvl w:val="0"/>
    </w:pPr>
    <w:rPr>
      <w:b/>
      <w:sz w:val="30"/>
      <w:color w:val="2E74B5"/>
    </w:rPr>
  </w:style>
  <w:style w:type="paragraph" w:styleId="Heading2">
    <w:name w:val="heading 2"/>
    <w:pPr>
      <w:keepNext/>
      <w:spacing w:before="200" w:after="60"/>
      <w:outlineLvl w:val="1"/>
    </w:pPr>
    <w:rPr>
      <w:b/>
      <w:sz w:val="26"/>
      <w:color w:val="2E74B5"/>
    </w:rPr>
  </w:style>
  <w:style w:type="paragraph" w:styleId="Heading3">
    <w:name w:val="heading 3"/>
    <w:pPr>
      <w:keepNext/>
      <w:spacing w:before="160" w:after="40"/>
      <w:outlineLvl w:val="2"/>
    </w:pPr>
    <w:rPr>
      <w:b/>
      <w:sz w:val="24"/>
      <w:color w:val="404040"/>
    </w:rPr>
  </w:style>
  <w:style w:type="paragraph" w:styleId="Heading4">
    <w:name w:val="heading 4"/>
    <w:pPr>
      <w:keepNext/>
      <w:spacing w:before="120" w:after="40"/>
      <w:outlineLvl w:val="3"/>
    </w:pPr>
    <w:rPr>
      <w:b/>
      <w:i/>
      <w:sz w:val="22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