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Request for Proposal (RFP)</w:t>
      </w:r>
    </w:p>
    <w:p>
      <w:pPr>
        <w:pStyle w:val="Heading1"/>
      </w:pPr>
      <w:r>
        <w:t xml:space="preserve">Supply, Customization, Deployment, Training, and Maintenance of a Multi-Tenant School Learning Management &amp; ERP Platform for Government Schools</w:t>
      </w:r>
    </w:p>
    <w:p>
      <w:pPr/>
      <w:r>
        <w:rPr>
          <w:b/>
        </w:rPr>
        <w:t xml:space="preserve">RFP Reference No.:</w:t>
      </w:r>
      <w:r>
        <w:t xml:space="preserve"> _____ /SW-LMS/2082-83</w:t>
      </w:r>
    </w:p>
    <w:p>
      <w:pPr/>
      <w:r>
        <w:rPr>
          <w:b/>
        </w:rPr>
        <w:t xml:space="preserve">Issuing Authority:</w:t>
      </w:r>
      <w:r>
        <w:t xml:space="preserve"> [Ministry of Education / Centre for Education and Human Resource Development (CEHRD) / District Education Office / Local Government — *insert procuring entity*]</w:t>
      </w:r>
    </w:p>
    <w:p>
      <w:pPr/>
      <w:r>
        <w:rPr>
          <w:b/>
        </w:rPr>
        <w:t xml:space="preserve">Procurement Method:</w:t>
      </w:r>
      <w:r>
        <w:t xml:space="preserve"> Open Competitive Bidding — Quality and Cost Based Selection (QCBS)</w:t>
      </w:r>
    </w:p>
    <w:p>
      <w:pPr/>
      <w:r>
        <w:rPr>
          <w:b/>
        </w:rPr>
        <w:t xml:space="preserve">Issue Date:</w:t>
      </w:r>
      <w:r>
        <w:t xml:space="preserve"> [Date]</w:t>
      </w:r>
    </w:p>
    <w:p>
      <w:pPr/>
      <w:r>
        <w:rPr>
          <w:b/>
        </w:rPr>
        <w:t xml:space="preserve">Proposal Submission Deadline:</w:t>
      </w:r>
      <w:r>
        <w:t xml:space="preserve"> [Date, Time]</w:t>
      </w:r>
    </w:p>
    <w:p>
      <w:pPr/>
      <w:r>
        <w:rPr>
          <w:b/>
        </w:rPr>
        <w:t xml:space="preserve">Validity of Proposal:</w:t>
      </w:r>
      <w:r>
        <w:t xml:space="preserve"> 90 days from submission deadline</w:t>
      </w:r>
    </w:p>
    <w:p>
      <w:pPr>
        <w:ind w:left="360"/>
      </w:pPr>
      <w:r>
        <w:rPr>
          <w:b/>
        </w:rPr>
        <w:t xml:space="preserve">Assumptions &amp; adaptability note (from the Technical Officer):</w:t>
      </w:r>
      <w:r>
        <w:t xml:space="preserve"> This RFP is drafted for a Nepal government-school context (Bikram Sambat calendar, Nepali language, eSewa/Khalti/ConnectIPS payments, IRD/PAN-aligned receipts, IEMIS alignment, low-connectivity rural sites). Where a clause is jurisdiction-specific it is marked </w:t>
      </w:r>
      <w:r>
        <w:rPr>
          <w:b/>
        </w:rPr>
        <w:t xml:space="preserve">[ADAPT]</w:t>
      </w:r>
      <w:r>
        <w:t xml:space="preserve">. Procuring entities outside this context should substitute their public-procurement act, data-protection law, and national EMIS accordingly. Quantities in </w:t>
      </w:r>
      <w:r>
        <w:rPr>
          <w:rFonts w:ascii="Consolas" w:hAnsi="Consolas"/>
          <w:sz w:val="20"/>
        </w:rPr>
        <w:t xml:space="preserve">[ ]</w:t>
      </w:r>
      <w:r>
        <w:t xml:space="preserve"> (number of schools, users, budget ceiling) must be set by the procuring entity before publication.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1. Introduction and Background</w:t>
      </w:r>
    </w:p>
    <w:p>
      <w:pPr>
        <w:pStyle w:val="Heading2"/>
      </w:pPr>
      <w:r>
        <w:t xml:space="preserve">1.1 Purpose</w:t>
      </w:r>
    </w:p>
    <w:p>
      <w:pPr/>
      <w:r>
        <w:t xml:space="preserve">The [Procuring Entity] intends to procure a secure, scalable, cloud-hosted, </w:t>
      </w:r>
      <w:r>
        <w:rPr>
          <w:b/>
        </w:rPr>
        <w:t xml:space="preserve">multi-tenant Learning Management System (LMS) and School ERP platform</w:t>
      </w:r>
      <w:r>
        <w:t xml:space="preserve"> to digitize academic and administrative operations across </w:t>
      </w:r>
      <w:r>
        <w:rPr>
          <w:b/>
        </w:rPr>
        <w:t xml:space="preserve">[N]</w:t>
      </w:r>
      <w:r>
        <w:t xml:space="preserve"> government schools, serving an estimated </w:t>
      </w:r>
      <w:r>
        <w:rPr>
          <w:b/>
        </w:rPr>
        <w:t xml:space="preserve">[X] students, [Y] teachers/staff, and [Z] parents/guardians</w:t>
      </w:r>
      <w:r>
        <w:t xml:space="preserve">. This RFP invites sealed Technical and Financial Proposals from eligible firms.</w:t>
      </w:r>
    </w:p>
    <w:p>
      <w:pPr>
        <w:pStyle w:val="Heading2"/>
      </w:pPr>
      <w:r>
        <w:t xml:space="preserve">1.2 Objectives</w:t>
      </w:r>
    </w:p>
    <w:p>
      <w:pPr>
        <w:ind w:left="360"/>
      </w:pPr>
      <w:r>
        <w:t xml:space="preserve">1. Provide every government school a standardized digital platform for teaching-learning, assessment, attendance, and reporting.</w:t>
      </w:r>
    </w:p>
    <w:p>
      <w:pPr>
        <w:ind w:left="360"/>
      </w:pPr>
      <w:r>
        <w:t xml:space="preserve">2. Improve learning outcomes through structured digital content and (optionally) AI-assisted tutoring and analytics.</w:t>
      </w:r>
    </w:p>
    <w:p>
      <w:pPr>
        <w:ind w:left="360"/>
      </w:pPr>
      <w:r>
        <w:t xml:space="preserve">3. Strengthen administration: admissions, student records, examinations, results, fee/finance, HR/payroll, library, transport, hostel.</w:t>
      </w:r>
    </w:p>
    <w:p>
      <w:pPr>
        <w:ind w:left="360"/>
      </w:pPr>
      <w:r>
        <w:t xml:space="preserve">4. Enable data-driven decision-making at school, local-government, district, and central levels.</w:t>
      </w:r>
    </w:p>
    <w:p>
      <w:pPr>
        <w:ind w:left="360"/>
      </w:pPr>
      <w:r>
        <w:t xml:space="preserve">5. Ensure interoperability with national systems (e.g., </w:t>
      </w:r>
      <w:r>
        <w:rPr>
          <w:b/>
        </w:rPr>
        <w:t xml:space="preserve">IEMIS</w:t>
      </w:r>
      <w:r>
        <w:t xml:space="preserve"> </w:t>
      </w:r>
      <w:r>
        <w:rPr>
          <w:b/>
        </w:rPr>
        <w:t xml:space="preserve">[ADAPT]</w:t>
      </w:r>
      <w:r>
        <w:t xml:space="preserve">) and standard data exchange.</w:t>
      </w:r>
    </w:p>
    <w:p>
      <w:pPr>
        <w:ind w:left="360"/>
      </w:pPr>
      <w:r>
        <w:t xml:space="preserve">6. Guarantee the </w:t>
      </w:r>
      <w:r>
        <w:rPr>
          <w:b/>
        </w:rPr>
        <w:t xml:space="preserve">protection of children's personal data</w:t>
      </w:r>
      <w:r>
        <w:t xml:space="preserve"> and equitable access in low-connectivity environments.</w:t>
      </w:r>
    </w:p>
    <w:p>
      <w:pPr>
        <w:pStyle w:val="Heading2"/>
      </w:pPr>
      <w:r>
        <w:t xml:space="preserve">1.3 Scope Summary</w:t>
      </w:r>
    </w:p>
    <w:p>
      <w:pPr/>
      <w:r>
        <w:t xml:space="preserve">Supply (license/SaaS), configuration and customization, data migration, integration, hosting (or deployment to government cloud), capacity building/training, rollout across schools, and </w:t>
      </w:r>
      <w:r>
        <w:rPr>
          <w:b/>
        </w:rPr>
        <w:t xml:space="preserve">[3–5] years</w:t>
      </w:r>
      <w:r>
        <w:t xml:space="preserve"> of warranty, support, and maintenance.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2. Definitions and Tenancy Model</w:t>
      </w:r>
    </w:p>
    <w:p>
      <w:pPr>
        <w:ind w:left="360"/>
      </w:pPr>
      <w:r>
        <w:t xml:space="preserve">• </w:t>
      </w:r>
      <w:r>
        <w:rPr>
          <w:b/>
        </w:rPr>
        <w:t xml:space="preserve">Tenant:</w:t>
      </w:r>
      <w:r>
        <w:t xml:space="preserve"> An individual school with logically isolated data. The platform is </w:t>
      </w:r>
      <w:r>
        <w:rPr>
          <w:b/>
        </w:rPr>
        <w:t xml:space="preserve">multi-tenant (schema/namespace isolation per school)</w:t>
      </w:r>
      <w:r>
        <w:t xml:space="preserve">; one school's data MUST never be accessible to another.</w:t>
      </w:r>
    </w:p>
    <w:p>
      <w:pPr>
        <w:ind w:left="360"/>
      </w:pPr>
      <w:r>
        <w:t xml:space="preserve">• </w:t>
      </w:r>
      <w:r>
        <w:rPr>
          <w:b/>
        </w:rPr>
        <w:t xml:space="preserve">Roles:</w:t>
      </w:r>
      <w:r>
        <w:t xml:space="preserve"> Central/Super Administrator (Ministry/District), School Administrator, Staff, Teacher, Student, Parent/Guardian.</w:t>
      </w:r>
    </w:p>
    <w:p>
      <w:pPr>
        <w:ind w:left="360"/>
      </w:pPr>
      <w:r>
        <w:t xml:space="preserve">• </w:t>
      </w:r>
      <w:r>
        <w:rPr>
          <w:b/>
        </w:rPr>
        <w:t xml:space="preserve">Tenant hierarchy [ADAPT]:</w:t>
      </w:r>
      <w:r>
        <w:t xml:space="preserve"> Central → Province → District/Local Government → School. Administrative dashboards must aggregate upward without exposing cross-school personal data to unauthorized roles.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3. Scope of Work — Functional Requirements</w:t>
      </w:r>
    </w:p>
    <w:p>
      <w:pPr/>
      <w:r>
        <w:t xml:space="preserve">Bidders must complete the </w:t>
      </w:r>
      <w:r>
        <w:rPr>
          <w:b/>
        </w:rPr>
        <w:t xml:space="preserve">Compliance Matrix (Annex C)</w:t>
      </w:r>
      <w:r>
        <w:t xml:space="preserve"> marking each requirement </w:t>
      </w:r>
      <w:r>
        <w:rPr>
          <w:b/>
        </w:rPr>
        <w:t xml:space="preserve">Comply (out-of-box) / Configurable / Customization required / Not available</w:t>
      </w:r>
      <w:r>
        <w:t xml:space="preserve">, with version/notes.</w:t>
      </w:r>
    </w:p>
    <w:p>
      <w:pPr>
        <w:pStyle w:val="Heading2"/>
      </w:pPr>
      <w:r>
        <w:t xml:space="preserve">3.1 Identity, Access &amp; Multi-Tenancy</w:t>
      </w:r>
    </w:p>
    <w:p>
      <w:pPr>
        <w:ind w:left="360"/>
      </w:pPr>
      <w:r>
        <w:t xml:space="preserve">• Role-based access control for all roles above; least-privilege enforcement.</w:t>
      </w:r>
    </w:p>
    <w:p>
      <w:pPr>
        <w:ind w:left="360"/>
      </w:pPr>
      <w:r>
        <w:t xml:space="preserve">• Per-school tenant isolation with verifiable controls (no cross-tenant read/write).</w:t>
      </w:r>
    </w:p>
    <w:p>
      <w:pPr>
        <w:ind w:left="360"/>
      </w:pPr>
      <w:r>
        <w:t xml:space="preserve">• Single sign-on readiness; </w:t>
      </w:r>
      <w:r>
        <w:rPr>
          <w:b/>
        </w:rPr>
        <w:t xml:space="preserve">multi-factor authentication (MFA)</w:t>
      </w:r>
      <w:r>
        <w:t xml:space="preserve"> for administrative roles.</w:t>
      </w:r>
    </w:p>
    <w:p>
      <w:pPr>
        <w:ind w:left="360"/>
      </w:pPr>
      <w:r>
        <w:t xml:space="preserve">• Account lifecycle: creation, bulk import, deactivation, password reset/recovery, lockout on brute force.</w:t>
      </w:r>
    </w:p>
    <w:p>
      <w:pPr>
        <w:ind w:left="360"/>
      </w:pPr>
      <w:r>
        <w:t xml:space="preserve">• Central-admin provisioning of new schools (tenants) and school administrators.</w:t>
      </w:r>
    </w:p>
    <w:p>
      <w:pPr>
        <w:pStyle w:val="Heading2"/>
      </w:pPr>
      <w:r>
        <w:t xml:space="preserve">3.2 Academic Management</w:t>
      </w:r>
    </w:p>
    <w:p>
      <w:pPr>
        <w:ind w:left="360"/>
      </w:pPr>
      <w:r>
        <w:t xml:space="preserve">• Academic year and </w:t>
      </w:r>
      <w:r>
        <w:rPr>
          <w:b/>
        </w:rPr>
        <w:t xml:space="preserve">Bikram Sambat (BS) calendar</w:t>
      </w:r>
      <w:r>
        <w:t xml:space="preserve"> support </w:t>
      </w:r>
      <w:r>
        <w:rPr>
          <w:b/>
        </w:rPr>
        <w:t xml:space="preserve">[ADAPT]</w:t>
      </w:r>
      <w:r>
        <w:t xml:space="preserve">, with AD↔BS conversion.</w:t>
      </w:r>
    </w:p>
    <w:p>
      <w:pPr>
        <w:ind w:left="360"/>
      </w:pPr>
      <w:r>
        <w:t xml:space="preserve">• Classes, sections, subjects, and subject-teacher assignment.</w:t>
      </w:r>
    </w:p>
    <w:p>
      <w:pPr>
        <w:ind w:left="360"/>
      </w:pPr>
      <w:r>
        <w:t xml:space="preserve">• Lessons, chapters, learning materials (documents, video links, images) with curriculum tagging (NEB/local curriculum </w:t>
      </w:r>
      <w:r>
        <w:rPr>
          <w:b/>
        </w:rPr>
        <w:t xml:space="preserve">[ADAPT]</w:t>
      </w:r>
      <w:r>
        <w:t xml:space="preserve">).</w:t>
      </w:r>
    </w:p>
    <w:p>
      <w:pPr>
        <w:ind w:left="360"/>
      </w:pPr>
      <w:r>
        <w:t xml:space="preserve">• Timetable/scheduling and exam seating.</w:t>
      </w:r>
    </w:p>
    <w:p>
      <w:pPr>
        <w:ind w:left="360"/>
      </w:pPr>
      <w:r>
        <w:t xml:space="preserve">• Attendance (per class/subject/day) with analytics and parent notification.</w:t>
      </w:r>
    </w:p>
    <w:p>
      <w:pPr>
        <w:ind w:left="360"/>
      </w:pPr>
      <w:r>
        <w:t xml:space="preserve">• Assessments/quizzes/exams: creation, scheduling, question banks, submissions, grading.</w:t>
      </w:r>
    </w:p>
    <w:p>
      <w:pPr>
        <w:ind w:left="360"/>
      </w:pPr>
      <w:r>
        <w:t xml:space="preserve">• Results &amp; report cards: marks entry, grade computation, publication workflow, printable transcripts.</w:t>
      </w:r>
    </w:p>
    <w:p>
      <w:pPr>
        <w:ind w:left="360"/>
      </w:pPr>
      <w:r>
        <w:t xml:space="preserve">• Admissions, student profiles, health &amp; document records, student leave, promotion/year-rollover.</w:t>
      </w:r>
    </w:p>
    <w:p>
      <w:pPr>
        <w:pStyle w:val="Heading2"/>
      </w:pPr>
      <w:r>
        <w:t xml:space="preserve">3.3 Teaching-Learning &amp; (Optional) AI Features</w:t>
      </w:r>
    </w:p>
    <w:p>
      <w:pPr>
        <w:ind w:left="360"/>
      </w:pPr>
      <w:r>
        <w:t xml:space="preserve">• Digital content delivery and assignment workflows.</w:t>
      </w:r>
    </w:p>
    <w:p>
      <w:pPr>
        <w:ind w:left="360"/>
      </w:pPr>
      <w:r>
        <w:t xml:space="preserve">• </w:t>
      </w:r>
      <w:r>
        <w:rPr>
          <w:b/>
        </w:rPr>
        <w:t xml:space="preserve">AI-assisted features (optional lot — see §3.12):</w:t>
      </w:r>
      <w:r>
        <w:t xml:space="preserve"> grounded AI tutor (retrieval over school's own approved content), learning-path generation, at-risk-student analytics, auto quiz/exam generation, lesson summarization, study planner, progress-report generation, assisted grading.</w:t>
      </w:r>
    </w:p>
    <w:p>
      <w:pPr>
        <w:ind w:left="360"/>
      </w:pPr>
      <w:r>
        <w:t xml:space="preserve">• All AI features MUST: operate only on approved curricular content; </w:t>
      </w:r>
      <w:r>
        <w:rPr>
          <w:b/>
        </w:rPr>
        <w:t xml:space="preserve">redact personally identifiable information (PII) before any data leaves the platform's infrastructure</w:t>
      </w:r>
      <w:r>
        <w:t xml:space="preserve">; provide configurable cost/usage controls; and be </w:t>
      </w:r>
      <w:r>
        <w:rPr>
          <w:b/>
        </w:rPr>
        <w:t xml:space="preserve">disableable per school</w:t>
      </w:r>
      <w:r>
        <w:t xml:space="preserve">.</w:t>
      </w:r>
    </w:p>
    <w:p>
      <w:pPr>
        <w:pStyle w:val="Heading2"/>
      </w:pPr>
      <w:r>
        <w:t xml:space="preserve">3.4 Communication &amp; Engagement</w:t>
      </w:r>
    </w:p>
    <w:p>
      <w:pPr>
        <w:ind w:left="360"/>
      </w:pPr>
      <w:r>
        <w:t xml:space="preserve">• Secure in-app messaging (teacher↔student↔parent) with school-scoped, audited threads.</w:t>
      </w:r>
    </w:p>
    <w:p>
      <w:pPr>
        <w:ind w:left="360"/>
      </w:pPr>
      <w:r>
        <w:t xml:space="preserve">• Notices/announcements with role/section targeting.</w:t>
      </w:r>
    </w:p>
    <w:p>
      <w:pPr>
        <w:ind w:left="360"/>
      </w:pPr>
      <w:r>
        <w:t xml:space="preserve">• Notifications via in-app, </w:t>
      </w:r>
      <w:r>
        <w:rPr>
          <w:b/>
        </w:rPr>
        <w:t xml:space="preserve">email, SMS, and mobile push</w:t>
      </w:r>
      <w:r>
        <w:t xml:space="preserve">; delivery/read tracking.</w:t>
      </w:r>
    </w:p>
    <w:p>
      <w:pPr>
        <w:ind w:left="360"/>
      </w:pPr>
      <w:r>
        <w:t xml:space="preserve">• Real-time updates (live notifications, tutor streaming) where applicable.</w:t>
      </w:r>
    </w:p>
    <w:p>
      <w:pPr>
        <w:ind w:left="360"/>
      </w:pPr>
      <w:r>
        <w:t xml:space="preserve">• Gamification (points, badges, leaderboards) — configurable/optional.</w:t>
      </w:r>
    </w:p>
    <w:p>
      <w:pPr>
        <w:pStyle w:val="Heading2"/>
      </w:pPr>
      <w:r>
        <w:t xml:space="preserve">3.5 Examination &amp; Evaluation</w:t>
      </w:r>
    </w:p>
    <w:p>
      <w:pPr>
        <w:ind w:left="360"/>
      </w:pPr>
      <w:r>
        <w:t xml:space="preserve">• Internal and terminal examination management aligned to national grading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Result-publication controls with audit and rollback.</w:t>
      </w:r>
    </w:p>
    <w:p>
      <w:pPr>
        <w:ind w:left="360"/>
      </w:pPr>
      <w:r>
        <w:t xml:space="preserve">• Analytics: subject/section/school performance, trends, at-risk identification.</w:t>
      </w:r>
    </w:p>
    <w:p>
      <w:pPr>
        <w:pStyle w:val="Heading2"/>
      </w:pPr>
      <w:r>
        <w:t xml:space="preserve">3.6 Library Management</w:t>
      </w:r>
    </w:p>
    <w:p>
      <w:pPr>
        <w:ind w:left="360"/>
      </w:pPr>
      <w:r>
        <w:t xml:space="preserve">• Catalogue, categorization, search; issue/return; member records; overdue tracking.</w:t>
      </w:r>
    </w:p>
    <w:p>
      <w:pPr>
        <w:pStyle w:val="Heading2"/>
      </w:pPr>
      <w:r>
        <w:t xml:space="preserve">3.7 Finance &amp; Fee Management</w:t>
      </w:r>
    </w:p>
    <w:p>
      <w:pPr>
        <w:ind w:left="360"/>
      </w:pPr>
      <w:r>
        <w:t xml:space="preserve">• Fee heads/structures, student fee ledgers, partial/scheduled payments, discounts, late fees.</w:t>
      </w:r>
    </w:p>
    <w:p>
      <w:pPr>
        <w:ind w:left="360"/>
      </w:pPr>
      <w:r>
        <w:t xml:space="preserve">• </w:t>
      </w:r>
      <w:r>
        <w:rPr>
          <w:b/>
        </w:rPr>
        <w:t xml:space="preserve">Online payment gateways: eSewa, Khalti, ConnectIPS</w:t>
      </w:r>
      <w:r>
        <w:t xml:space="preserve"> </w:t>
      </w:r>
      <w:r>
        <w:rPr>
          <w:b/>
        </w:rPr>
        <w:t xml:space="preserve">[ADAPT]</w:t>
      </w:r>
      <w:r>
        <w:t xml:space="preserve"> with server-side payment verification and idempotent reconciliation.</w:t>
      </w:r>
    </w:p>
    <w:p>
      <w:pPr>
        <w:ind w:left="360"/>
      </w:pPr>
      <w:r>
        <w:t xml:space="preserve">• Receipts and tax-compliant invoicing (</w:t>
      </w:r>
      <w:r>
        <w:rPr>
          <w:b/>
        </w:rPr>
        <w:t xml:space="preserve">IRD/PAN/VAT-aligned, BS-dated</w:t>
      </w:r>
      <w:r>
        <w:t xml:space="preserve">)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Double-entry ledger / chart of accounts, journal entries, fund accounting, TDS, inventory, depreciation, financial reports.</w:t>
      </w:r>
    </w:p>
    <w:p>
      <w:pPr>
        <w:ind w:left="360"/>
      </w:pPr>
      <w:r>
        <w:t xml:space="preserve">• Subscription/plan management for central oversight of school entitlements.</w:t>
      </w:r>
    </w:p>
    <w:p>
      <w:pPr>
        <w:pStyle w:val="Heading2"/>
      </w:pPr>
      <w:r>
        <w:t xml:space="preserve">3.8 Human Resources &amp; Payroll</w:t>
      </w:r>
    </w:p>
    <w:p>
      <w:pPr>
        <w:ind w:left="360"/>
      </w:pPr>
      <w:r>
        <w:t xml:space="preserve">• Staff records, attendance, leave, payroll runs, statutory deductions </w:t>
      </w:r>
      <w:r>
        <w:rPr>
          <w:b/>
        </w:rPr>
        <w:t xml:space="preserve">[ADAPT]</w:t>
      </w:r>
      <w:r>
        <w:t xml:space="preserve">.</w:t>
      </w:r>
    </w:p>
    <w:p>
      <w:pPr>
        <w:pStyle w:val="Heading2"/>
      </w:pPr>
      <w:r>
        <w:t xml:space="preserve">3.9 Transport &amp; Hostel</w:t>
      </w:r>
    </w:p>
    <w:p>
      <w:pPr>
        <w:ind w:left="360"/>
      </w:pPr>
      <w:r>
        <w:t xml:space="preserve">• Route/vehicle management, student-route assignment; hostel allocation and records.</w:t>
      </w:r>
    </w:p>
    <w:p>
      <w:pPr>
        <w:pStyle w:val="Heading2"/>
      </w:pPr>
      <w:r>
        <w:t xml:space="preserve">3.10 Projects / Co-curricular</w:t>
      </w:r>
    </w:p>
    <w:p>
      <w:pPr>
        <w:ind w:left="360"/>
      </w:pPr>
      <w:r>
        <w:t xml:space="preserve">• Group/individual project tracking, tasks, submissions, rubric-based evaluation (feature-gated per school).</w:t>
      </w:r>
    </w:p>
    <w:p>
      <w:pPr>
        <w:pStyle w:val="Heading2"/>
      </w:pPr>
      <w:r>
        <w:t xml:space="preserve">3.11 Reporting &amp; Dashboards</w:t>
      </w:r>
    </w:p>
    <w:p>
      <w:pPr>
        <w:ind w:left="360"/>
      </w:pPr>
      <w:r>
        <w:t xml:space="preserve">• Role-specific dashboards (student/teacher/parent/school-admin/central).</w:t>
      </w:r>
    </w:p>
    <w:p>
      <w:pPr>
        <w:ind w:left="360"/>
      </w:pPr>
      <w:r>
        <w:t xml:space="preserve">• Central/district analytics aggregating across schools </w:t>
      </w:r>
      <w:r>
        <w:rPr>
          <w:b/>
        </w:rPr>
        <w:t xml:space="preserve">without</w:t>
      </w:r>
      <w:r>
        <w:t xml:space="preserve"> exposing individual children's PII to unauthorized roles.</w:t>
      </w:r>
    </w:p>
    <w:p>
      <w:pPr>
        <w:ind w:left="360"/>
      </w:pPr>
      <w:r>
        <w:t xml:space="preserve">• Exportable reports (PDF/Excel/CSV) and scheduled report generation.</w:t>
      </w:r>
    </w:p>
    <w:p>
      <w:pPr>
        <w:ind w:left="360"/>
      </w:pPr>
      <w:r>
        <w:t xml:space="preserve">• </w:t>
      </w:r>
      <w:r>
        <w:rPr>
          <w:b/>
        </w:rPr>
        <w:t xml:space="preserve">National EMIS/IEMIS data export</w:t>
      </w:r>
      <w:r>
        <w:t xml:space="preserve"> in the prescribed format </w:t>
      </w:r>
      <w:r>
        <w:rPr>
          <w:b/>
        </w:rPr>
        <w:t xml:space="preserve">[ADAPT]</w:t>
      </w:r>
      <w:r>
        <w:t xml:space="preserve">.</w:t>
      </w:r>
    </w:p>
    <w:p>
      <w:pPr>
        <w:pStyle w:val="Heading2"/>
      </w:pPr>
      <w:r>
        <w:t xml:space="preserve">3.12 Lots / Optional Components</w:t>
      </w:r>
    </w:p>
    <w:p>
      <w:pPr>
        <w:ind w:left="360"/>
      </w:pPr>
      <w:r>
        <w:t xml:space="preserve">• </w:t>
      </w:r>
      <w:r>
        <w:rPr>
          <w:b/>
        </w:rPr>
        <w:t xml:space="preserve">Lot 1 (Core):</w:t>
      </w:r>
      <w:r>
        <w:t xml:space="preserve"> Identity, Academic, Communication, Examination, Reporting, Mobile app.</w:t>
      </w:r>
    </w:p>
    <w:p>
      <w:pPr>
        <w:ind w:left="360"/>
      </w:pPr>
      <w:r>
        <w:t xml:space="preserve">• </w:t>
      </w:r>
      <w:r>
        <w:rPr>
          <w:b/>
        </w:rPr>
        <w:t xml:space="preserve">Lot 2 (ERP):</w:t>
      </w:r>
      <w:r>
        <w:t xml:space="preserve"> Finance/Fees, HR/Payroll, Library, Transport, Hostel.</w:t>
      </w:r>
    </w:p>
    <w:p>
      <w:pPr>
        <w:ind w:left="360"/>
      </w:pPr>
      <w:r>
        <w:t xml:space="preserve">• </w:t>
      </w:r>
      <w:r>
        <w:rPr>
          <w:b/>
        </w:rPr>
        <w:t xml:space="preserve">Lot 3 (AI/Analytics — optional):</w:t>
      </w:r>
      <w:r>
        <w:t xml:space="preserve"> AI tutor, analytics, auto-generation, assisted grading.</w:t>
      </w:r>
    </w:p>
    <w:p>
      <w:pPr/>
      <w:r>
        <w:t xml:space="preserve">Bidders may bid for all lots or as specified; pricing must be </w:t>
      </w:r>
      <w:r>
        <w:rPr>
          <w:b/>
        </w:rPr>
        <w:t xml:space="preserve">itemized per lot</w:t>
      </w:r>
      <w:r>
        <w:t xml:space="preserve">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4. Technical Requirements</w:t>
      </w:r>
    </w:p>
    <w:p>
      <w:pPr>
        <w:pStyle w:val="Heading2"/>
      </w:pPr>
      <w:r>
        <w:t xml:space="preserve">4.1 Architecture</w:t>
      </w:r>
    </w:p>
    <w:p>
      <w:pPr>
        <w:ind w:left="360"/>
      </w:pPr>
      <w:r>
        <w:t xml:space="preserve">• Web application accessible on modern browsers (Chrome, Edge, Firefox, Safari — current and prior major version).</w:t>
      </w:r>
    </w:p>
    <w:p>
      <w:pPr>
        <w:ind w:left="360"/>
      </w:pPr>
      <w:r>
        <w:t xml:space="preserve">• </w:t>
      </w:r>
      <w:r>
        <w:rPr>
          <w:b/>
        </w:rPr>
        <w:t xml:space="preserve">Native/cross-platform mobile application (Android and iOS)</w:t>
      </w:r>
      <w:r>
        <w:t xml:space="preserve"> for students, teachers, and parents.</w:t>
      </w:r>
    </w:p>
    <w:p>
      <w:pPr>
        <w:ind w:left="360"/>
      </w:pPr>
      <w:r>
        <w:t xml:space="preserve">• Service-oriented/API-first design with documented REST APIs (OpenAPI/Swagger) for integration.</w:t>
      </w:r>
    </w:p>
    <w:p>
      <w:pPr>
        <w:ind w:left="360"/>
      </w:pPr>
      <w:r>
        <w:t xml:space="preserve">• Asynchronous processing for heavy/long-running jobs; real-time channel (WebSocket) for live features.</w:t>
      </w:r>
    </w:p>
    <w:p>
      <w:pPr>
        <w:pStyle w:val="Heading2"/>
      </w:pPr>
      <w:r>
        <w:t xml:space="preserve">4.2 Localization &amp; Accessibility</w:t>
      </w:r>
    </w:p>
    <w:p>
      <w:pPr>
        <w:ind w:left="360"/>
      </w:pPr>
      <w:r>
        <w:t xml:space="preserve">• </w:t>
      </w:r>
      <w:r>
        <w:rPr>
          <w:b/>
        </w:rPr>
        <w:t xml:space="preserve">Nepali (Devanagari, Unicode) and English</w:t>
      </w:r>
      <w:r>
        <w:t xml:space="preserve"> UI, with language toggle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Bikram Sambat calendar</w:t>
      </w:r>
      <w:r>
        <w:t xml:space="preserve"> throughout, with AD conversion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WCAG 2.1 Level AA</w:t>
      </w:r>
      <w:r>
        <w:t xml:space="preserve"> accessibility compliance.</w:t>
      </w:r>
    </w:p>
    <w:p>
      <w:pPr>
        <w:ind w:left="360"/>
      </w:pPr>
      <w:r>
        <w:t xml:space="preserve">• Mobile-responsive UI; usable on low-cost Android devices.</w:t>
      </w:r>
    </w:p>
    <w:p>
      <w:pPr>
        <w:pStyle w:val="Heading2"/>
      </w:pPr>
      <w:r>
        <w:t xml:space="preserve">4.3 Low-Connectivity / Resilience (critical for rural government schools)</w:t>
      </w:r>
    </w:p>
    <w:p>
      <w:pPr>
        <w:ind w:left="360"/>
      </w:pPr>
      <w:r>
        <w:t xml:space="preserve">• Graceful degradation on slow/intermittent connections; lightweight payloads.</w:t>
      </w:r>
    </w:p>
    <w:p>
      <w:pPr>
        <w:ind w:left="360"/>
      </w:pPr>
      <w:r>
        <w:t xml:space="preserve">• Offline/queued capability for high-value flows (e.g., attendance capture) where feasible — bidder to describe approach.</w:t>
      </w:r>
    </w:p>
    <w:p>
      <w:pPr>
        <w:ind w:left="360"/>
      </w:pPr>
      <w:r>
        <w:t xml:space="preserve">• Resilience to backend component outages (queue fallback, retries).</w:t>
      </w:r>
    </w:p>
    <w:p>
      <w:pPr>
        <w:pStyle w:val="Heading2"/>
      </w:pPr>
      <w:r>
        <w:t xml:space="preserve">4.4 Performance &amp; Scalability</w:t>
      </w:r>
    </w:p>
    <w:p>
      <w:pPr>
        <w:ind w:left="360"/>
      </w:pPr>
      <w:r>
        <w:t xml:space="preserve">• Support </w:t>
      </w:r>
      <w:r>
        <w:rPr>
          <w:b/>
        </w:rPr>
        <w:t xml:space="preserve">[X] concurrent users</w:t>
      </w:r>
      <w:r>
        <w:t xml:space="preserve"> at peak (e.g., result-publication, exam windows) with API p95 latency ≤ </w:t>
      </w:r>
      <w:r>
        <w:rPr>
          <w:b/>
        </w:rPr>
        <w:t xml:space="preserve">800 ms</w:t>
      </w:r>
      <w:r>
        <w:t xml:space="preserve"> for standard transactions </w:t>
      </w:r>
      <w:r>
        <w:rPr>
          <w:b/>
        </w:rPr>
        <w:t xml:space="preserve">[ADAPT to baseline]</w:t>
      </w:r>
      <w:r>
        <w:t xml:space="preserve">.</w:t>
      </w:r>
    </w:p>
    <w:p>
      <w:pPr>
        <w:ind w:left="360"/>
      </w:pPr>
      <w:r>
        <w:t xml:space="preserve">• Horizontal scalability to onboard </w:t>
      </w:r>
      <w:r>
        <w:rPr>
          <w:b/>
        </w:rPr>
        <w:t xml:space="preserve">[N]→[N×]</w:t>
      </w:r>
      <w:r>
        <w:t xml:space="preserve"> schools without re-architecture; multi-tenant noisy-neighbor isolation.</w:t>
      </w:r>
    </w:p>
    <w:p>
      <w:pPr>
        <w:ind w:left="360"/>
      </w:pPr>
      <w:r>
        <w:t xml:space="preserve">• Stated capacity test results to be submitted; load test to be witnessed during evaluation/UAT.</w:t>
      </w:r>
    </w:p>
    <w:p>
      <w:pPr>
        <w:pStyle w:val="Heading2"/>
      </w:pPr>
      <w:r>
        <w:t xml:space="preserve">4.5 Availability &amp; Continuity</w:t>
      </w:r>
    </w:p>
    <w:p>
      <w:pPr>
        <w:ind w:left="360"/>
      </w:pPr>
      <w:r>
        <w:t xml:space="preserve">• </w:t>
      </w:r>
      <w:r>
        <w:rPr>
          <w:b/>
        </w:rPr>
        <w:t xml:space="preserve">≥ 99.5% monthly uptime</w:t>
      </w:r>
      <w:r>
        <w:t xml:space="preserve"> for production (excluding agreed maintenance windows).</w:t>
      </w:r>
    </w:p>
    <w:p>
      <w:pPr>
        <w:ind w:left="360"/>
      </w:pPr>
      <w:r>
        <w:t xml:space="preserve">• Automated </w:t>
      </w:r>
      <w:r>
        <w:rPr>
          <w:b/>
        </w:rPr>
        <w:t xml:space="preserve">daily backups</w:t>
      </w:r>
      <w:r>
        <w:t xml:space="preserve">, point-in-time recovery; documented </w:t>
      </w:r>
      <w:r>
        <w:rPr>
          <w:b/>
        </w:rPr>
        <w:t xml:space="preserve">RPO ≤ 24h, RTO ≤ 4h</w:t>
      </w:r>
      <w:r>
        <w:t xml:space="preserve">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Disaster-recovery plan and at least one geographically separate backup location.</w:t>
      </w:r>
    </w:p>
    <w:p>
      <w:pPr>
        <w:pStyle w:val="Heading2"/>
      </w:pPr>
      <w:r>
        <w:t xml:space="preserve">4.6 Hosting &amp; Data Residency</w:t>
      </w:r>
    </w:p>
    <w:p>
      <w:pPr>
        <w:ind w:left="360"/>
      </w:pPr>
      <w:r>
        <w:t xml:space="preserve">• </w:t>
      </w:r>
      <w:r>
        <w:rPr>
          <w:b/>
        </w:rPr>
        <w:t xml:space="preserve">Data residency:</w:t>
      </w:r>
      <w:r>
        <w:t xml:space="preserve"> All personal data of children and staff MUST be stored within </w:t>
      </w:r>
      <w:r>
        <w:rPr>
          <w:b/>
        </w:rPr>
        <w:t xml:space="preserve">[Nepal / Government Cloud — ADAPT]</w:t>
      </w:r>
      <w:r>
        <w:t xml:space="preserve"> unless the procuring entity grants written exception. State hosting model clearly (Government Integrated Data Centre / approved cloud).</w:t>
      </w:r>
    </w:p>
    <w:p>
      <w:pPr>
        <w:ind w:left="360"/>
      </w:pPr>
      <w:r>
        <w:t xml:space="preserve">• If SaaS/public-cloud is proposed, describe region, sub-processors, and compliance posture.</w:t>
      </w:r>
    </w:p>
    <w:p>
      <w:pPr>
        <w:ind w:left="360"/>
      </w:pPr>
      <w:r>
        <w:t xml:space="preserve">• Clear separation of production, staging, and test environments.</w:t>
      </w:r>
    </w:p>
    <w:p>
      <w:pPr>
        <w:pStyle w:val="Heading2"/>
      </w:pPr>
      <w:r>
        <w:t xml:space="preserve">4.7 Integrations</w:t>
      </w:r>
    </w:p>
    <w:p>
      <w:pPr>
        <w:ind w:left="360"/>
      </w:pPr>
      <w:r>
        <w:t xml:space="preserve">• Payment gateways (§3.7), Email service, SMS gateway </w:t>
      </w:r>
      <w:r>
        <w:rPr>
          <w:b/>
        </w:rPr>
        <w:t xml:space="preserve">[ADAPT to approved provider]</w:t>
      </w:r>
      <w:r>
        <w:t xml:space="preserve">, mobile push.</w:t>
      </w:r>
    </w:p>
    <w:p>
      <w:pPr>
        <w:ind w:left="360"/>
      </w:pPr>
      <w:r>
        <w:t xml:space="preserve">• National EMIS/IEMIS export/sync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Optional: national ID/registration, biometric/attendance devices — bidder to state capability.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5. Security, Privacy &amp; Compliance</w:t>
      </w:r>
    </w:p>
    <w:p>
      <w:pPr/>
      <w:r>
        <w:t xml:space="preserve">The platform serves </w:t>
      </w:r>
      <w:r>
        <w:rPr>
          <w:b/>
        </w:rPr>
        <w:t xml:space="preserve">minors</w:t>
      </w:r>
      <w:r>
        <w:t xml:space="preserve">; child-data protection is a primary, non-negotiable evaluation criterion.</w:t>
      </w:r>
    </w:p>
    <w:p>
      <w:pPr>
        <w:pStyle w:val="Heading2"/>
      </w:pPr>
      <w:r>
        <w:t xml:space="preserve">5.1 Mandatory Security Controls</w:t>
      </w:r>
    </w:p>
    <w:p>
      <w:pPr>
        <w:ind w:left="360"/>
      </w:pPr>
      <w:r>
        <w:t xml:space="preserve">• Encryption </w:t>
      </w:r>
      <w:r>
        <w:rPr>
          <w:b/>
        </w:rPr>
        <w:t xml:space="preserve">in transit (TLS 1.2+)</w:t>
      </w:r>
      <w:r>
        <w:t xml:space="preserve"> and </w:t>
      </w:r>
      <w:r>
        <w:rPr>
          <w:b/>
        </w:rPr>
        <w:t xml:space="preserve">at rest</w:t>
      </w:r>
      <w:r>
        <w:t xml:space="preserve">.</w:t>
      </w:r>
    </w:p>
    <w:p>
      <w:pPr>
        <w:ind w:left="360"/>
      </w:pPr>
      <w:r>
        <w:t xml:space="preserve">• Verifiable </w:t>
      </w:r>
      <w:r>
        <w:rPr>
          <w:b/>
        </w:rPr>
        <w:t xml:space="preserve">tenant data isolation</w:t>
      </w:r>
      <w:r>
        <w:t xml:space="preserve"> (cross-tenant access tests to be demonstrated during UAT).</w:t>
      </w:r>
    </w:p>
    <w:p>
      <w:pPr>
        <w:ind w:left="360"/>
      </w:pPr>
      <w:r>
        <w:t xml:space="preserve">• Secure authentication: hashed credentials, MFA for admins, session/token controls, brute-force lockout.</w:t>
      </w:r>
    </w:p>
    <w:p>
      <w:pPr>
        <w:ind w:left="360"/>
      </w:pPr>
      <w:r>
        <w:t xml:space="preserve">• Role/function/object-level authorization; no unauthenticated access to personal data.</w:t>
      </w:r>
    </w:p>
    <w:p>
      <w:pPr>
        <w:ind w:left="360"/>
      </w:pPr>
      <w:r>
        <w:t xml:space="preserve">• Server-side verification of all payment callbacks; idempotent, tamper-resistant transaction recording.</w:t>
      </w:r>
    </w:p>
    <w:p>
      <w:pPr>
        <w:ind w:left="360"/>
      </w:pPr>
      <w:r>
        <w:t xml:space="preserve">• Audit logging of sensitive actions (logins, data changes, result publication, password resets, financial transactions) — immutable and exportable.</w:t>
      </w:r>
    </w:p>
    <w:p>
      <w:pPr>
        <w:ind w:left="360"/>
      </w:pPr>
      <w:r>
        <w:t xml:space="preserve">• Rate limiting/throttling on public and authentication endpoints.</w:t>
      </w:r>
    </w:p>
    <w:p>
      <w:pPr>
        <w:ind w:left="360"/>
      </w:pPr>
      <w:r>
        <w:t xml:space="preserve">• PII minimization in logs and in any third-party/AI processing.</w:t>
      </w:r>
    </w:p>
    <w:p>
      <w:pPr>
        <w:ind w:left="360"/>
      </w:pPr>
      <w:r>
        <w:t xml:space="preserve">• Secure file-upload validation (type/size/scan).</w:t>
      </w:r>
    </w:p>
    <w:p>
      <w:pPr>
        <w:ind w:left="360"/>
      </w:pPr>
      <w:r>
        <w:t xml:space="preserve">• Documented secret management; no credentials in source.</w:t>
      </w:r>
    </w:p>
    <w:p>
      <w:pPr>
        <w:pStyle w:val="Heading2"/>
      </w:pPr>
      <w:r>
        <w:t xml:space="preserve">5.2 Data Protection &amp; Privacy</w:t>
      </w:r>
    </w:p>
    <w:p>
      <w:pPr>
        <w:ind w:left="360"/>
      </w:pPr>
      <w:r>
        <w:t xml:space="preserve">• Compliance with applicable data-protection law </w:t>
      </w:r>
      <w:r>
        <w:rPr>
          <w:b/>
        </w:rPr>
        <w:t xml:space="preserve">[ADAPT — e.g., Privacy Act 2075, Children's Act 2075]</w:t>
      </w:r>
      <w:r>
        <w:t xml:space="preserve">, including consent, purpose limitation, retention, and minors' protections.</w:t>
      </w:r>
    </w:p>
    <w:p>
      <w:pPr>
        <w:ind w:left="360"/>
      </w:pPr>
      <w:r>
        <w:t xml:space="preserve">• Data subject rights: access, correction, and deletion workflows respecting tenant boundaries.</w:t>
      </w:r>
    </w:p>
    <w:p>
      <w:pPr>
        <w:ind w:left="360"/>
      </w:pPr>
      <w:r>
        <w:t xml:space="preserve">• Documented data-retention and secure-disposal policy.</w:t>
      </w:r>
    </w:p>
    <w:p>
      <w:pPr>
        <w:ind w:left="360"/>
      </w:pPr>
      <w:r>
        <w:t xml:space="preserve">• Data Processing Agreement (DPA) and confidentiality undertaking required from the awarded vendor.</w:t>
      </w:r>
    </w:p>
    <w:p>
      <w:pPr>
        <w:pStyle w:val="Heading2"/>
      </w:pPr>
      <w:r>
        <w:t xml:space="preserve">5.3 Assurance</w:t>
      </w:r>
    </w:p>
    <w:p>
      <w:pPr>
        <w:ind w:left="360"/>
      </w:pPr>
      <w:r>
        <w:t xml:space="preserve">• Bidder to submit secure-development practices, vulnerability-management process, and any third-party security audit / penetration-test reports (within last 24 months).</w:t>
      </w:r>
    </w:p>
    <w:p>
      <w:pPr>
        <w:ind w:left="360"/>
      </w:pPr>
      <w:r>
        <w:t xml:space="preserve">• Procuring entity reserves the right to conduct/commission an independent security assessment before go-live and periodically thereafter.</w:t>
      </w:r>
    </w:p>
    <w:p>
      <w:pPr>
        <w:ind w:left="360"/>
      </w:pPr>
      <w:r>
        <w:t xml:space="preserve">• Source-code </w:t>
      </w:r>
      <w:r>
        <w:rPr>
          <w:b/>
        </w:rPr>
        <w:t xml:space="preserve">escrow</w:t>
      </w:r>
      <w:r>
        <w:t xml:space="preserve"> for custom components (see §10.4).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6. Implementation, Migration &amp; Rollout</w:t>
      </w:r>
    </w:p>
    <w:p>
      <w:pPr>
        <w:pStyle w:val="Heading2"/>
      </w:pPr>
      <w:r>
        <w:t xml:space="preserve">6.1 Phased Implementation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Phase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Deliverables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Indicative Timeline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0. Inception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Project plan, governance, requirement sign-off, environment setup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1–3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1. Configuration &amp; Customization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Tenant model, roles, localization (Nepali/BS), branding, workflows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4–10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2. Integrations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Payments, SMS/email/push, EMIS export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8–12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3. Data Migration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Student/staff/academic data import, validation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10–14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4. Pilot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Deploy to </w:t>
            </w:r>
            <w:r>
              <w:rPr>
                <w:b/>
              </w:rPr>
              <w:t xml:space="preserve">[5–10] pilot schools</w:t>
            </w:r>
            <w:r>
              <w:t xml:space="preserve">, UAT, security test, load test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14–20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5. Phased Rollout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Onboard remaining schools in batches with training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20–40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6. Go-Live &amp; Stabilization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Full production, hypercare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40–44</w:t>
            </w:r>
          </w:p>
        </w:tc>
      </w:tr>
    </w:tbl>
    <w:p/>
    <w:p>
      <w:pPr/>
      <w:r>
        <w:t xml:space="preserve">(*Timelines indicative; bidder to propose a detailed plan with milestones and dependencies.*)</w:t>
      </w:r>
    </w:p>
    <w:p>
      <w:pPr>
        <w:pStyle w:val="Heading2"/>
      </w:pPr>
      <w:r>
        <w:t xml:space="preserve">6.2 Data Migration</w:t>
      </w:r>
    </w:p>
    <w:p>
      <w:pPr>
        <w:ind w:left="360"/>
      </w:pPr>
      <w:r>
        <w:t xml:space="preserve">• Bidder to provide migration tools, templates, validation reports, and rollback procedures. Migration accuracy ≥ </w:t>
      </w:r>
      <w:r>
        <w:rPr>
          <w:b/>
        </w:rPr>
        <w:t xml:space="preserve">99.9%</w:t>
      </w:r>
      <w:r>
        <w:t xml:space="preserve"> with reconciliation sign-off.</w:t>
      </w:r>
    </w:p>
    <w:p>
      <w:pPr>
        <w:pStyle w:val="Heading2"/>
      </w:pPr>
      <w:r>
        <w:t xml:space="preserve">6.3 Acceptance Criteria</w:t>
      </w:r>
    </w:p>
    <w:p>
      <w:pPr>
        <w:ind w:left="360"/>
      </w:pPr>
      <w:r>
        <w:t xml:space="preserve">• Written UAT sign-off per phase; security and load tests passed; documentation delivered. Final acceptance upon successful go-live and stabilization across the agreed school cohort.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7. Training, Documentation &amp; Change Management</w:t>
      </w:r>
    </w:p>
    <w:p>
      <w:pPr>
        <w:ind w:left="360"/>
      </w:pPr>
      <w:r>
        <w:t xml:space="preserve">• Role-based training (administrators, teachers, finance/HR staff) — in-person and/or online, in </w:t>
      </w:r>
      <w:r>
        <w:rPr>
          <w:b/>
        </w:rPr>
        <w:t xml:space="preserve">Nepali</w:t>
      </w:r>
      <w:r>
        <w:t xml:space="preserve">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Train-the-Trainer</w:t>
      </w:r>
      <w:r>
        <w:t xml:space="preserve"> program for sustainability; minimum </w:t>
      </w:r>
      <w:r>
        <w:rPr>
          <w:b/>
        </w:rPr>
        <w:t xml:space="preserve">[N]</w:t>
      </w:r>
      <w:r>
        <w:t xml:space="preserve"> master trainers.</w:t>
      </w:r>
    </w:p>
    <w:p>
      <w:pPr>
        <w:ind w:left="360"/>
      </w:pPr>
      <w:r>
        <w:t xml:space="preserve">• User manuals, quick-start guides, video tutorials, and an in-app help/knowledge base.</w:t>
      </w:r>
    </w:p>
    <w:p>
      <w:pPr>
        <w:ind w:left="360"/>
      </w:pPr>
      <w:r>
        <w:t xml:space="preserve">• Administrator and API/technical documentation; runbooks for operations.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8. Support, Warranty &amp; Maintenance (SLA)</w:t>
      </w:r>
    </w:p>
    <w:p>
      <w:pPr>
        <w:pStyle w:val="Heading2"/>
      </w:pPr>
      <w:r>
        <w:t xml:space="preserve">8.1 Warranty &amp; Term</w:t>
      </w:r>
    </w:p>
    <w:p>
      <w:pPr>
        <w:ind w:left="360"/>
      </w:pPr>
      <w:r>
        <w:t xml:space="preserve">• </w:t>
      </w:r>
      <w:r>
        <w:rPr>
          <w:b/>
        </w:rPr>
        <w:t xml:space="preserve">[3–5] years</w:t>
      </w:r>
      <w:r>
        <w:t xml:space="preserve"> of post-go-live support, warranty, and maintenance, including all defect fixes, security patches, and minor enhancements at no extra cost.</w:t>
      </w:r>
    </w:p>
    <w:p>
      <w:pPr>
        <w:pStyle w:val="Heading2"/>
      </w:pPr>
      <w:r>
        <w:t xml:space="preserve">8.2 Support Levels &amp; Response/Resolution Targets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Severity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Definition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Resolution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S1 — Critical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System/login down, data breach, payment failure, data loss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1 hour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4 hours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S2 — Major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Core function broken, no workaround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4 hours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1 business day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S3 — Minor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Function impaired, workaround exists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1 business day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5 business days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S4 — Low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Cosmetic / query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≤ 2 business days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Next release</w:t>
            </w:r>
          </w:p>
        </w:tc>
      </w:tr>
    </w:tbl>
    <w:p/>
    <w:p>
      <w:pPr>
        <w:ind w:left="360"/>
      </w:pPr>
      <w:r>
        <w:t xml:space="preserve">• Helpdesk (phone/email/portal) during </w:t>
      </w:r>
      <w:r>
        <w:rPr>
          <w:b/>
        </w:rPr>
        <w:t xml:space="preserve">[hours]</w:t>
      </w:r>
      <w:r>
        <w:t xml:space="preserve">; escalation matrix required.</w:t>
      </w:r>
    </w:p>
    <w:p>
      <w:pPr>
        <w:ind w:left="360"/>
      </w:pPr>
      <w:r>
        <w:t xml:space="preserve">• </w:t>
      </w:r>
      <w:r>
        <w:rPr>
          <w:b/>
        </w:rPr>
        <w:t xml:space="preserve">Service credits / penalties</w:t>
      </w:r>
      <w:r>
        <w:t xml:space="preserve"> for SLA breaches (see §9.4).</w:t>
      </w:r>
    </w:p>
    <w:p>
      <w:pPr>
        <w:ind w:left="360"/>
      </w:pPr>
      <w:r>
        <w:t xml:space="preserve">• Quarterly patching; emergency security patches within </w:t>
      </w:r>
      <w:r>
        <w:rPr>
          <w:b/>
        </w:rPr>
        <w:t xml:space="preserve">[72h]</w:t>
      </w:r>
      <w:r>
        <w:t xml:space="preserve"> of disclosure.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9. Commercial Terms</w:t>
      </w:r>
    </w:p>
    <w:p>
      <w:pPr>
        <w:pStyle w:val="Heading2"/>
      </w:pPr>
      <w:r>
        <w:t xml:space="preserve">9.1 Pricing Structure (itemize in Annex D — Financial Proposal)</w:t>
      </w:r>
    </w:p>
    <w:p>
      <w:pPr>
        <w:ind w:left="360"/>
      </w:pPr>
      <w:r>
        <w:t xml:space="preserve">• One-time: customization, integration, data migration, training.</w:t>
      </w:r>
    </w:p>
    <w:p>
      <w:pPr>
        <w:ind w:left="360"/>
      </w:pPr>
      <w:r>
        <w:t xml:space="preserve">• Recurring: licensing/SaaS subscription </w:t>
      </w:r>
      <w:r>
        <w:rPr>
          <w:b/>
        </w:rPr>
        <w:t xml:space="preserve">per-school or per-active-user</w:t>
      </w:r>
      <w:r>
        <w:t xml:space="preserve">, hosting, support/maintenance (annual).</w:t>
      </w:r>
    </w:p>
    <w:p>
      <w:pPr>
        <w:ind w:left="360"/>
      </w:pPr>
      <w:r>
        <w:t xml:space="preserve">• Optional: AI/analytics lot priced separately (with transparent usage/cost-control model).</w:t>
      </w:r>
    </w:p>
    <w:p>
      <w:pPr>
        <w:ind w:left="360"/>
      </w:pPr>
      <w:r>
        <w:t xml:space="preserve">• Pricing inclusive of all taxes </w:t>
      </w:r>
      <w:r>
        <w:rPr>
          <w:b/>
        </w:rPr>
        <w:t xml:space="preserve">[ADAPT — VAT]</w:t>
      </w:r>
      <w:r>
        <w:t xml:space="preserve">; in </w:t>
      </w:r>
      <w:r>
        <w:rPr>
          <w:b/>
        </w:rPr>
        <w:t xml:space="preserve">NPR</w:t>
      </w:r>
      <w:r>
        <w:t xml:space="preserve"> </w:t>
      </w:r>
      <w:r>
        <w:rPr>
          <w:b/>
        </w:rPr>
        <w:t xml:space="preserve">[ADAPT]</w:t>
      </w:r>
      <w:r>
        <w:t xml:space="preserve">.</w:t>
      </w:r>
    </w:p>
    <w:p>
      <w:pPr>
        <w:pStyle w:val="Heading2"/>
      </w:pPr>
      <w:r>
        <w:t xml:space="preserve">9.2 Payment Schedule (milestone-linked, indicative)</w:t>
      </w:r>
    </w:p>
    <w:p>
      <w:pPr>
        <w:ind w:left="360"/>
      </w:pPr>
      <w:r>
        <w:t xml:space="preserve">• 10% on contract signing (against performance bond), 20% on configuration acceptance, 20% on pilot acceptance, 20% on full rollout, 10% on final acceptance, remaining as periodic support fees over the term.</w:t>
      </w:r>
    </w:p>
    <w:p>
      <w:pPr>
        <w:pStyle w:val="Heading2"/>
      </w:pPr>
      <w:r>
        <w:t xml:space="preserve">9.3 Bonds &amp; Guarantees</w:t>
      </w:r>
    </w:p>
    <w:p>
      <w:pPr>
        <w:ind w:left="360"/>
      </w:pPr>
      <w:r>
        <w:t xml:space="preserve">• </w:t>
      </w:r>
      <w:r>
        <w:rPr>
          <w:b/>
        </w:rPr>
        <w:t xml:space="preserve">Bid security/EMD:</w:t>
      </w:r>
      <w:r>
        <w:t xml:space="preserve"> [amount/percent].</w:t>
      </w:r>
    </w:p>
    <w:p>
      <w:pPr>
        <w:ind w:left="360"/>
      </w:pPr>
      <w:r>
        <w:t xml:space="preserve">• </w:t>
      </w:r>
      <w:r>
        <w:rPr>
          <w:b/>
        </w:rPr>
        <w:t xml:space="preserve">Performance bond:</w:t>
      </w:r>
      <w:r>
        <w:t xml:space="preserve"> </w:t>
      </w:r>
      <w:r>
        <w:rPr>
          <w:b/>
        </w:rPr>
        <w:t xml:space="preserve">[5–10]%</w:t>
      </w:r>
      <w:r>
        <w:t xml:space="preserve"> of contract value, valid through warranty.</w:t>
      </w:r>
    </w:p>
    <w:p>
      <w:pPr>
        <w:pStyle w:val="Heading2"/>
      </w:pPr>
      <w:r>
        <w:t xml:space="preserve">9.4 Penalties / Liquidated Damages</w:t>
      </w:r>
    </w:p>
    <w:p>
      <w:pPr>
        <w:ind w:left="360"/>
      </w:pPr>
      <w:r>
        <w:t xml:space="preserve">• LD for delay: </w:t>
      </w:r>
      <w:r>
        <w:rPr>
          <w:b/>
        </w:rPr>
        <w:t xml:space="preserve">[0.05]% per day</w:t>
      </w:r>
      <w:r>
        <w:t xml:space="preserve"> up to a cap of </w:t>
      </w:r>
      <w:r>
        <w:rPr>
          <w:b/>
        </w:rPr>
        <w:t xml:space="preserve">[10]%</w:t>
      </w:r>
      <w:r>
        <w:t xml:space="preserve">; SLA-based service credits for uptime/response breaches.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10. Legal, IP &amp; Exit</w:t>
      </w:r>
    </w:p>
    <w:p>
      <w:pPr>
        <w:pStyle w:val="Heading2"/>
      </w:pPr>
      <w:r>
        <w:t xml:space="preserve">10.1 Intellectual Property &amp; Licensing</w:t>
      </w:r>
    </w:p>
    <w:p>
      <w:pPr>
        <w:ind w:left="360"/>
      </w:pPr>
      <w:r>
        <w:t xml:space="preserve">• Government retains ownership of </w:t>
      </w:r>
      <w:r>
        <w:rPr>
          <w:b/>
        </w:rPr>
        <w:t xml:space="preserve">all data</w:t>
      </w:r>
      <w:r>
        <w:t xml:space="preserve">. Bidder to specify license terms for platform and any bespoke customizations (preference for the customizations to be owned/perpetually licensed to the procuring entity).</w:t>
      </w:r>
    </w:p>
    <w:p>
      <w:pPr>
        <w:pStyle w:val="Heading2"/>
      </w:pPr>
      <w:r>
        <w:t xml:space="preserve">10.2 Confidentiality &amp; DPA</w:t>
      </w:r>
    </w:p>
    <w:p>
      <w:pPr>
        <w:ind w:left="360"/>
      </w:pPr>
      <w:r>
        <w:t xml:space="preserve">• Mandatory NDA and Data Processing Agreement; sub-processor disclosure and approval.</w:t>
      </w:r>
    </w:p>
    <w:p>
      <w:pPr>
        <w:pStyle w:val="Heading2"/>
      </w:pPr>
      <w:r>
        <w:t xml:space="preserve">10.3 Exit &amp; Data Portability</w:t>
      </w:r>
    </w:p>
    <w:p>
      <w:pPr>
        <w:ind w:left="360"/>
      </w:pPr>
      <w:r>
        <w:t xml:space="preserve">• On termination/expiry: full export of all data in open, documented formats (CSV/JSON/SQL) at no extra cost; assisted transition; secure deletion certification.</w:t>
      </w:r>
    </w:p>
    <w:p>
      <w:pPr>
        <w:ind w:left="360"/>
      </w:pPr>
      <w:r>
        <w:t xml:space="preserve">• No vendor lock-in via proprietary, undocumented formats.</w:t>
      </w:r>
    </w:p>
    <w:p>
      <w:pPr>
        <w:pStyle w:val="Heading2"/>
      </w:pPr>
      <w:r>
        <w:t xml:space="preserve">10.4 Source-Code Escrow</w:t>
      </w:r>
    </w:p>
    <w:p>
      <w:pPr>
        <w:ind w:left="360"/>
      </w:pPr>
      <w:r>
        <w:t xml:space="preserve">• Custom/bespoke source code and build instructions deposited with an agreed escrow agent, releasable on defined trigger events (vendor insolvency, sustained SLA failure, abandonment).</w:t>
      </w:r>
    </w:p>
    <w:p>
      <w:pPr>
        <w:pStyle w:val="Heading2"/>
      </w:pPr>
      <w:r>
        <w:t xml:space="preserve">10.5 Compliance</w:t>
      </w:r>
    </w:p>
    <w:p>
      <w:pPr>
        <w:ind w:left="360"/>
      </w:pPr>
      <w:r>
        <w:t xml:space="preserve">• Compliance with </w:t>
      </w:r>
      <w:r>
        <w:rPr>
          <w:b/>
        </w:rPr>
        <w:t xml:space="preserve">Public Procurement Act 2063 &amp; Regulations 2064 / PPMO directives</w:t>
      </w:r>
      <w:r>
        <w:t xml:space="preserve"> </w:t>
      </w:r>
      <w:r>
        <w:rPr>
          <w:b/>
        </w:rPr>
        <w:t xml:space="preserve">[ADAPT]</w:t>
      </w:r>
      <w:r>
        <w:t xml:space="preserve"> and all applicable laws.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11. Eligibility &amp; Qualification Criteria</w:t>
      </w:r>
    </w:p>
    <w:p>
      <w:pPr/>
      <w:r>
        <w:t xml:space="preserve">Bidders MUST submit documentary evidence for each:</w:t>
      </w:r>
    </w:p>
    <w:p>
      <w:pPr>
        <w:pStyle w:val="Heading2"/>
      </w:pPr>
      <w:r>
        <w:t xml:space="preserve">11.1 Legal &amp; Financial</w:t>
      </w:r>
    </w:p>
    <w:p>
      <w:pPr>
        <w:ind w:left="360"/>
      </w:pPr>
      <w:r>
        <w:t xml:space="preserve">• Legally registered firm; valid registration, </w:t>
      </w:r>
      <w:r>
        <w:rPr>
          <w:b/>
        </w:rPr>
        <w:t xml:space="preserve">PAN/VAT</w:t>
      </w:r>
      <w:r>
        <w:t xml:space="preserve">, and tax-clearance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Average annual turnover ≥ </w:t>
      </w:r>
      <w:r>
        <w:rPr>
          <w:b/>
        </w:rPr>
        <w:t xml:space="preserve">[amount]</w:t>
      </w:r>
      <w:r>
        <w:t xml:space="preserve"> over the last </w:t>
      </w:r>
      <w:r>
        <w:rPr>
          <w:b/>
        </w:rPr>
        <w:t xml:space="preserve">3</w:t>
      </w:r>
      <w:r>
        <w:t xml:space="preserve"> fiscal years; audited financials.</w:t>
      </w:r>
    </w:p>
    <w:p>
      <w:pPr>
        <w:pStyle w:val="Heading2"/>
      </w:pPr>
      <w:r>
        <w:t xml:space="preserve">11.2 Technical &amp; Experience</w:t>
      </w:r>
    </w:p>
    <w:p>
      <w:pPr>
        <w:ind w:left="360"/>
      </w:pPr>
      <w:r>
        <w:t xml:space="preserve">• Minimum </w:t>
      </w:r>
      <w:r>
        <w:rPr>
          <w:b/>
        </w:rPr>
        <w:t xml:space="preserve">[3–5] years</w:t>
      </w:r>
      <w:r>
        <w:t xml:space="preserve"> delivering comparable web+mobile education/enterprise software.</w:t>
      </w:r>
    </w:p>
    <w:p>
      <w:pPr>
        <w:ind w:left="360"/>
      </w:pPr>
      <w:r>
        <w:t xml:space="preserve">• At least </w:t>
      </w:r>
      <w:r>
        <w:rPr>
          <w:b/>
        </w:rPr>
        <w:t xml:space="preserve">[2]</w:t>
      </w:r>
      <w:r>
        <w:t xml:space="preserve"> reference deployments of multi-tenant/multi-site systems (preferably education sector), with contactable references; one of comparable scale (</w:t>
      </w:r>
      <w:r>
        <w:rPr>
          <w:b/>
        </w:rPr>
        <w:t xml:space="preserve">[N]+</w:t>
      </w:r>
      <w:r>
        <w:t xml:space="preserve"> institutions or </w:t>
      </w:r>
      <w:r>
        <w:rPr>
          <w:b/>
        </w:rPr>
        <w:t xml:space="preserve">[X]+</w:t>
      </w:r>
      <w:r>
        <w:t xml:space="preserve"> users) preferred.</w:t>
      </w:r>
    </w:p>
    <w:p>
      <w:pPr>
        <w:ind w:left="360"/>
      </w:pPr>
      <w:r>
        <w:t xml:space="preserve">• Demonstrated multi-tenant data-isolation capability and security practices.</w:t>
      </w:r>
    </w:p>
    <w:p>
      <w:pPr>
        <w:ind w:left="360"/>
      </w:pPr>
      <w:r>
        <w:t xml:space="preserve">• Experience with </w:t>
      </w:r>
      <w:r>
        <w:rPr>
          <w:b/>
        </w:rPr>
        <w:t xml:space="preserve">localization (Nepali/BS calendar)</w:t>
      </w:r>
      <w:r>
        <w:t xml:space="preserve"> and local payment gateways </w:t>
      </w:r>
      <w:r>
        <w:rPr>
          <w:b/>
        </w:rPr>
        <w:t xml:space="preserve">[ADAPT]</w:t>
      </w:r>
      <w:r>
        <w:t xml:space="preserve"> is an advantage.</w:t>
      </w:r>
    </w:p>
    <w:p>
      <w:pPr>
        <w:pStyle w:val="Heading2"/>
      </w:pPr>
      <w:r>
        <w:t xml:space="preserve">11.3 Team &amp; Capacity</w:t>
      </w:r>
    </w:p>
    <w:p>
      <w:pPr>
        <w:ind w:left="360"/>
      </w:pPr>
      <w:r>
        <w:t xml:space="preserve">• Key personnel with CVs: Project Manager (PMP/PRINCE2 preferred), Solution/Technical Architect, Security Lead, Senior Developers, QA Lead, Training Lead, Support Lead.</w:t>
      </w:r>
    </w:p>
    <w:p>
      <w:pPr>
        <w:ind w:left="360"/>
      </w:pPr>
      <w:r>
        <w:t xml:space="preserve">• In-country presence/support capability </w:t>
      </w:r>
      <w:r>
        <w:rPr>
          <w:b/>
        </w:rPr>
        <w:t xml:space="preserve">[ADAPT]</w:t>
      </w:r>
      <w:r>
        <w:t xml:space="preserve">.</w:t>
      </w:r>
    </w:p>
    <w:p>
      <w:pPr>
        <w:pStyle w:val="Heading2"/>
      </w:pPr>
      <w:r>
        <w:t xml:space="preserve">11.4 Mandatory Demonstration</w:t>
      </w:r>
    </w:p>
    <w:p>
      <w:pPr>
        <w:ind w:left="360"/>
      </w:pPr>
      <w:r>
        <w:t xml:space="preserve">• Shortlisted bidders must provide a </w:t>
      </w:r>
      <w:r>
        <w:rPr>
          <w:b/>
        </w:rPr>
        <w:t xml:space="preserve">live demonstration</w:t>
      </w:r>
      <w:r>
        <w:t xml:space="preserve"> and </w:t>
      </w:r>
      <w:r>
        <w:rPr>
          <w:b/>
        </w:rPr>
        <w:t xml:space="preserve">time-boxed access to a sandbox</w:t>
      </w:r>
      <w:r>
        <w:t xml:space="preserve"> for hands-on evaluation, including a multi-tenant isolation demonstration.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12. Proposal Submission Requirements</w:t>
      </w:r>
    </w:p>
    <w:p>
      <w:pPr>
        <w:pStyle w:val="Heading2"/>
      </w:pPr>
      <w:r>
        <w:t xml:space="preserve">12.1 Two-Envelope System</w:t>
      </w:r>
    </w:p>
    <w:p>
      <w:pPr/>
      <w:r>
        <w:t xml:space="preserve">Submit </w:t>
      </w:r>
      <w:r>
        <w:rPr>
          <w:b/>
        </w:rPr>
        <w:t xml:space="preserve">Technical Proposal</w:t>
      </w:r>
      <w:r>
        <w:t xml:space="preserve"> and </w:t>
      </w:r>
      <w:r>
        <w:rPr>
          <w:b/>
        </w:rPr>
        <w:t xml:space="preserve">Financial Proposal</w:t>
      </w:r>
      <w:r>
        <w:t xml:space="preserve"> as separate sealed envelopes (or as required by the e-GP system </w:t>
      </w:r>
      <w:r>
        <w:rPr>
          <w:b/>
        </w:rPr>
        <w:t xml:space="preserve">[ADAPT]</w:t>
      </w:r>
      <w:r>
        <w:t xml:space="preserve">).</w:t>
      </w:r>
    </w:p>
    <w:p>
      <w:pPr>
        <w:pStyle w:val="Heading2"/>
      </w:pPr>
      <w:r>
        <w:t xml:space="preserve">12.2 Technical Proposal — Contents</w:t>
      </w:r>
    </w:p>
    <w:p>
      <w:pPr>
        <w:ind w:left="360"/>
      </w:pPr>
      <w:r>
        <w:t xml:space="preserve">1. Cover letter &amp; bid forms.</w:t>
      </w:r>
    </w:p>
    <w:p>
      <w:pPr>
        <w:ind w:left="360"/>
      </w:pPr>
      <w:r>
        <w:t xml:space="preserve">2. Eligibility evidence (§11).</w:t>
      </w:r>
    </w:p>
    <w:p>
      <w:pPr>
        <w:ind w:left="360"/>
      </w:pPr>
      <w:r>
        <w:t xml:space="preserve">3. Understanding of requirements &amp; proposed solution.</w:t>
      </w:r>
    </w:p>
    <w:p>
      <w:pPr>
        <w:ind w:left="360"/>
      </w:pPr>
      <w:r>
        <w:t xml:space="preserve">4. </w:t>
      </w:r>
      <w:r>
        <w:rPr>
          <w:b/>
        </w:rPr>
        <w:t xml:space="preserve">Completed Compliance Matrix (Annex C).</w:t>
      </w:r>
    </w:p>
    <w:p>
      <w:pPr>
        <w:ind w:left="360"/>
      </w:pPr>
      <w:r>
        <w:t xml:space="preserve">5. Solution architecture, security &amp; data-protection approach, hosting/data-residency plan.</w:t>
      </w:r>
    </w:p>
    <w:p>
      <w:pPr>
        <w:ind w:left="360"/>
      </w:pPr>
      <w:r>
        <w:t xml:space="preserve">6. Localization, accessibility, and low-connectivity approach.</w:t>
      </w:r>
    </w:p>
    <w:p>
      <w:pPr>
        <w:ind w:left="360"/>
      </w:pPr>
      <w:r>
        <w:t xml:space="preserve">7. Implementation plan, methodology, project schedule, risk plan.</w:t>
      </w:r>
    </w:p>
    <w:p>
      <w:pPr>
        <w:ind w:left="360"/>
      </w:pPr>
      <w:r>
        <w:t xml:space="preserve">8. Data-migration approach; training &amp; change-management plan.</w:t>
      </w:r>
    </w:p>
    <w:p>
      <w:pPr>
        <w:ind w:left="360"/>
      </w:pPr>
      <w:r>
        <w:t xml:space="preserve">9. Support/SLA model and team CVs.</w:t>
      </w:r>
    </w:p>
    <w:p>
      <w:pPr>
        <w:ind w:left="360"/>
      </w:pPr>
      <w:r>
        <w:t xml:space="preserve">10. References &amp; past performance; certifications (ISO 27001 / SOC 2 if any).</w:t>
      </w:r>
    </w:p>
    <w:p>
      <w:pPr>
        <w:ind w:left="360"/>
      </w:pPr>
      <w:r>
        <w:t xml:space="preserve">11. Mandatory undertakings (DPA, confidentiality, escrow willingness).</w:t>
      </w:r>
    </w:p>
    <w:p>
      <w:pPr>
        <w:pStyle w:val="Heading2"/>
      </w:pPr>
      <w:r>
        <w:t xml:space="preserve">12.3 Financial Proposal — Contents</w:t>
      </w:r>
    </w:p>
    <w:p>
      <w:pPr>
        <w:ind w:left="360"/>
      </w:pPr>
      <w:r>
        <w:t xml:space="preserve">• Completed </w:t>
      </w:r>
      <w:r>
        <w:rPr>
          <w:b/>
        </w:rPr>
        <w:t xml:space="preserve">Bill of Quantities / price schedule (Annex D)</w:t>
      </w:r>
      <w:r>
        <w:t xml:space="preserve">, itemized per §9.1 and per lot, all-inclusive, in NPR </w:t>
      </w:r>
      <w:r>
        <w:rPr>
          <w:b/>
        </w:rPr>
        <w:t xml:space="preserve">[ADAPT]</w:t>
      </w:r>
      <w:r>
        <w:t xml:space="preserve">, with 5-year </w:t>
      </w:r>
      <w:r>
        <w:rPr>
          <w:b/>
        </w:rPr>
        <w:t xml:space="preserve">Total Cost of Ownership (TCO)</w:t>
      </w:r>
      <w:r>
        <w:t xml:space="preserve"> summary.</w:t>
      </w:r>
    </w:p>
    <w:p>
      <w:pPr>
        <w:pStyle w:val="Heading2"/>
      </w:pPr>
      <w:r>
        <w:t xml:space="preserve">12.4 Format &amp; Channel</w:t>
      </w:r>
    </w:p>
    <w:p>
      <w:pPr>
        <w:ind w:left="360"/>
      </w:pPr>
      <w:r>
        <w:t xml:space="preserve">• [PDF via e-GP portal / sealed hard copies] </w:t>
      </w:r>
      <w:r>
        <w:rPr>
          <w:b/>
        </w:rPr>
        <w:t xml:space="preserve">[ADAPT]</w:t>
      </w:r>
      <w:r>
        <w:t xml:space="preserve">; page limits and forms per Annex A. Late submissions rejected.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13. Evaluation Methodology — QCBS</w:t>
      </w:r>
    </w:p>
    <w:p>
      <w:pPr>
        <w:pStyle w:val="Heading2"/>
      </w:pPr>
      <w:r>
        <w:t xml:space="preserve">13.1 Stages</w:t>
      </w:r>
    </w:p>
    <w:p>
      <w:pPr>
        <w:ind w:left="360"/>
      </w:pPr>
      <w:r>
        <w:t xml:space="preserve">1. </w:t>
      </w:r>
      <w:r>
        <w:rPr>
          <w:b/>
        </w:rPr>
        <w:t xml:space="preserve">Preliminary/Eligibility check</w:t>
      </w:r>
      <w:r>
        <w:t xml:space="preserve"> (pass/fail) — completeness, eligibility, bonds.</w:t>
      </w:r>
    </w:p>
    <w:p>
      <w:pPr>
        <w:ind w:left="360"/>
      </w:pPr>
      <w:r>
        <w:t xml:space="preserve">2. </w:t>
      </w:r>
      <w:r>
        <w:rPr>
          <w:b/>
        </w:rPr>
        <w:t xml:space="preserve">Technical evaluation</w:t>
      </w:r>
      <w:r>
        <w:t xml:space="preserve"> (scored; </w:t>
      </w:r>
      <w:r>
        <w:rPr>
          <w:b/>
        </w:rPr>
        <w:t xml:space="preserve">minimum qualifying score 70/100</w:t>
      </w:r>
      <w:r>
        <w:t xml:space="preserve">).</w:t>
      </w:r>
    </w:p>
    <w:p>
      <w:pPr>
        <w:ind w:left="360"/>
      </w:pPr>
      <w:r>
        <w:t xml:space="preserve">3. </w:t>
      </w:r>
      <w:r>
        <w:rPr>
          <w:b/>
        </w:rPr>
        <w:t xml:space="preserve">Financial evaluation</w:t>
      </w:r>
      <w:r>
        <w:t xml:space="preserve"> (only for technically qualified bidders).</w:t>
      </w:r>
    </w:p>
    <w:p>
      <w:pPr>
        <w:ind w:left="360"/>
      </w:pPr>
      <w:r>
        <w:t xml:space="preserve">4. </w:t>
      </w:r>
      <w:r>
        <w:rPr>
          <w:b/>
        </w:rPr>
        <w:t xml:space="preserve">Combined score:</w:t>
      </w:r>
      <w:r>
        <w:t xml:space="preserve"> </w:t>
      </w:r>
      <w:r>
        <w:rPr>
          <w:b/>
        </w:rPr>
        <w:t xml:space="preserve">Technical 70% : Financial 30%</w:t>
      </w:r>
      <w:r>
        <w:t xml:space="preserve"> </w:t>
      </w:r>
      <w:r>
        <w:rPr>
          <w:b/>
        </w:rPr>
        <w:t xml:space="preserve">[ADAPT weighting]</w:t>
      </w:r>
      <w:r>
        <w:t xml:space="preserve">. Lowest evaluated price gets full financial marks; others pro-rated.</w:t>
      </w:r>
    </w:p>
    <w:p>
      <w:pPr>
        <w:pStyle w:val="Heading2"/>
      </w:pPr>
      <w:r>
        <w:t xml:space="preserve">13.2 Technical Scoring (100 points)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Criterion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Weight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Functional fit &amp; compliance matrix coverage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Security, data protection (minors), tenant isolation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18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Architecture, scalability, performance, availability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Localization (Nepali/BS), accessibility, low-connectivity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Implementation methodology, plan &amp; risk management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Data migration &amp; integration approach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8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Support/SLA, warranty &amp; maintenance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7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Firm experience &amp; reference deployments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8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Team qualifications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Live demonstration / sandbox evaluation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120 → normalized to 100</w:t>
            </w:r>
          </w:p>
        </w:tc>
      </w:tr>
    </w:tbl>
    <w:p/>
    <w:p>
      <w:pPr/>
      <w:r>
        <w:t xml:space="preserve">*(Procuring entity to finalize/normalize weights before publication.)*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14. Procurement Timeline (indicative)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Activity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Date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RFP publication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Pre-bid meeting / clarifications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Deadline for queries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Proposal submission deadline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Technical opening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Demonstrations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Financial opening (qualified bidders)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Award notification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Contract signing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</w:tbl>
    <w:p/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15. Terms &amp; Conditions for Bidders</w:t>
      </w:r>
    </w:p>
    <w:p>
      <w:pPr>
        <w:ind w:left="360"/>
      </w:pPr>
      <w:r>
        <w:t xml:space="preserve">• The procuring entity reserves the right to accept/reject any or all proposals without assigning reasons, and to cancel the process at any stage, per applicable law.</w:t>
      </w:r>
    </w:p>
    <w:p>
      <w:pPr>
        <w:ind w:left="360"/>
      </w:pPr>
      <w:r>
        <w:t xml:space="preserve">• Conditional, incomplete, or non-compliant proposals may be rejected.</w:t>
      </w:r>
    </w:p>
    <w:p>
      <w:pPr>
        <w:ind w:left="360"/>
      </w:pPr>
      <w:r>
        <w:t xml:space="preserve">• Costs of proposal preparation are borne by bidders.</w:t>
      </w:r>
    </w:p>
    <w:p>
      <w:pPr>
        <w:ind w:left="360"/>
      </w:pPr>
      <w:r>
        <w:t xml:space="preserve">• Conflict of interest and anti-corruption declarations required.</w:t>
      </w:r>
    </w:p>
    <w:p>
      <w:pPr>
        <w:ind w:left="360"/>
      </w:pPr>
      <w:r>
        <w:t xml:space="preserve">• Clarifications only in writing through the official channel; no oral commitments are binding.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Annexes</w:t>
      </w:r>
    </w:p>
    <w:p>
      <w:pPr>
        <w:ind w:left="360"/>
      </w:pPr>
      <w:r>
        <w:t xml:space="preserve">• </w:t>
      </w:r>
      <w:r>
        <w:rPr>
          <w:b/>
        </w:rPr>
        <w:t xml:space="preserve">Annex A:</w:t>
      </w:r>
      <w:r>
        <w:t xml:space="preserve"> Bid forms, formats, and submission checklist.</w:t>
      </w:r>
    </w:p>
    <w:p>
      <w:pPr>
        <w:ind w:left="360"/>
      </w:pPr>
      <w:r>
        <w:t xml:space="preserve">• </w:t>
      </w:r>
      <w:r>
        <w:rPr>
          <w:b/>
        </w:rPr>
        <w:t xml:space="preserve">Annex B:</w:t>
      </w:r>
      <w:r>
        <w:t xml:space="preserve"> Detailed functional &amp; technical specifications (expanded §3–§5).</w:t>
      </w:r>
    </w:p>
    <w:p>
      <w:pPr>
        <w:ind w:left="360"/>
      </w:pPr>
      <w:r>
        <w:t xml:space="preserve">• </w:t>
      </w:r>
      <w:r>
        <w:rPr>
          <w:b/>
        </w:rPr>
        <w:t xml:space="preserve">Annex C:</w:t>
      </w:r>
      <w:r>
        <w:t xml:space="preserve"> Requirements Compliance Matrix (Req ID | Requirement | Comply/Configurable/Custom/Not available | Version | Notes).</w:t>
      </w:r>
    </w:p>
    <w:p>
      <w:pPr>
        <w:ind w:left="360"/>
      </w:pPr>
      <w:r>
        <w:t xml:space="preserve">• </w:t>
      </w:r>
      <w:r>
        <w:rPr>
          <w:b/>
        </w:rPr>
        <w:t xml:space="preserve">Annex D:</w:t>
      </w:r>
      <w:r>
        <w:t xml:space="preserve"> Financial Proposal / Bill of Quantities template (per lot, one-time + recurring, 5-year TCO).</w:t>
      </w:r>
    </w:p>
    <w:p>
      <w:pPr>
        <w:ind w:left="360"/>
      </w:pPr>
      <w:r>
        <w:t xml:space="preserve">• </w:t>
      </w:r>
      <w:r>
        <w:rPr>
          <w:b/>
        </w:rPr>
        <w:t xml:space="preserve">Annex E:</w:t>
      </w:r>
      <w:r>
        <w:t xml:space="preserve"> Draft Contract, SLA, Data Processing Agreement, and Escrow Agreement.</w:t>
      </w:r>
    </w:p>
    <w:p>
      <w:pPr>
        <w:ind w:left="360"/>
      </w:pPr>
      <w:r>
        <w:t xml:space="preserve">• </w:t>
      </w:r>
      <w:r>
        <w:rPr>
          <w:b/>
        </w:rPr>
        <w:t xml:space="preserve">Annex F:</w:t>
      </w:r>
      <w:r>
        <w:t xml:space="preserve"> List of schools / rollout cohorts and indicative volumetrics </w:t>
      </w:r>
      <w:r>
        <w:rPr>
          <w:b/>
        </w:rPr>
        <w:t xml:space="preserve">[ADAPT]</w:t>
      </w:r>
      <w:r>
        <w:t xml:space="preserve">.</w:t>
      </w:r>
    </w:p>
    <w:p>
      <w:pPr>
        <w:ind w:left="360"/>
      </w:pPr>
      <w:r>
        <w:t xml:space="preserve">• </w:t>
      </w:r>
      <w:r>
        <w:rPr>
          <w:b/>
        </w:rPr>
        <w:t xml:space="preserve">Annex G:</w:t>
      </w:r>
      <w:r>
        <w:t xml:space="preserve"> Security &amp; data-protection questionnaire.</w:t>
      </w:r>
    </w:p>
    <w:p>
      <w:pPr>
        <w:pBdr>
          <w:bottom w:val="single" w:sz="6" w:color="CCCCCC" w:space="1"/>
        </w:pBdr>
      </w:pPr>
    </w:p>
    <w:p>
      <w:pPr/>
      <w:r>
        <w:t xml:space="preserve">*Prepared by the Technical Officer (Software Procurement). Bracketed </w:t>
      </w:r>
      <w:r>
        <w:rPr>
          <w:rFonts w:ascii="Consolas" w:hAnsi="Consolas"/>
          <w:sz w:val="20"/>
        </w:rPr>
        <w:t xml:space="preserve">[ ]</w:t>
      </w:r>
      <w:r>
        <w:t xml:space="preserve"> and </w:t>
      </w:r>
      <w:r>
        <w:rPr>
          <w:rFonts w:ascii="Consolas" w:hAnsi="Consolas"/>
          <w:sz w:val="20"/>
        </w:rPr>
        <w:t xml:space="preserve">[ADAPT]</w:t>
      </w:r>
      <w:r>
        <w:t xml:space="preserve"> items must be completed/localized by the procuring entity and cleared by legal and procurement authorities before publication.*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