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Annex G — Security &amp; Data-Protection Questionnaire</w:t>
      </w:r>
    </w:p>
    <w:p>
      <w:pPr/>
      <w:r>
        <w:rPr>
          <w:b/>
        </w:rPr>
        <w:t xml:space="preserve">RFP Reference No.:</w:t>
      </w:r>
      <w:r>
        <w:t xml:space="preserve"> _____ /SW-LMS/2082-83</w:t>
      </w:r>
    </w:p>
    <w:p>
      <w:pPr/>
      <w:r>
        <w:rPr>
          <w:b/>
        </w:rPr>
        <w:t xml:space="preserve">Bidder/Firm Name:</w:t>
      </w:r>
      <w:r>
        <w:t xml:space="preserve"> ____________________________</w:t>
      </w:r>
    </w:p>
    <w:p>
      <w:pPr>
        <w:pStyle w:val="Heading1"/>
      </w:pPr>
      <w:r>
        <w:t xml:space="preserve">Instructions</w:t>
      </w:r>
    </w:p>
    <w:p>
      <w:pPr>
        <w:ind w:left="360"/>
      </w:pPr>
      <w:r>
        <w:t xml:space="preserve">1. Answer </w:t>
      </w:r>
      <w:r>
        <w:rPr>
          <w:b/>
        </w:rPr>
        <w:t xml:space="preserve">every</w:t>
      </w:r>
      <w:r>
        <w:t xml:space="preserve"> question. Use </w:t>
      </w:r>
      <w:r>
        <w:rPr>
          <w:b/>
        </w:rPr>
        <w:t xml:space="preserve">Yes / Partial / No / N/A</w:t>
      </w:r>
      <w:r>
        <w:t xml:space="preserve"> in the </w:t>
      </w:r>
      <w:r>
        <w:rPr>
          <w:b/>
        </w:rPr>
        <w:t xml:space="preserve">Response</w:t>
      </w:r>
      <w:r>
        <w:t xml:space="preserve"> column and provide specifics/evidence in </w:t>
      </w:r>
      <w:r>
        <w:rPr>
          <w:b/>
        </w:rPr>
        <w:t xml:space="preserve">Details</w:t>
      </w:r>
      <w:r>
        <w:t xml:space="preserve">.</w:t>
      </w:r>
    </w:p>
    <w:p>
      <w:pPr>
        <w:ind w:left="360"/>
      </w:pPr>
      <w:r>
        <w:t xml:space="preserve">2. This platform serves </w:t>
      </w:r>
      <w:r>
        <w:rPr>
          <w:b/>
        </w:rPr>
        <w:t xml:space="preserve">minors</w:t>
      </w:r>
      <w:r>
        <w:t xml:space="preserve">; child-data protection answers are weighted heavily (RFP §5, §13). Vague or evasive answers are scored as </w:t>
      </w:r>
      <w:r>
        <w:rPr>
          <w:b/>
        </w:rPr>
        <w:t xml:space="preserve">No</w:t>
      </w:r>
      <w:r>
        <w:t xml:space="preserve">.</w:t>
      </w:r>
    </w:p>
    <w:p>
      <w:pPr>
        <w:ind w:left="360"/>
      </w:pPr>
      <w:r>
        <w:t xml:space="preserve">3. Attach supporting evidence (policies, certificates, audit/pen-test reports ≤ 24 months old, architecture diagrams). Reference the attachment in </w:t>
      </w:r>
      <w:r>
        <w:rPr>
          <w:b/>
        </w:rPr>
        <w:t xml:space="preserve">Details</w:t>
      </w:r>
      <w:r>
        <w:t xml:space="preserve">.</w:t>
      </w:r>
    </w:p>
    <w:p>
      <w:pPr>
        <w:ind w:left="360"/>
      </w:pPr>
      <w:r>
        <w:t xml:space="preserve">4. False statements are grounds for disqualification and may trigger debarment.</w:t>
      </w:r>
    </w:p>
    <w:p>
      <w:pPr>
        <w:pBdr>
          <w:bottom w:val="single" w:sz="6" w:color="CCCCCC" w:space="1"/>
        </w:pBdr>
      </w:pPr>
    </w:p>
    <w:p>
      <w:pPr>
        <w:pStyle w:val="Heading1"/>
      </w:pPr>
      <w:r>
        <w:t xml:space="preserve">G.1 Governance, Certifications &amp; Compliance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Question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Response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Details / Evidence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G1.1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Do you hold ISO 27001, SOC 2, or equivalent? (attach)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G1.2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Do you have a documented Information Security Policy and an accountable security officer?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G1.3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Do you comply with applicable data-protection &amp; children's-data law </w:t>
            </w:r>
            <w:r>
              <w:rPr>
                <w:b/>
              </w:rPr>
              <w:t xml:space="preserve">[ADAPT]</w:t>
            </w:r>
            <w:r>
              <w:t xml:space="preserve">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G1.4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Will you sign the DPA (Annex E, Part 3) without material deviation?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G1.5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Frequency of internal security risk assessments?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Style w:val="Heading1"/>
      </w:pPr>
      <w:r>
        <w:t xml:space="preserve">G.2 Secure Development (SDLC)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Question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Response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Details / Evidence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G2.1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Do you follow a secure SDLC (threat modeling, code review, security testing)?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G2.2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Are static/dynamic/dependency scans (SAST/DAST/SCA) run in CI?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G2.3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Is secret scanning enforced; are credentials kept out of source?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G2.4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How are third-party/open-source dependencies tracked and patched?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Style w:val="Heading1"/>
      </w:pPr>
      <w:r>
        <w:t xml:space="preserve">G.3 Authentication &amp; Access Control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Question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Response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Details / Evidence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G3.1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Are passwords stored only as salted hashes? Algorithm?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G3.2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Is MFA enforced for administrative roles?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G3.3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Are role/function/object-level authorization controls enforced server-side?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G3.4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Brute-force protection (lockout, throttling) on auth endpoints?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G3.5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Session/token management (expiry, rotation, revocation on logout)?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G3.6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Is there any unauthenticated access to personal data? (must be No)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Style w:val="Heading1"/>
      </w:pPr>
      <w:r>
        <w:t xml:space="preserve">G.4 Multi-Tenant Isolation (critical)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Question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Response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Details / Evidence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G4.1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Describe the tenant isolation model (schema/DB/row-level).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G4.2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How is cross-tenant read/write prevented and tested?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G4.3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Can you demonstrate, at UAT, that School A cannot access School B's data?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G4.4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Is tenant context enforced in background jobs and real-time channels?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Style w:val="Heading1"/>
      </w:pPr>
      <w:r>
        <w:t xml:space="preserve">G.5 Encryption &amp; Key Management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Question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Response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Details / Evidence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G5.1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TLS version enforced in transit (1.2+/1.3)?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G5.2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Encryption at rest for database, backups, and file storage? Algorithm?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G5.3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Key management approach (KMS/HSM), rotation, and access control?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Style w:val="Heading1"/>
      </w:pPr>
      <w:r>
        <w:t xml:space="preserve">G.6 Data Protection, Privacy &amp; Children's Data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Question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Response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Details / Evidence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G6.1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How is data minimization applied to minors' data?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G6.2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Is PII redacted before any third-party/AI/LLM processing?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G6.3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Are data-subject rights (access/correction/deletion) supported within tenant boundaries?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G6.4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Documented data-retention and secure-disposal schedule?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G6.5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Any profiling/marketing use of minors' data? (must be No)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G6.6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Consent capture/management for data processing?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Style w:val="Heading1"/>
      </w:pPr>
      <w:r>
        <w:t xml:space="preserve">G.7 Hosting, Residency &amp; Network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Question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Response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Details / Evidence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G7.1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Where will personal data be stored/processed (region/data centre)?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G7.2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Can you meet data residency in </w:t>
            </w:r>
            <w:r>
              <w:rPr>
                <w:b/>
              </w:rPr>
              <w:t xml:space="preserve">[Nepal / Government Cloud]</w:t>
            </w:r>
            <w:r>
              <w:t xml:space="preserve"> </w:t>
            </w:r>
            <w:r>
              <w:rPr>
                <w:b/>
              </w:rPr>
              <w:t xml:space="preserve">[ADAPT]</w:t>
            </w:r>
            <w:r>
              <w:t xml:space="preserve">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G7.3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Separate production/staging/test environments?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G7.4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Network controls (WAF, DDoS protection, firewalling, segmentation)?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Style w:val="Heading1"/>
      </w:pPr>
      <w:r>
        <w:t xml:space="preserve">G.8 Logging, Monitoring &amp; Audit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Question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Response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Details / Evidence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G8.1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Are sensitive actions (logins, data changes, result publication, financial txns, password resets) audit-logged?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G8.2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Are audit logs immutable, time-stamped, and exportable?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G8.3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Security monitoring/alerting and log retention period?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Style w:val="Heading1"/>
      </w:pPr>
      <w:r>
        <w:t xml:space="preserve">G.9 Vulnerability Management &amp; Testing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Question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Response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Details / Evidence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G9.1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Frequency of vulnerability scanning and patch SLAs by severity?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G9.2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Date and scope of last independent penetration test (attach summary)?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G9.3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Process for remediating critical/high findings and timelines?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G9.4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Do you operate a responsible-disclosure / bug-reporting channel?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Style w:val="Heading1"/>
      </w:pPr>
      <w:r>
        <w:t xml:space="preserve">G.10 Incident Response &amp; Breach Notification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Question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Response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Details / Evidence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G10.1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Documented incident-response plan? Tested how often?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G10.2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Breach notification commitment to the Client within </w:t>
            </w:r>
            <w:r>
              <w:rPr>
                <w:b/>
              </w:rPr>
              <w:t xml:space="preserve">[24–72]h</w:t>
            </w:r>
            <w:r>
              <w:t xml:space="preserve">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G10.3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Forensics, root-cause, and post-incident review process?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Style w:val="Heading1"/>
      </w:pPr>
      <w:r>
        <w:t xml:space="preserve">G.11 Payment Security (Finance module)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Question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Response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Details / Evidence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G11.1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Are all gateway callbacks (eSewa/Khalti/ConnectIPS) verified server-side before recording?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G11.2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Is payment recording idempotent (no double-credit on retries)?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G11.3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Is the amount validated against the authoritative fee record (no client-supplied amount trust)?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G11.4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Are card/payment secrets handled per gateway/PCI guidance (no raw card storage)?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Style w:val="Heading1"/>
      </w:pPr>
      <w:r>
        <w:t xml:space="preserve">G.12 Backup, DR &amp; Business Continuity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Question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Response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Details / Evidence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G12.1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Backup frequency, encryption, and tested restore process?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G12.2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Stated RPO/RTO (target RPO ≤ 24h, RTO ≤ 4h)?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G12.3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Geographically separate backup/DR location?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Style w:val="Heading1"/>
      </w:pPr>
      <w:r>
        <w:t xml:space="preserve">G.13 Sub-processors &amp; Supply Chain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Question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Response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Details / Evidence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G13.1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List all sub-processors (cloud, SMS, email, payments, AI/LLM) and their locations.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G13.2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Will you obtain prior written approval before adding/changing sub-processors?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G13.3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Are equivalent security/DPA obligations flowed down to sub-processors?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Style w:val="Heading1"/>
      </w:pPr>
      <w:r>
        <w:t xml:space="preserve">G.14 Personnel &amp; Exit Security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Question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Response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Details / Evidence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G14.1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Background checks and confidentiality agreements for staff with data access?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G14.2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Least-privilege access for support staff; access logged/reviewed?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G14.3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On exit, can you provide full data export (open formats) + secure-deletion certificate?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G14.4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Source-code escrow for custom components (Annex E, Part 4)?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Bdr>
          <w:bottom w:val="single" w:sz="6" w:color="CCCCCC" w:space="1"/>
        </w:pBdr>
      </w:pPr>
    </w:p>
    <w:p>
      <w:pPr/>
      <w:r>
        <w:rPr>
          <w:b/>
        </w:rPr>
        <w:t xml:space="preserve">Declaration:</w:t>
      </w:r>
      <w:r>
        <w:t xml:space="preserve"> The responses above are true and complete to the best of our knowledge.</w:t>
      </w:r>
    </w:p>
    <w:p>
      <w:pPr/>
      <w:r>
        <w:rPr>
          <w:b/>
        </w:rPr>
        <w:t xml:space="preserve">Authorized Signature:</w:t>
      </w:r>
      <w:r>
        <w:t xml:space="preserve"> ____________________ </w:t>
      </w:r>
      <w:r>
        <w:rPr>
          <w:b/>
        </w:rPr>
        <w:t xml:space="preserve">Name/Designation:</w:t>
      </w:r>
      <w:r>
        <w:t xml:space="preserve"> ____________________ </w:t>
      </w:r>
      <w:r>
        <w:rPr>
          <w:b/>
        </w:rPr>
        <w:t xml:space="preserve">Date:</w:t>
      </w:r>
      <w:r>
        <w:t xml:space="preserve"> __________ </w:t>
      </w:r>
      <w:r>
        <w:rPr>
          <w:b/>
        </w:rPr>
        <w:t xml:space="preserve">Seal: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/>
    </w:pPr>
  </w:style>
  <w:style w:type="paragraph" w:styleId="Title">
    <w:name w:val="Title"/>
    <w:pPr>
      <w:spacing w:before="240" w:after="240"/>
    </w:pPr>
    <w:rPr>
      <w:b/>
      <w:sz w:val="40"/>
      <w:color w:val="1F3864"/>
    </w:rPr>
  </w:style>
  <w:style w:type="paragraph" w:styleId="Heading1">
    <w:name w:val="heading 1"/>
    <w:pPr>
      <w:keepNext/>
      <w:spacing w:before="240" w:after="80"/>
      <w:outlineLvl w:val="0"/>
    </w:pPr>
    <w:rPr>
      <w:b/>
      <w:sz w:val="30"/>
      <w:color w:val="2E74B5"/>
    </w:rPr>
  </w:style>
  <w:style w:type="paragraph" w:styleId="Heading2">
    <w:name w:val="heading 2"/>
    <w:pPr>
      <w:keepNext/>
      <w:spacing w:before="200" w:after="60"/>
      <w:outlineLvl w:val="1"/>
    </w:pPr>
    <w:rPr>
      <w:b/>
      <w:sz w:val="26"/>
      <w:color w:val="2E74B5"/>
    </w:rPr>
  </w:style>
  <w:style w:type="paragraph" w:styleId="Heading3">
    <w:name w:val="heading 3"/>
    <w:pPr>
      <w:keepNext/>
      <w:spacing w:before="160" w:after="40"/>
      <w:outlineLvl w:val="2"/>
    </w:pPr>
    <w:rPr>
      <w:b/>
      <w:sz w:val="24"/>
      <w:color w:val="404040"/>
    </w:rPr>
  </w:style>
  <w:style w:type="paragraph" w:styleId="Heading4">
    <w:name w:val="heading 4"/>
    <w:pPr>
      <w:keepNext/>
      <w:spacing w:before="120" w:after="40"/>
      <w:outlineLvl w:val="3"/>
    </w:pPr>
    <w:rPr>
      <w:b/>
      <w:i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