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Annex F-1 — In-Scope Schools &amp; Volumetrics</w:t>
      </w:r>
    </w:p>
    <w:p>
      <w:pPr/>
      <w:r>
        <w:rPr>
          <w:b/>
        </w:rPr>
        <w:t xml:space="preserve">RFP Reference No.:</w:t>
      </w:r>
      <w:r>
        <w:t xml:space="preserve"> _____ /ELMS-SUB/2082-83</w:t>
      </w:r>
    </w:p>
    <w:p>
      <w:pPr/>
      <w:r>
        <w:rPr>
          <w:b/>
        </w:rPr>
        <w:t xml:space="preserve">Local Government:</w:t>
      </w:r>
      <w:r>
        <w:t xml:space="preserve"> [Name] Municipality / Rural Municipality, [District], [Province]</w:t>
      </w:r>
    </w:p>
    <w:p>
      <w:pPr>
        <w:pStyle w:val="Heading1"/>
      </w:pPr>
      <w:r>
        <w:t xml:space="preserve">Purpose</w:t>
      </w:r>
    </w:p>
    <w:p>
      <w:pPr/>
      <w:r>
        <w:t xml:space="preserve">This annex lists the community schools to be onboarded under the subscription and the volumetrics used by bidders to price the subscription (Annex F-4) and plan onboarding. The Local Government completes this annex before publication; bidders price strictly against these published figures.</w:t>
      </w:r>
    </w:p>
    <w:p>
      <w:pPr>
        <w:pStyle w:val="Heading1"/>
      </w:pPr>
      <w:r>
        <w:t xml:space="preserve">F1.1 Summary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Count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Total community schools in scope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[N]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Schools with basic level (1–8)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Schools with secondary level (9–12)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Total students (estimate)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[X]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Total teachers/staff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[Y]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Total parents/guardians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[Z]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Schools requiring fee/finance module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Schools with reliable internet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Schools in low-connectivity areas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</w:tbl>
    <w:p/>
    <w:p>
      <w:pPr>
        <w:pStyle w:val="Heading1"/>
      </w:pPr>
      <w:r>
        <w:t xml:space="preserve">F1.2 School-wise Detail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School Name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School Code (IEMIS)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Level (Basic/Secondary)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Students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Teachers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Staff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Ward No.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Internet (Good/Limited/None)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…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[X]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[Y]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F1.3 Onboarding Phasing (optional)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Phase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Schools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Target Go-Live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Pilot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[list 3–5]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[BS date]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Batch 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Batch 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/>
      <w:r>
        <w:t xml:space="preserve">*Prepared/verified by the Education Unit. Figures are indicative; the contract provides a per-additional-school rate (Annex F-4) for variations.*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pPr>
      <w:spacing w:before="240" w:after="240"/>
    </w:pPr>
    <w:rPr>
      <w:b/>
      <w:sz w:val="40"/>
      <w:color w:val="1F3864"/>
    </w:rPr>
  </w:style>
  <w:style w:type="paragraph" w:styleId="Heading1">
    <w:name w:val="heading 1"/>
    <w:pPr>
      <w:keepNext/>
      <w:spacing w:before="240" w:after="80"/>
      <w:outlineLvl w:val="0"/>
    </w:pPr>
    <w:rPr>
      <w:b/>
      <w:sz w:val="30"/>
      <w:color w:val="2E74B5"/>
    </w:rPr>
  </w:style>
  <w:style w:type="paragraph" w:styleId="Heading2">
    <w:name w:val="heading 2"/>
    <w:pPr>
      <w:keepNext/>
      <w:spacing w:before="200" w:after="60"/>
      <w:outlineLvl w:val="1"/>
    </w:pPr>
    <w:rPr>
      <w:b/>
      <w:sz w:val="26"/>
      <w:color w:val="2E74B5"/>
    </w:rPr>
  </w:style>
  <w:style w:type="paragraph" w:styleId="Heading3">
    <w:name w:val="heading 3"/>
    <w:pPr>
      <w:keepNext/>
      <w:spacing w:before="160" w:after="40"/>
      <w:outlineLvl w:val="2"/>
    </w:pPr>
    <w:rPr>
      <w:b/>
      <w:sz w:val="24"/>
      <w:color w:val="404040"/>
    </w:rPr>
  </w:style>
  <w:style w:type="paragraph" w:styleId="Heading4">
    <w:name w:val="heading 4"/>
    <w:pPr>
      <w:keepNext/>
      <w:spacing w:before="120" w:after="40"/>
      <w:outlineLvl w:val="3"/>
    </w:pPr>
    <w:rPr>
      <w:b/>
      <w:i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