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F-5 — Draft Subscription Agreement, SLA &amp; Data Processing Terms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>
        <w:ind w:left="360"/>
      </w:pPr>
      <w:r>
        <w:t xml:space="preserve">Draft for bidder review. Bidders confirm acceptance in the covering letter (Annex F-6) and list deviations. Final terms are subject to the Local Government's legal review and applicable law. </w:t>
      </w:r>
      <w:r>
        <w:rPr>
          <w:rFonts w:ascii="Consolas" w:hAnsi="Consolas"/>
          <w:sz w:val="20"/>
        </w:rPr>
        <w:t xml:space="preserve">[ADAPT]</w:t>
      </w:r>
      <w:r>
        <w:t xml:space="preserve"> items require localization.</w:t>
      </w:r>
    </w:p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1 — Subscription Agreement</w:t>
      </w:r>
    </w:p>
    <w:p>
      <w:pPr/>
      <w:r>
        <w:rPr>
          <w:b/>
        </w:rPr>
        <w:t xml:space="preserve">Between</w:t>
      </w:r>
      <w:r>
        <w:t xml:space="preserve"> [Local Government] ("the Client") </w:t>
      </w:r>
      <w:r>
        <w:rPr>
          <w:b/>
        </w:rPr>
        <w:t xml:space="preserve">and</w:t>
      </w:r>
      <w:r>
        <w:t xml:space="preserve"> [Vendor] ("the Provider").</w:t>
      </w:r>
    </w:p>
    <w:p>
      <w:pPr>
        <w:pStyle w:val="Heading2"/>
      </w:pPr>
      <w:r>
        <w:t xml:space="preserve">1. Documents &amp; Precedence</w:t>
      </w:r>
    </w:p>
    <w:p>
      <w:pPr/>
      <w:r>
        <w:t xml:space="preserve">The Agreement comprises, in order: this Agreement; the SLA (Part 2); the Data Processing terms (Part 3); the RFP and addenda; the Provider's accepted Technical Proposal (Annex F-2/F-3); and the Financial Proposal (Annex F-4). Higher-precedence documents prevail in conflict.</w:t>
      </w:r>
    </w:p>
    <w:p>
      <w:pPr>
        <w:pStyle w:val="Heading2"/>
      </w:pPr>
      <w:r>
        <w:t xml:space="preserve">2. Service &amp; Term</w:t>
      </w:r>
    </w:p>
    <w:p>
      <w:pPr/>
      <w:r>
        <w:t xml:space="preserve">2.1 The Provider grants the Client and its in-scope community schools a subscription to the hosted ELMS, including provisioning, onboarding, training, support, updates, and availability per the SLA.</w:t>
      </w:r>
    </w:p>
    <w:p>
      <w:pPr/>
      <w:r>
        <w:t xml:space="preserve">2.2 Term: </w:t>
      </w:r>
      <w:r>
        <w:rPr>
          <w:b/>
        </w:rPr>
        <w:t xml:space="preserve">[2–3] years</w:t>
      </w:r>
      <w:r>
        <w:t xml:space="preserve"> from the Effective Date, renewable by mutual written agreement.</w:t>
      </w:r>
    </w:p>
    <w:p>
      <w:pPr/>
      <w:r>
        <w:t xml:space="preserve">2.3 The Client may add schools mid-term at the Annex F-4 per-additional-school rate.</w:t>
      </w:r>
    </w:p>
    <w:p>
      <w:pPr>
        <w:pStyle w:val="Heading2"/>
      </w:pPr>
      <w:r>
        <w:t xml:space="preserve">3. Fees &amp; Payment</w:t>
      </w:r>
    </w:p>
    <w:p>
      <w:pPr/>
      <w:r>
        <w:t xml:space="preserve">3.1 Subscription fees per Annex F-4, payable </w:t>
      </w:r>
      <w:r>
        <w:rPr>
          <w:b/>
        </w:rPr>
        <w:t xml:space="preserve">[annually in advance / quarterly]</w:t>
      </w:r>
      <w:r>
        <w:t xml:space="preserve"> against a valid tax invoice and a satisfactory monthly SLA report </w:t>
      </w:r>
      <w:r>
        <w:rPr>
          <w:b/>
        </w:rPr>
        <w:t xml:space="preserve">[ADAPT]</w:t>
      </w:r>
      <w:r>
        <w:t xml:space="preserve">.</w:t>
      </w:r>
    </w:p>
    <w:p>
      <w:pPr/>
      <w:r>
        <w:t xml:space="preserve">3.2 No price increase during the term except an approved, capped indexation if stated in Annex F-4.</w:t>
      </w:r>
    </w:p>
    <w:p>
      <w:pPr>
        <w:pStyle w:val="Heading2"/>
      </w:pPr>
      <w:r>
        <w:t xml:space="preserve">4. Provider Obligations</w:t>
      </w:r>
    </w:p>
    <w:p>
      <w:pPr/>
      <w:r>
        <w:t xml:space="preserve">Deliver and maintain the service per the SLA; protect data per Part 3 and RFP §5; provide training, documentation, and helpdesk; apply security patches and upgrades at no extra cost; not degrade or discontinue features without equivalent replacement.</w:t>
      </w:r>
    </w:p>
    <w:p>
      <w:pPr>
        <w:pStyle w:val="Heading2"/>
      </w:pPr>
      <w:r>
        <w:t xml:space="preserve">5. Client Obligations</w:t>
      </w:r>
    </w:p>
    <w:p>
      <w:pPr/>
      <w:r>
        <w:t xml:space="preserve">Provide school lists/volumetrics (Annex F-1) and a focal point; facilitate onboarding and training; use the service lawfully; pay valid invoices.</w:t>
      </w:r>
    </w:p>
    <w:p>
      <w:pPr>
        <w:pStyle w:val="Heading2"/>
      </w:pPr>
      <w:r>
        <w:t xml:space="preserve">6. Data Ownership &amp; IP</w:t>
      </w:r>
    </w:p>
    <w:p>
      <w:pPr/>
      <w:r>
        <w:t xml:space="preserve">The </w:t>
      </w:r>
      <w:r>
        <w:rPr>
          <w:b/>
        </w:rPr>
        <w:t xml:space="preserve">Client/schools own all data</w:t>
      </w:r>
      <w:r>
        <w:t xml:space="preserve">. The Provider retains ownership of the platform and grants a subscription license for the term. No Client data is used beyond operating the service.</w:t>
      </w:r>
    </w:p>
    <w:p>
      <w:pPr>
        <w:pStyle w:val="Heading2"/>
      </w:pPr>
      <w:r>
        <w:t xml:space="preserve">7. Availability, Service Credits &amp; Default</w:t>
      </w:r>
    </w:p>
    <w:p>
      <w:pPr/>
      <w:r>
        <w:t xml:space="preserve">Service credits apply for SLA breaches (Part 2). Persistent S1 breaches or a serious unremedied data breach constitute material default permitting termination.</w:t>
      </w:r>
    </w:p>
    <w:p>
      <w:pPr>
        <w:pStyle w:val="Heading2"/>
      </w:pPr>
      <w:r>
        <w:t xml:space="preserve">8. Confidentiality &amp; Liability</w:t>
      </w:r>
    </w:p>
    <w:p>
      <w:pPr/>
      <w:r>
        <w:t xml:space="preserve">Mutual confidentiality (survives termination). The Provider indemnifies the Client for data breaches attributable to the Provider, IP infringement, and negligence/wilful misconduct; </w:t>
      </w:r>
      <w:r>
        <w:rPr>
          <w:b/>
        </w:rPr>
        <w:t xml:space="preserve">no liability cap</w:t>
      </w:r>
      <w:r>
        <w:t xml:space="preserve"> for data breach, confidentiality breach, IP infringement, or wilful misconduct.</w:t>
      </w:r>
    </w:p>
    <w:p>
      <w:pPr>
        <w:pStyle w:val="Heading2"/>
      </w:pPr>
      <w:r>
        <w:t xml:space="preserve">9. Termination &amp; Exit</w:t>
      </w:r>
    </w:p>
    <w:p>
      <w:pPr/>
      <w:r>
        <w:t xml:space="preserve">9.1 For cause on uncured material breach (</w:t>
      </w:r>
      <w:r>
        <w:rPr>
          <w:b/>
        </w:rPr>
        <w:t xml:space="preserve">[30] days</w:t>
      </w:r>
      <w:r>
        <w:t xml:space="preserve">), or immediately for insolvency/serious breach; for convenience by the Client on </w:t>
      </w:r>
      <w:r>
        <w:rPr>
          <w:b/>
        </w:rPr>
        <w:t xml:space="preserve">[60] days</w:t>
      </w:r>
      <w:r>
        <w:t xml:space="preserve"> notice paying for delivered service.</w:t>
      </w:r>
    </w:p>
    <w:p>
      <w:pPr/>
      <w:r>
        <w:t xml:space="preserve">9.2 On exit: full data export in open formats (CSV/JSON), transition assistance (</w:t>
      </w:r>
      <w:r>
        <w:rPr>
          <w:b/>
        </w:rPr>
        <w:t xml:space="preserve">[60–90] days</w:t>
      </w:r>
      <w:r>
        <w:t xml:space="preserve">), and a certified secure deletion. No proprietary lock-in.</w:t>
      </w:r>
    </w:p>
    <w:p>
      <w:pPr>
        <w:pStyle w:val="Heading2"/>
      </w:pPr>
      <w:r>
        <w:t xml:space="preserve">10. Governing Law &amp; Disputes</w:t>
      </w:r>
    </w:p>
    <w:p>
      <w:pPr/>
      <w:r>
        <w:t xml:space="preserve">Good-faith negotiation, then </w:t>
      </w:r>
      <w:r>
        <w:rPr>
          <w:b/>
        </w:rPr>
        <w:t xml:space="preserve">arbitration/adjudication under [applicable Act] at [seat], in Nepali/English</w:t>
      </w:r>
      <w:r>
        <w:t xml:space="preserve"> </w:t>
      </w:r>
      <w:r>
        <w:rPr>
          <w:b/>
        </w:rPr>
        <w:t xml:space="preserve">[ADAPT]</w:t>
      </w:r>
      <w:r>
        <w:t xml:space="preserve">; governed by the laws of </w:t>
      </w:r>
      <w:r>
        <w:rPr>
          <w:b/>
        </w:rPr>
        <w:t xml:space="preserve">[Nepal]</w:t>
      </w:r>
      <w:r>
        <w:t xml:space="preserve">.</w:t>
      </w:r>
    </w:p>
    <w:p>
      <w:pPr>
        <w:pStyle w:val="Heading2"/>
      </w:pPr>
      <w:r>
        <w:t xml:space="preserve">11. General</w:t>
      </w:r>
    </w:p>
    <w:p>
      <w:pPr/>
      <w:r>
        <w:t xml:space="preserve">Force majeure; no assignment without consent; written notices; amendments only in writing; severability; entire agreement.</w:t>
      </w:r>
    </w:p>
    <w:p>
      <w:pPr/>
      <w:r>
        <w:t xml:space="preserve">Signed — Client: __________ Provider: __________ Date: __________</w:t>
      </w:r>
    </w:p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2 — Service Level Agreement (SLA)</w:t>
      </w:r>
    </w:p>
    <w:p>
      <w:pPr>
        <w:pStyle w:val="Heading2"/>
      </w:pPr>
      <w:r>
        <w:t xml:space="preserve">2.1 Availability</w:t>
      </w:r>
    </w:p>
    <w:p>
      <w:pPr/>
      <w:r>
        <w:t xml:space="preserve">Production uptime </w:t>
      </w:r>
      <w:r>
        <w:rPr>
          <w:b/>
        </w:rPr>
        <w:t xml:space="preserve">≥ 99.5%</w:t>
      </w:r>
      <w:r>
        <w:t xml:space="preserve"> per calendar month, excluding agreed maintenance (scheduled off-peak with </w:t>
      </w:r>
      <w:r>
        <w:rPr>
          <w:b/>
        </w:rPr>
        <w:t xml:space="preserve">[48h]</w:t>
      </w:r>
      <w:r>
        <w:t xml:space="preserve"> notice).</w:t>
      </w:r>
    </w:p>
    <w:p>
      <w:pPr>
        <w:pStyle w:val="Heading2"/>
      </w:pPr>
      <w:r>
        <w:t xml:space="preserve">2.2 Severity, Response &amp; Resolution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Severity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Definition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Resolution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 — Critical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Platform/login down, data breach, data loss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1 hour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4 hours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S2 — Major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Core function broken, no workaround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4 hours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1 business day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S3 — Minor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Function impaired, workaround exists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1 business day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5 business days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S4 —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Cosmetic / query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2 business days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Next release</w:t>
            </w:r>
          </w:p>
        </w:tc>
      </w:tr>
    </w:tbl>
    <w:p/>
    <w:p>
      <w:pPr>
        <w:pStyle w:val="Heading2"/>
      </w:pPr>
      <w:r>
        <w:t xml:space="preserve">2.3 Support &amp; Reporting</w:t>
      </w:r>
    </w:p>
    <w:p>
      <w:pPr/>
      <w:r>
        <w:t xml:space="preserve">Helpdesk (phone/email/portal) in </w:t>
      </w:r>
      <w:r>
        <w:rPr>
          <w:b/>
        </w:rPr>
        <w:t xml:space="preserve">Nepali/English</w:t>
      </w:r>
      <w:r>
        <w:t xml:space="preserve"> during </w:t>
      </w:r>
      <w:r>
        <w:rPr>
          <w:b/>
        </w:rPr>
        <w:t xml:space="preserve">[hours]</w:t>
      </w:r>
      <w:r>
        <w:t xml:space="preserve">; emergency security patches within </w:t>
      </w:r>
      <w:r>
        <w:rPr>
          <w:b/>
        </w:rPr>
        <w:t xml:space="preserve">72 hours</w:t>
      </w:r>
      <w:r>
        <w:t xml:space="preserve">; monthly uptime &amp; ticket report to the Education Unit.</w:t>
      </w:r>
    </w:p>
    <w:p>
      <w:pPr>
        <w:pStyle w:val="Heading2"/>
      </w:pPr>
      <w:r>
        <w:t xml:space="preserve">2.4 Service Credits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Monthly Uptime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Credit (% of monthly fee)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99.5%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99.0–99.49%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98.0–98.99%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10%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&lt; 98.0%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20%</w:t>
            </w:r>
          </w:p>
        </w:tc>
      </w:tr>
    </w:tbl>
    <w:p/>
    <w:p>
      <w:pPr/>
      <w:r>
        <w:rPr>
          <w:b/>
        </w:rPr>
        <w:t xml:space="preserve">Exclusions:</w:t>
      </w:r>
      <w:r>
        <w:t xml:space="preserve"> Client-caused issues, force majeure, agreed maintenance, third-party network/DNS outside Provider control (Provider must still notify and assist).</w:t>
      </w:r>
    </w:p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Part 3 — Data Processing Terms (summary; full undertaking in Annex F-3)</w:t>
      </w:r>
    </w:p>
    <w:p>
      <w:pPr>
        <w:ind w:left="360"/>
      </w:pPr>
      <w:r>
        <w:t xml:space="preserve">• </w:t>
      </w:r>
      <w:r>
        <w:rPr>
          <w:b/>
        </w:rPr>
        <w:t xml:space="preserve">Client = Controller; Provider = Processor</w:t>
      </w:r>
      <w:r>
        <w:t xml:space="preserve">, processing only on Client instructions to operate the service.</w:t>
      </w:r>
    </w:p>
    <w:p>
      <w:pPr>
        <w:ind w:left="360"/>
      </w:pPr>
      <w:r>
        <w:t xml:space="preserve">• Security per RFP §5; </w:t>
      </w:r>
      <w:r>
        <w:rPr>
          <w:b/>
        </w:rPr>
        <w:t xml:space="preserve">children's-data safeguards</w:t>
      </w:r>
      <w:r>
        <w:t xml:space="preserve"> (minimization, no profiling/marketing, PII redaction before third-party/AI processing).</w:t>
      </w:r>
    </w:p>
    <w:p>
      <w:pPr>
        <w:ind w:left="360"/>
      </w:pPr>
      <w:r>
        <w:t xml:space="preserve">• </w:t>
      </w:r>
      <w:r>
        <w:rPr>
          <w:b/>
        </w:rPr>
        <w:t xml:space="preserve">Data residency</w:t>
      </w:r>
      <w:r>
        <w:t xml:space="preserve"> in Nepal / Government Cloud </w:t>
      </w:r>
      <w:r>
        <w:rPr>
          <w:b/>
        </w:rPr>
        <w:t xml:space="preserve">[ADAPT]</w:t>
      </w:r>
      <w:r>
        <w:t xml:space="preserve">; no sub-processor changes without prior written approval; flow-down obligations.</w:t>
      </w:r>
    </w:p>
    <w:p>
      <w:pPr>
        <w:ind w:left="360"/>
      </w:pPr>
      <w:r>
        <w:t xml:space="preserve">• Breach notification within </w:t>
      </w:r>
      <w:r>
        <w:rPr>
          <w:b/>
        </w:rPr>
        <w:t xml:space="preserve">[24–72]h</w:t>
      </w:r>
      <w:r>
        <w:t xml:space="preserve">; audit rights for the Client.</w:t>
      </w:r>
    </w:p>
    <w:p>
      <w:pPr>
        <w:ind w:left="360"/>
      </w:pPr>
      <w:r>
        <w:t xml:space="preserve">• Return/secure deletion on termination with certificate.</w:t>
      </w:r>
    </w:p>
    <w:p>
      <w:pPr/>
      <w:r>
        <w:t xml:space="preserve">Signed — Client: __________ Provider: __________ Date: __________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