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Request for Proposal (RFP)</w:t>
      </w:r>
    </w:p>
    <w:p>
      <w:pPr>
        <w:pStyle w:val="Heading1"/>
      </w:pPr>
      <w:r>
        <w:t xml:space="preserve">Subscription to a Cloud-Based Multi-Tenant E-Learning Management System (ELMS) for Community Schools</w:t>
      </w:r>
    </w:p>
    <w:p>
      <w:pPr/>
      <w:r>
        <w:rPr>
          <w:b/>
        </w:rPr>
        <w:t xml:space="preserve">Procuring Entity:</w:t>
      </w:r>
      <w:r>
        <w:t xml:space="preserve"> [Name] Municipality / Rural Municipality (Local Government), [District], [Province] </w:t>
      </w:r>
      <w:r>
        <w:rPr>
          <w:b/>
        </w:rPr>
        <w:t xml:space="preserve">[ADAPT]</w:t>
      </w:r>
    </w:p>
    <w:p>
      <w:pPr/>
      <w:r>
        <w:rPr>
          <w:b/>
        </w:rPr>
        <w:t xml:space="preserve">Issued by:</w:t>
      </w:r>
      <w:r>
        <w:t xml:space="preserve"> Education, Youth and Sports Section / Education Unit</w:t>
      </w:r>
    </w:p>
    <w:p>
      <w:pPr/>
      <w:r>
        <w:rPr>
          <w:b/>
        </w:rPr>
        <w:t xml:space="preserve">RFP Reference No.:</w:t>
      </w:r>
      <w:r>
        <w:t xml:space="preserve"> _____ /ELMS-SUB/2082-83</w:t>
      </w:r>
    </w:p>
    <w:p>
      <w:pPr/>
      <w:r>
        <w:rPr>
          <w:b/>
        </w:rPr>
        <w:t xml:space="preserve">Procurement Method:</w:t>
      </w:r>
      <w:r>
        <w:t xml:space="preserve"> Open Competitive Bidding — subscription (SaaS) service procurement</w:t>
      </w:r>
    </w:p>
    <w:p>
      <w:pPr/>
      <w:r>
        <w:rPr>
          <w:b/>
        </w:rPr>
        <w:t xml:space="preserve">Issue Date:</w:t>
      </w:r>
      <w:r>
        <w:t xml:space="preserve"> [Date] · </w:t>
      </w:r>
      <w:r>
        <w:rPr>
          <w:b/>
        </w:rPr>
        <w:t xml:space="preserve">Submission Deadline:</w:t>
      </w:r>
      <w:r>
        <w:t xml:space="preserve"> [Date, Time] · </w:t>
      </w:r>
      <w:r>
        <w:rPr>
          <w:b/>
        </w:rPr>
        <w:t xml:space="preserve">Proposal Validity:</w:t>
      </w:r>
      <w:r>
        <w:t xml:space="preserve"> 90 days</w:t>
      </w:r>
    </w:p>
    <w:p>
      <w:pPr>
        <w:ind w:left="360"/>
      </w:pPr>
      <w:r>
        <w:rPr>
          <w:b/>
        </w:rPr>
        <w:t xml:space="preserve">Officer's note &amp; assumptions:</w:t>
      </w:r>
      <w:r>
        <w:t xml:space="preserve"> Drafted for a Nepal </w:t>
      </w:r>
      <w:r>
        <w:rPr>
          <w:b/>
        </w:rPr>
        <w:t xml:space="preserve">local-government</w:t>
      </w:r>
      <w:r>
        <w:t xml:space="preserve"> context exercising its constitutional mandate over basic and secondary (community) education — Bikram Sambat calendar, Nepali language, eSewa/Khalti/ConnectIPS, IEMIS alignment, rural low-connectivity. This is a </w:t>
      </w:r>
      <w:r>
        <w:rPr>
          <w:b/>
        </w:rPr>
        <w:t xml:space="preserve">subscription</w:t>
      </w:r>
      <w:r>
        <w:t xml:space="preserve"> to a </w:t>
      </w:r>
      <w:r>
        <w:rPr>
          <w:b/>
        </w:rPr>
        <w:t xml:space="preserve">ready, proven</w:t>
      </w:r>
      <w:r>
        <w:t xml:space="preserve"> ELMS platform — </w:t>
      </w:r>
      <w:r>
        <w:rPr>
          <w:b/>
        </w:rPr>
        <w:t xml:space="preserve">not</w:t>
      </w:r>
      <w:r>
        <w:t xml:space="preserve"> bespoke software development. Bracketed </w:t>
      </w:r>
      <w:r>
        <w:rPr>
          <w:rFonts w:ascii="Consolas" w:hAnsi="Consolas"/>
          <w:sz w:val="20"/>
        </w:rPr>
        <w:t xml:space="preserve">[ ]</w:t>
      </w:r>
      <w:r>
        <w:t xml:space="preserve"> quantities and </w:t>
      </w:r>
      <w:r>
        <w:rPr>
          <w:rFonts w:ascii="Consolas" w:hAnsi="Consolas"/>
          <w:sz w:val="20"/>
        </w:rPr>
        <w:t xml:space="preserve">[ADAPT]</w:t>
      </w:r>
      <w:r>
        <w:t xml:space="preserve"> clauses must be completed by the Local Government before publication, consistent with the </w:t>
      </w:r>
      <w:r>
        <w:rPr>
          <w:b/>
        </w:rPr>
        <w:t xml:space="preserve">Public Procurement Act 2063 / Regulations 2064</w:t>
      </w:r>
      <w:r>
        <w:t xml:space="preserve"> and the </w:t>
      </w:r>
      <w:r>
        <w:rPr>
          <w:b/>
        </w:rPr>
        <w:t xml:space="preserve">Local Government Operation Act 2074</w:t>
      </w:r>
      <w:r>
        <w:t xml:space="preserve"> </w:t>
      </w:r>
      <w:r>
        <w:rPr>
          <w:b/>
        </w:rPr>
        <w:t xml:space="preserve">[ADAPT]</w:t>
      </w:r>
      <w:r>
        <w:t xml:space="preserve">. Requirements are stated vendor-neutrally; any compliant provider may bid.</w:t>
      </w:r>
    </w:p>
    <w:p>
      <w:pPr>
        <w:pBdr>
          <w:bottom w:val="single" w:sz="6" w:color="CCCCCC" w:space="1"/>
        </w:pBdr>
      </w:pPr>
    </w:p>
    <w:p>
      <w:pPr>
        <w:pStyle w:val="Heading1"/>
      </w:pPr>
      <w:r>
        <w:t xml:space="preserve">1. Background and Objective</w:t>
      </w:r>
    </w:p>
    <w:p>
      <w:pPr>
        <w:pStyle w:val="Heading2"/>
      </w:pPr>
      <w:r>
        <w:t xml:space="preserve">1.1 Background</w:t>
      </w:r>
    </w:p>
    <w:p>
      <w:pPr/>
      <w:r>
        <w:t xml:space="preserve">[Local Government] has constitutional and statutory responsibility for community schools within its jurisdiction. To improve teaching-learning quality, administrative efficiency, and transparency, the Local Government intends to </w:t>
      </w:r>
      <w:r>
        <w:rPr>
          <w:b/>
        </w:rPr>
        <w:t xml:space="preserve">subscribe its [N] community schools to a secure, cloud-based, multi-tenant ELMS</w:t>
      </w:r>
      <w:r>
        <w:t xml:space="preserve"> delivered as a managed service (SaaS), with onboarding, training, and ongoing support.</w:t>
      </w:r>
    </w:p>
    <w:p>
      <w:pPr>
        <w:pStyle w:val="Heading2"/>
      </w:pPr>
      <w:r>
        <w:t xml:space="preserve">1.2 Objectives</w:t>
      </w:r>
    </w:p>
    <w:p>
      <w:pPr>
        <w:ind w:left="360"/>
      </w:pPr>
      <w:r>
        <w:t xml:space="preserve">1. Provide every community school under the Local Government a standardized digital teaching-learning and school-administration platform on a subscription basis.</w:t>
      </w:r>
    </w:p>
    <w:p>
      <w:pPr>
        <w:ind w:left="360"/>
      </w:pPr>
      <w:r>
        <w:t xml:space="preserve">2. Strengthen attendance, assessment, results, and parent engagement.</w:t>
      </w:r>
    </w:p>
    <w:p>
      <w:pPr>
        <w:ind w:left="360"/>
      </w:pPr>
      <w:r>
        <w:t xml:space="preserve">3. Improve administrative functions (admissions, student records, examinations, basic finance/fees, reporting).</w:t>
      </w:r>
    </w:p>
    <w:p>
      <w:pPr>
        <w:ind w:left="360"/>
      </w:pPr>
      <w:r>
        <w:t xml:space="preserve">4. Enable the Local Government's Education Unit to monitor school-level indicators while protecting children's personal data.</w:t>
      </w:r>
    </w:p>
    <w:p>
      <w:pPr>
        <w:ind w:left="360"/>
      </w:pPr>
      <w:r>
        <w:t xml:space="preserve">5. Align school data with national </w:t>
      </w:r>
      <w:r>
        <w:rPr>
          <w:b/>
        </w:rPr>
        <w:t xml:space="preserve">IEMIS</w:t>
      </w:r>
      <w:r>
        <w:t xml:space="preserve"> reporting </w:t>
      </w:r>
      <w:r>
        <w:rPr>
          <w:b/>
        </w:rPr>
        <w:t xml:space="preserve">[ADAPT]</w:t>
      </w:r>
      <w:r>
        <w:t xml:space="preserve">.</w:t>
      </w:r>
    </w:p>
    <w:p>
      <w:pPr>
        <w:ind w:left="360"/>
      </w:pPr>
      <w:r>
        <w:t xml:space="preserve">6. Ensure usability in </w:t>
      </w:r>
      <w:r>
        <w:rPr>
          <w:b/>
        </w:rPr>
        <w:t xml:space="preserve">rural and low-connectivity</w:t>
      </w:r>
      <w:r>
        <w:t xml:space="preserve"> settings, in </w:t>
      </w:r>
      <w:r>
        <w:rPr>
          <w:b/>
        </w:rPr>
        <w:t xml:space="preserve">Nepali</w:t>
      </w:r>
      <w:r>
        <w:t xml:space="preserve">, on </w:t>
      </w:r>
      <w:r>
        <w:rPr>
          <w:b/>
        </w:rPr>
        <w:t xml:space="preserve">BS calendar</w:t>
      </w:r>
      <w:r>
        <w:t xml:space="preserve">.</w:t>
      </w:r>
    </w:p>
    <w:p>
      <w:pPr>
        <w:pStyle w:val="Heading2"/>
      </w:pPr>
      <w:r>
        <w:t xml:space="preserve">1.3 Indicative Volumetrics (to be finalized in Annex F-1)</w:t>
      </w:r>
    </w:p>
    <w:p>
      <w:pPr>
        <w:ind w:left="360"/>
      </w:pPr>
      <w:r>
        <w:t xml:space="preserve">• Community schools to onboard: </w:t>
      </w:r>
      <w:r>
        <w:rPr>
          <w:b/>
        </w:rPr>
        <w:t xml:space="preserve">[N]</w:t>
      </w:r>
    </w:p>
    <w:p>
      <w:pPr>
        <w:ind w:left="360"/>
      </w:pPr>
      <w:r>
        <w:t xml:space="preserve">• Estimated students: </w:t>
      </w:r>
      <w:r>
        <w:rPr>
          <w:b/>
        </w:rPr>
        <w:t xml:space="preserve">[X]</w:t>
      </w:r>
      <w:r>
        <w:t xml:space="preserve"> · Teachers/staff: </w:t>
      </w:r>
      <w:r>
        <w:rPr>
          <w:b/>
        </w:rPr>
        <w:t xml:space="preserve">[Y]</w:t>
      </w:r>
      <w:r>
        <w:t xml:space="preserve"> · Parents: </w:t>
      </w:r>
      <w:r>
        <w:rPr>
          <w:b/>
        </w:rPr>
        <w:t xml:space="preserve">[Z]</w:t>
      </w:r>
    </w:p>
    <w:p>
      <w:pPr>
        <w:ind w:left="360"/>
      </w:pPr>
      <w:r>
        <w:t xml:space="preserve">• Subscription term: </w:t>
      </w:r>
      <w:r>
        <w:rPr>
          <w:b/>
        </w:rPr>
        <w:t xml:space="preserve">[2–3] years</w:t>
      </w:r>
      <w:r>
        <w:t xml:space="preserve"> (renewable) </w:t>
      </w:r>
      <w:r>
        <w:rPr>
          <w:b/>
        </w:rPr>
        <w:t xml:space="preserve">[ADAPT]</w:t>
      </w:r>
    </w:p>
    <w:p>
      <w:pPr>
        <w:pBdr>
          <w:bottom w:val="single" w:sz="6" w:color="CCCCCC" w:space="1"/>
        </w:pBdr>
      </w:pPr>
    </w:p>
    <w:p>
      <w:pPr>
        <w:pStyle w:val="Heading1"/>
      </w:pPr>
      <w:r>
        <w:t xml:space="preserve">2. Nature of Procurement — Subscription (SaaS)</w:t>
      </w:r>
    </w:p>
    <w:p>
      <w:pPr/>
      <w:r>
        <w:t xml:space="preserve">This is procurement of a </w:t>
      </w:r>
      <w:r>
        <w:rPr>
          <w:b/>
        </w:rPr>
        <w:t xml:space="preserve">subscription service to an existing, operational platform</w:t>
      </w:r>
      <w:r>
        <w:t xml:space="preserve">, including:</w:t>
      </w:r>
    </w:p>
    <w:p>
      <w:pPr>
        <w:ind w:left="360"/>
      </w:pPr>
      <w:r>
        <w:t xml:space="preserve">• Hosted access (web + mobile) for all in-scope schools and roles.</w:t>
      </w:r>
    </w:p>
    <w:p>
      <w:pPr>
        <w:ind w:left="360"/>
      </w:pPr>
      <w:r>
        <w:t xml:space="preserve">• Per-school tenant provisioning and configuration.</w:t>
      </w:r>
    </w:p>
    <w:p>
      <w:pPr>
        <w:ind w:left="360"/>
      </w:pPr>
      <w:r>
        <w:t xml:space="preserve">• Onboarding and data setup, training, support, and maintenance for the term.</w:t>
      </w:r>
    </w:p>
    <w:p>
      <w:pPr>
        <w:ind w:left="360"/>
      </w:pPr>
      <w:r>
        <w:t xml:space="preserve">• Software updates, security patches, and platform availability under an SLA.</w:t>
      </w:r>
    </w:p>
    <w:p>
      <w:pPr/>
      <w:r>
        <w:t xml:space="preserve">This is </w:t>
      </w:r>
      <w:r>
        <w:rPr>
          <w:b/>
        </w:rPr>
        <w:t xml:space="preserve">NOT</w:t>
      </w:r>
      <w:r>
        <w:t xml:space="preserve"> custom software development. Bidders must demonstrate a </w:t>
      </w:r>
      <w:r>
        <w:rPr>
          <w:b/>
        </w:rPr>
        <w:t xml:space="preserve">live, production-grade platform</w:t>
      </w:r>
      <w:r>
        <w:t xml:space="preserve"> already in use (reference deployments required). Proposals based on yet-to-be-built software will be rejected.</w:t>
      </w:r>
    </w:p>
    <w:p>
      <w:pPr>
        <w:pBdr>
          <w:bottom w:val="single" w:sz="6" w:color="CCCCCC" w:space="1"/>
        </w:pBdr>
      </w:pPr>
    </w:p>
    <w:p>
      <w:pPr>
        <w:pStyle w:val="Heading1"/>
      </w:pPr>
      <w:r>
        <w:t xml:space="preserve">3. Scope of Subscription Services</w:t>
      </w:r>
    </w:p>
    <w:p>
      <w:pPr>
        <w:pStyle w:val="Heading2"/>
      </w:pPr>
      <w:r>
        <w:t xml:space="preserve">3.1 Provisioning &amp; Onboarding</w:t>
      </w:r>
    </w:p>
    <w:p>
      <w:pPr>
        <w:ind w:left="360"/>
      </w:pPr>
      <w:r>
        <w:t xml:space="preserve">• Create an isolated tenant (school workspace) for each in-scope school.</w:t>
      </w:r>
    </w:p>
    <w:p>
      <w:pPr>
        <w:ind w:left="360"/>
      </w:pPr>
      <w:r>
        <w:t xml:space="preserve">• Configure academic year (BS), classes/sections/subjects, roles, and school branding.</w:t>
      </w:r>
    </w:p>
    <w:p>
      <w:pPr>
        <w:ind w:left="360"/>
      </w:pPr>
      <w:r>
        <w:t xml:space="preserve">• Bulk-onboard students, teachers, staff, and parents from Local-Government/school records (templates provided by bidder).</w:t>
      </w:r>
    </w:p>
    <w:p>
      <w:pPr>
        <w:ind w:left="360"/>
      </w:pPr>
      <w:r>
        <w:t xml:space="preserve">• Initial data validation and go-live support per school.</w:t>
      </w:r>
    </w:p>
    <w:p>
      <w:pPr>
        <w:pStyle w:val="Heading2"/>
      </w:pPr>
      <w:r>
        <w:t xml:space="preserve">3.2 Platform Access by Role</w:t>
      </w:r>
    </w:p>
    <w:p>
      <w:pPr>
        <w:ind w:left="360"/>
      </w:pPr>
      <w:r>
        <w:t xml:space="preserve">• </w:t>
      </w:r>
      <w:r>
        <w:rPr>
          <w:b/>
        </w:rPr>
        <w:t xml:space="preserve">Local-Government Education Unit (oversight):</w:t>
      </w:r>
      <w:r>
        <w:t xml:space="preserve"> aggregate, privacy-respecting dashboards across schools; school provisioning oversight.</w:t>
      </w:r>
    </w:p>
    <w:p>
      <w:pPr>
        <w:ind w:left="360"/>
      </w:pPr>
      <w:r>
        <w:t xml:space="preserve">• </w:t>
      </w:r>
      <w:r>
        <w:rPr>
          <w:b/>
        </w:rPr>
        <w:t xml:space="preserve">School Administrator / Head Teacher:</w:t>
      </w:r>
      <w:r>
        <w:t xml:space="preserve"> full school administration.</w:t>
      </w:r>
    </w:p>
    <w:p>
      <w:pPr>
        <w:ind w:left="360"/>
      </w:pPr>
      <w:r>
        <w:t xml:space="preserve">• </w:t>
      </w:r>
      <w:r>
        <w:rPr>
          <w:b/>
        </w:rPr>
        <w:t xml:space="preserve">Teacher:</w:t>
      </w:r>
      <w:r>
        <w:t xml:space="preserve"> teaching, attendance, assessment, communication.</w:t>
      </w:r>
    </w:p>
    <w:p>
      <w:pPr>
        <w:ind w:left="360"/>
      </w:pPr>
      <w:r>
        <w:t xml:space="preserve">• </w:t>
      </w:r>
      <w:r>
        <w:rPr>
          <w:b/>
        </w:rPr>
        <w:t xml:space="preserve">Student / Parent:</w:t>
      </w:r>
      <w:r>
        <w:t xml:space="preserve"> learning, results, attendance, notices, messaging.</w:t>
      </w:r>
    </w:p>
    <w:p>
      <w:pPr>
        <w:pStyle w:val="Heading2"/>
      </w:pPr>
      <w:r>
        <w:t xml:space="preserve">3.3 Functional Capabilities the Platform MUST Already Provide</w:t>
      </w:r>
    </w:p>
    <w:p>
      <w:pPr/>
      <w:r>
        <w:t xml:space="preserve">*(Bidders confirm each in the Annex F-2 compliance checklist; features must exist in the live product, not be promised.)*</w:t>
      </w:r>
    </w:p>
    <w:p>
      <w:pPr>
        <w:ind w:left="360"/>
      </w:pPr>
      <w:r>
        <w:t xml:space="preserve">• </w:t>
      </w:r>
      <w:r>
        <w:rPr>
          <w:b/>
        </w:rPr>
        <w:t xml:space="preserve">Academic:</w:t>
      </w:r>
      <w:r>
        <w:t xml:space="preserve"> classes, sections, subjects, lessons/materials, timetable.</w:t>
      </w:r>
    </w:p>
    <w:p>
      <w:pPr>
        <w:ind w:left="360"/>
      </w:pPr>
      <w:r>
        <w:t xml:space="preserve">• </w:t>
      </w:r>
      <w:r>
        <w:rPr>
          <w:b/>
        </w:rPr>
        <w:t xml:space="preserve">Attendance:</w:t>
      </w:r>
      <w:r>
        <w:t xml:space="preserve"> daily/subject attendance with parent notification and analytics.</w:t>
      </w:r>
    </w:p>
    <w:p>
      <w:pPr>
        <w:ind w:left="360"/>
      </w:pPr>
      <w:r>
        <w:t xml:space="preserve">• </w:t>
      </w:r>
      <w:r>
        <w:rPr>
          <w:b/>
        </w:rPr>
        <w:t xml:space="preserve">Assessment &amp; Results:</w:t>
      </w:r>
      <w:r>
        <w:t xml:space="preserve"> quizzes/exams, marks entry, grade computation, report cards, controlled result publication.</w:t>
      </w:r>
    </w:p>
    <w:p>
      <w:pPr>
        <w:ind w:left="360"/>
      </w:pPr>
      <w:r>
        <w:t xml:space="preserve">• </w:t>
      </w:r>
      <w:r>
        <w:rPr>
          <w:b/>
        </w:rPr>
        <w:t xml:space="preserve">Admissions &amp; Student Records:</w:t>
      </w:r>
      <w:r>
        <w:t xml:space="preserve"> profiles, documents, promotion/year-rollover.</w:t>
      </w:r>
    </w:p>
    <w:p>
      <w:pPr>
        <w:ind w:left="360"/>
      </w:pPr>
      <w:r>
        <w:t xml:space="preserve">• </w:t>
      </w:r>
      <w:r>
        <w:rPr>
          <w:b/>
        </w:rPr>
        <w:t xml:space="preserve">Communication:</w:t>
      </w:r>
      <w:r>
        <w:t xml:space="preserve"> notices, secure messaging, notifications (in-app, </w:t>
      </w:r>
      <w:r>
        <w:rPr>
          <w:b/>
        </w:rPr>
        <w:t xml:space="preserve">SMS, email, push</w:t>
      </w:r>
      <w:r>
        <w:t xml:space="preserve">).</w:t>
      </w:r>
    </w:p>
    <w:p>
      <w:pPr>
        <w:ind w:left="360"/>
      </w:pPr>
      <w:r>
        <w:t xml:space="preserve">• </w:t>
      </w:r>
      <w:r>
        <w:rPr>
          <w:b/>
        </w:rPr>
        <w:t xml:space="preserve">Basic Finance/Fees (where applicable):</w:t>
      </w:r>
      <w:r>
        <w:t xml:space="preserve"> fee structures, ledgers, online payment (</w:t>
      </w:r>
      <w:r>
        <w:rPr>
          <w:b/>
        </w:rPr>
        <w:t xml:space="preserve">eSewa/Khalti/ConnectIPS</w:t>
      </w:r>
      <w:r>
        <w:t xml:space="preserve">), receipts. *(Optional for fully fee-free community schools.)*</w:t>
      </w:r>
    </w:p>
    <w:p>
      <w:pPr>
        <w:ind w:left="360"/>
      </w:pPr>
      <w:r>
        <w:t xml:space="preserve">• </w:t>
      </w:r>
      <w:r>
        <w:rPr>
          <w:b/>
        </w:rPr>
        <w:t xml:space="preserve">Library, gamification, projects:</w:t>
      </w:r>
      <w:r>
        <w:t xml:space="preserve"> desirable/optional.</w:t>
      </w:r>
    </w:p>
    <w:p>
      <w:pPr>
        <w:ind w:left="360"/>
      </w:pPr>
      <w:r>
        <w:t xml:space="preserve">• </w:t>
      </w:r>
      <w:r>
        <w:rPr>
          <w:b/>
        </w:rPr>
        <w:t xml:space="preserve">Reporting &amp; Dashboards:</w:t>
      </w:r>
      <w:r>
        <w:t xml:space="preserve"> role-based dashboards, exports (PDF/Excel/CSV), and </w:t>
      </w:r>
      <w:r>
        <w:rPr>
          <w:b/>
        </w:rPr>
        <w:t xml:space="preserve">IEMIS-format export</w:t>
      </w:r>
      <w:r>
        <w:t xml:space="preserve"> </w:t>
      </w:r>
      <w:r>
        <w:rPr>
          <w:b/>
        </w:rPr>
        <w:t xml:space="preserve">[ADAPT]</w:t>
      </w:r>
      <w:r>
        <w:t xml:space="preserve">.</w:t>
      </w:r>
    </w:p>
    <w:p>
      <w:pPr>
        <w:ind w:left="360"/>
      </w:pPr>
      <w:r>
        <w:t xml:space="preserve">• </w:t>
      </w:r>
      <w:r>
        <w:rPr>
          <w:b/>
        </w:rPr>
        <w:t xml:space="preserve">(Optional) AI/analytics:</w:t>
      </w:r>
      <w:r>
        <w:t xml:space="preserve"> AI tutor, at-risk analytics — must redact PII and be disableable per school.</w:t>
      </w:r>
    </w:p>
    <w:p>
      <w:pPr>
        <w:ind w:left="360"/>
      </w:pPr>
      <w:r>
        <w:t xml:space="preserve">• </w:t>
      </w:r>
      <w:r>
        <w:rPr>
          <w:b/>
        </w:rPr>
        <w:t xml:space="preserve">Mobile app:</w:t>
      </w:r>
      <w:r>
        <w:t xml:space="preserve"> Android (and iOS) for students/teachers/parents.</w:t>
      </w:r>
    </w:p>
    <w:p>
      <w:pPr>
        <w:pStyle w:val="Heading2"/>
      </w:pPr>
      <w:r>
        <w:t xml:space="preserve">3.4 Training &amp; Change Management</w:t>
      </w:r>
    </w:p>
    <w:p>
      <w:pPr>
        <w:ind w:left="360"/>
      </w:pPr>
      <w:r>
        <w:t xml:space="preserve">• Role-based training (administrators, teachers) in </w:t>
      </w:r>
      <w:r>
        <w:rPr>
          <w:b/>
        </w:rPr>
        <w:t xml:space="preserve">Nepali</w:t>
      </w:r>
      <w:r>
        <w:t xml:space="preserve">, on-site and/or online.</w:t>
      </w:r>
    </w:p>
    <w:p>
      <w:pPr>
        <w:ind w:left="360"/>
      </w:pPr>
      <w:r>
        <w:t xml:space="preserve">• </w:t>
      </w:r>
      <w:r>
        <w:rPr>
          <w:b/>
        </w:rPr>
        <w:t xml:space="preserve">Train-the-Trainer</w:t>
      </w:r>
      <w:r>
        <w:t xml:space="preserve"> for at least </w:t>
      </w:r>
      <w:r>
        <w:rPr>
          <w:b/>
        </w:rPr>
        <w:t xml:space="preserve">[N]</w:t>
      </w:r>
      <w:r>
        <w:t xml:space="preserve"> focal teachers per cluster for sustainability.</w:t>
      </w:r>
    </w:p>
    <w:p>
      <w:pPr>
        <w:ind w:left="360"/>
      </w:pPr>
      <w:r>
        <w:t xml:space="preserve">• User guides, short videos, and in-app help.</w:t>
      </w:r>
    </w:p>
    <w:p>
      <w:pPr>
        <w:pStyle w:val="Heading2"/>
      </w:pPr>
      <w:r>
        <w:t xml:space="preserve">3.5 Support &amp; Maintenance (included in subscription)</w:t>
      </w:r>
    </w:p>
    <w:p>
      <w:pPr>
        <w:ind w:left="360"/>
      </w:pPr>
      <w:r>
        <w:t xml:space="preserve">• Helpdesk, defect fixes, security patches, and platform upgrades at no extra cost for the term, under the SLA (§7).</w:t>
      </w:r>
    </w:p>
    <w:p>
      <w:pPr>
        <w:pBdr>
          <w:bottom w:val="single" w:sz="6" w:color="CCCCCC" w:space="1"/>
        </w:pBdr>
      </w:pPr>
    </w:p>
    <w:p>
      <w:pPr>
        <w:pStyle w:val="Heading1"/>
      </w:pPr>
      <w:r>
        <w:t xml:space="preserve">4. Technical &amp; Non-Functional Requirements</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Borders>
              <w:top w:val="single" w:sz="4" w:color="999999"/>
              <w:left w:val="single" w:sz="4" w:color="999999"/>
              <w:bottom w:val="single" w:sz="4" w:color="999999"/>
              <w:right w:val="single" w:sz="4" w:color="999999"/>
            </w:tcBorders>
            <w:shd w:val="clear" w:fill="F0F0F0"/>
          </w:tcPr>
          <w:p>
            <w:r>
              <w:rPr>
                <w:b/>
              </w:rPr>
              <w:t xml:space="preserve">#</w:t>
            </w:r>
          </w:p>
        </w:tc>
        <w:tc>
          <w:tcPr>
            <w:tcBorders>
              <w:top w:val="single" w:sz="4" w:color="999999"/>
              <w:left w:val="single" w:sz="4" w:color="999999"/>
              <w:bottom w:val="single" w:sz="4" w:color="999999"/>
              <w:right w:val="single" w:sz="4" w:color="999999"/>
            </w:tcBorders>
            <w:shd w:val="clear" w:fill="F0F0F0"/>
          </w:tcPr>
          <w:p>
            <w:r>
              <w:rPr>
                <w:b/>
              </w:rPr>
              <w:t xml:space="preserve">Requirement</w:t>
            </w:r>
          </w:p>
        </w:tc>
      </w:tr>
      <w:tr>
        <w:tc>
          <w:tcPr>
            <w:tcBorders>
              <w:top w:val="single" w:sz="4" w:color="999999"/>
              <w:left w:val="single" w:sz="4" w:color="999999"/>
              <w:bottom w:val="single" w:sz="4" w:color="999999"/>
              <w:right w:val="single" w:sz="4" w:color="999999"/>
            </w:tcBorders>
          </w:tcPr>
          <w:p>
            <w:r>
              <w:t xml:space="preserve">T1</w:t>
            </w:r>
          </w:p>
        </w:tc>
        <w:tc>
          <w:tcPr>
            <w:tcBorders>
              <w:top w:val="single" w:sz="4" w:color="999999"/>
              <w:left w:val="single" w:sz="4" w:color="999999"/>
              <w:bottom w:val="single" w:sz="4" w:color="999999"/>
              <w:right w:val="single" w:sz="4" w:color="999999"/>
            </w:tcBorders>
          </w:tcPr>
          <w:p>
            <w:r>
              <w:t xml:space="preserve">Cloud-hosted SaaS; accessible on modern browsers and via Android/iOS mobile apps.</w:t>
            </w:r>
          </w:p>
        </w:tc>
      </w:tr>
      <w:tr>
        <w:tc>
          <w:tcPr>
            <w:tcBorders>
              <w:top w:val="single" w:sz="4" w:color="999999"/>
              <w:left w:val="single" w:sz="4" w:color="999999"/>
              <w:bottom w:val="single" w:sz="4" w:color="999999"/>
              <w:right w:val="single" w:sz="4" w:color="999999"/>
            </w:tcBorders>
          </w:tcPr>
          <w:p>
            <w:r>
              <w:t xml:space="preserve">T2</w:t>
            </w:r>
          </w:p>
        </w:tc>
        <w:tc>
          <w:tcPr>
            <w:tcBorders>
              <w:top w:val="single" w:sz="4" w:color="999999"/>
              <w:left w:val="single" w:sz="4" w:color="999999"/>
              <w:bottom w:val="single" w:sz="4" w:color="999999"/>
              <w:right w:val="single" w:sz="4" w:color="999999"/>
            </w:tcBorders>
          </w:tcPr>
          <w:p>
            <w:r>
              <w:rPr>
                <w:b/>
              </w:rPr>
              <w:t xml:space="preserve">Multi-tenant</w:t>
            </w:r>
            <w:r>
              <w:t xml:space="preserve"> with strict per-school data isolation (one school cannot see another's data).</w:t>
            </w:r>
          </w:p>
        </w:tc>
      </w:tr>
      <w:tr>
        <w:tc>
          <w:tcPr>
            <w:tcBorders>
              <w:top w:val="single" w:sz="4" w:color="999999"/>
              <w:left w:val="single" w:sz="4" w:color="999999"/>
              <w:bottom w:val="single" w:sz="4" w:color="999999"/>
              <w:right w:val="single" w:sz="4" w:color="999999"/>
            </w:tcBorders>
          </w:tcPr>
          <w:p>
            <w:r>
              <w:t xml:space="preserve">T3</w:t>
            </w:r>
          </w:p>
        </w:tc>
        <w:tc>
          <w:tcPr>
            <w:tcBorders>
              <w:top w:val="single" w:sz="4" w:color="999999"/>
              <w:left w:val="single" w:sz="4" w:color="999999"/>
              <w:bottom w:val="single" w:sz="4" w:color="999999"/>
              <w:right w:val="single" w:sz="4" w:color="999999"/>
            </w:tcBorders>
          </w:tcPr>
          <w:p>
            <w:r>
              <w:rPr>
                <w:b/>
              </w:rPr>
              <w:t xml:space="preserve">Nepali (Devanagari/Unicode) + English</w:t>
            </w:r>
            <w:r>
              <w:t xml:space="preserve"> UI; </w:t>
            </w:r>
            <w:r>
              <w:rPr>
                <w:b/>
              </w:rPr>
              <w:t xml:space="preserve">Bikram Sambat</w:t>
            </w:r>
            <w:r>
              <w:t xml:space="preserve"> calendar with AD conversion.</w:t>
            </w:r>
          </w:p>
        </w:tc>
      </w:tr>
      <w:tr>
        <w:tc>
          <w:tcPr>
            <w:tcBorders>
              <w:top w:val="single" w:sz="4" w:color="999999"/>
              <w:left w:val="single" w:sz="4" w:color="999999"/>
              <w:bottom w:val="single" w:sz="4" w:color="999999"/>
              <w:right w:val="single" w:sz="4" w:color="999999"/>
            </w:tcBorders>
          </w:tcPr>
          <w:p>
            <w:r>
              <w:t xml:space="preserve">T4</w:t>
            </w:r>
          </w:p>
        </w:tc>
        <w:tc>
          <w:tcPr>
            <w:tcBorders>
              <w:top w:val="single" w:sz="4" w:color="999999"/>
              <w:left w:val="single" w:sz="4" w:color="999999"/>
              <w:bottom w:val="single" w:sz="4" w:color="999999"/>
              <w:right w:val="single" w:sz="4" w:color="999999"/>
            </w:tcBorders>
          </w:tcPr>
          <w:p>
            <w:r>
              <w:rPr>
                <w:b/>
              </w:rPr>
              <w:t xml:space="preserve">WCAG 2.1 AA</w:t>
            </w:r>
            <w:r>
              <w:t xml:space="preserve"> accessibility; mobile-responsive; usable on low-cost Android devices.</w:t>
            </w:r>
          </w:p>
        </w:tc>
      </w:tr>
      <w:tr>
        <w:tc>
          <w:tcPr>
            <w:tcBorders>
              <w:top w:val="single" w:sz="4" w:color="999999"/>
              <w:left w:val="single" w:sz="4" w:color="999999"/>
              <w:bottom w:val="single" w:sz="4" w:color="999999"/>
              <w:right w:val="single" w:sz="4" w:color="999999"/>
            </w:tcBorders>
          </w:tcPr>
          <w:p>
            <w:r>
              <w:t xml:space="preserve">T5</w:t>
            </w:r>
          </w:p>
        </w:tc>
        <w:tc>
          <w:tcPr>
            <w:tcBorders>
              <w:top w:val="single" w:sz="4" w:color="999999"/>
              <w:left w:val="single" w:sz="4" w:color="999999"/>
              <w:bottom w:val="single" w:sz="4" w:color="999999"/>
              <w:right w:val="single" w:sz="4" w:color="999999"/>
            </w:tcBorders>
          </w:tcPr>
          <w:p>
            <w:r>
              <w:rPr>
                <w:b/>
              </w:rPr>
              <w:t xml:space="preserve">Low-connectivity resilience</w:t>
            </w:r>
            <w:r>
              <w:t xml:space="preserve"> — lightweight pages, graceful degradation; offline/queued capture for high-value flows (e.g., attendance) desirable.</w:t>
            </w:r>
          </w:p>
        </w:tc>
      </w:tr>
      <w:tr>
        <w:tc>
          <w:tcPr>
            <w:tcBorders>
              <w:top w:val="single" w:sz="4" w:color="999999"/>
              <w:left w:val="single" w:sz="4" w:color="999999"/>
              <w:bottom w:val="single" w:sz="4" w:color="999999"/>
              <w:right w:val="single" w:sz="4" w:color="999999"/>
            </w:tcBorders>
          </w:tcPr>
          <w:p>
            <w:r>
              <w:t xml:space="preserve">T6</w:t>
            </w:r>
          </w:p>
        </w:tc>
        <w:tc>
          <w:tcPr>
            <w:tcBorders>
              <w:top w:val="single" w:sz="4" w:color="999999"/>
              <w:left w:val="single" w:sz="4" w:color="999999"/>
              <w:bottom w:val="single" w:sz="4" w:color="999999"/>
              <w:right w:val="single" w:sz="4" w:color="999999"/>
            </w:tcBorders>
          </w:tcPr>
          <w:p>
            <w:r>
              <w:rPr>
                <w:b/>
              </w:rPr>
              <w:t xml:space="preserve">≥ 99.5% monthly uptime</w:t>
            </w:r>
            <w:r>
              <w:t xml:space="preserve">; daily backups; documented RPO ≤ 24h / RTO ≤ 4h.</w:t>
            </w:r>
          </w:p>
        </w:tc>
      </w:tr>
      <w:tr>
        <w:tc>
          <w:tcPr>
            <w:tcBorders>
              <w:top w:val="single" w:sz="4" w:color="999999"/>
              <w:left w:val="single" w:sz="4" w:color="999999"/>
              <w:bottom w:val="single" w:sz="4" w:color="999999"/>
              <w:right w:val="single" w:sz="4" w:color="999999"/>
            </w:tcBorders>
          </w:tcPr>
          <w:p>
            <w:r>
              <w:t xml:space="preserve">T7</w:t>
            </w:r>
          </w:p>
        </w:tc>
        <w:tc>
          <w:tcPr>
            <w:tcBorders>
              <w:top w:val="single" w:sz="4" w:color="999999"/>
              <w:left w:val="single" w:sz="4" w:color="999999"/>
              <w:bottom w:val="single" w:sz="4" w:color="999999"/>
              <w:right w:val="single" w:sz="4" w:color="999999"/>
            </w:tcBorders>
          </w:tcPr>
          <w:p>
            <w:r>
              <w:rPr>
                <w:b/>
              </w:rPr>
              <w:t xml:space="preserve">Data residency in Nepal / approved Government Cloud</w:t>
            </w:r>
            <w:r>
              <w:t xml:space="preserve"> for all personal data </w:t>
            </w:r>
            <w:r>
              <w:rPr>
                <w:b/>
              </w:rPr>
              <w:t xml:space="preserve">[ADAPT]</w:t>
            </w:r>
            <w:r>
              <w:t xml:space="preserve">.</w:t>
            </w:r>
          </w:p>
        </w:tc>
      </w:tr>
      <w:tr>
        <w:tc>
          <w:tcPr>
            <w:tcBorders>
              <w:top w:val="single" w:sz="4" w:color="999999"/>
              <w:left w:val="single" w:sz="4" w:color="999999"/>
              <w:bottom w:val="single" w:sz="4" w:color="999999"/>
              <w:right w:val="single" w:sz="4" w:color="999999"/>
            </w:tcBorders>
          </w:tcPr>
          <w:p>
            <w:r>
              <w:t xml:space="preserve">T8</w:t>
            </w:r>
          </w:p>
        </w:tc>
        <w:tc>
          <w:tcPr>
            <w:tcBorders>
              <w:top w:val="single" w:sz="4" w:color="999999"/>
              <w:left w:val="single" w:sz="4" w:color="999999"/>
              <w:bottom w:val="single" w:sz="4" w:color="999999"/>
              <w:right w:val="single" w:sz="4" w:color="999999"/>
            </w:tcBorders>
          </w:tcPr>
          <w:p>
            <w:r>
              <w:t xml:space="preserve">Integrations: SMS gateway, email, mobile push, payment gateways (if fees used), </w:t>
            </w:r>
            <w:r>
              <w:rPr>
                <w:b/>
              </w:rPr>
              <w:t xml:space="preserve">IEMIS export</w:t>
            </w:r>
            <w:r>
              <w:t xml:space="preserve">.</w:t>
            </w:r>
          </w:p>
        </w:tc>
      </w:tr>
      <w:tr>
        <w:tc>
          <w:tcPr>
            <w:tcBorders>
              <w:top w:val="single" w:sz="4" w:color="999999"/>
              <w:left w:val="single" w:sz="4" w:color="999999"/>
              <w:bottom w:val="single" w:sz="4" w:color="999999"/>
              <w:right w:val="single" w:sz="4" w:color="999999"/>
            </w:tcBorders>
          </w:tcPr>
          <w:p>
            <w:r>
              <w:t xml:space="preserve">T9</w:t>
            </w:r>
          </w:p>
        </w:tc>
        <w:tc>
          <w:tcPr>
            <w:tcBorders>
              <w:top w:val="single" w:sz="4" w:color="999999"/>
              <w:left w:val="single" w:sz="4" w:color="999999"/>
              <w:bottom w:val="single" w:sz="4" w:color="999999"/>
              <w:right w:val="single" w:sz="4" w:color="999999"/>
            </w:tcBorders>
          </w:tcPr>
          <w:p>
            <w:r>
              <w:t xml:space="preserve">Documented, exportable data formats (no lock-in); data export on exit at no cost.</w:t>
            </w:r>
          </w:p>
        </w:tc>
      </w:tr>
    </w:tbl>
    <w:p/>
    <w:p>
      <w:pPr>
        <w:pBdr>
          <w:bottom w:val="single" w:sz="6" w:color="CCCCCC" w:space="1"/>
        </w:pBdr>
      </w:pPr>
    </w:p>
    <w:p>
      <w:pPr>
        <w:pStyle w:val="Heading1"/>
      </w:pPr>
      <w:r>
        <w:t xml:space="preserve">5. Security &amp; Data Protection (Children's Data — Mandatory)</w:t>
      </w:r>
    </w:p>
    <w:p>
      <w:pPr/>
      <w:r>
        <w:t xml:space="preserve">The platform serves </w:t>
      </w:r>
      <w:r>
        <w:rPr>
          <w:b/>
        </w:rPr>
        <w:t xml:space="preserve">minors</w:t>
      </w:r>
      <w:r>
        <w:t xml:space="preserve">; the following are non-negotiable and scored heavily:</w:t>
      </w:r>
    </w:p>
    <w:p>
      <w:pPr>
        <w:ind w:left="360"/>
      </w:pPr>
      <w:r>
        <w:t xml:space="preserve">1. Encryption in transit (TLS 1.2+) and at rest.</w:t>
      </w:r>
    </w:p>
    <w:p>
      <w:pPr>
        <w:ind w:left="360"/>
      </w:pPr>
      <w:r>
        <w:t xml:space="preserve">2. Verifiable tenant isolation; role/function/object-level authorization; </w:t>
      </w:r>
      <w:r>
        <w:rPr>
          <w:b/>
        </w:rPr>
        <w:t xml:space="preserve">no unauthenticated access to personal data</w:t>
      </w:r>
      <w:r>
        <w:t xml:space="preserve">.</w:t>
      </w:r>
    </w:p>
    <w:p>
      <w:pPr>
        <w:ind w:left="360"/>
      </w:pPr>
      <w:r>
        <w:t xml:space="preserve">3. MFA for administrative accounts; brute-force protection.</w:t>
      </w:r>
    </w:p>
    <w:p>
      <w:pPr>
        <w:ind w:left="360"/>
      </w:pPr>
      <w:r>
        <w:t xml:space="preserve">4. </w:t>
      </w:r>
      <w:r>
        <w:rPr>
          <w:b/>
        </w:rPr>
        <w:t xml:space="preserve">PII minimization</w:t>
      </w:r>
      <w:r>
        <w:t xml:space="preserve">; no profiling/marketing use of children's data; PII redaction before any third-party/AI processing.</w:t>
      </w:r>
    </w:p>
    <w:p>
      <w:pPr>
        <w:ind w:left="360"/>
      </w:pPr>
      <w:r>
        <w:t xml:space="preserve">5. Audit logging of sensitive actions; immutable and exportable.</w:t>
      </w:r>
    </w:p>
    <w:p>
      <w:pPr>
        <w:ind w:left="360"/>
      </w:pPr>
      <w:r>
        <w:t xml:space="preserve">6. Server-side verification of any online payments; idempotent recording.</w:t>
      </w:r>
    </w:p>
    <w:p>
      <w:pPr>
        <w:ind w:left="360"/>
      </w:pPr>
      <w:r>
        <w:t xml:space="preserve">7. Compliance with applicable data-protection and children's-protection law </w:t>
      </w:r>
      <w:r>
        <w:rPr>
          <w:b/>
        </w:rPr>
        <w:t xml:space="preserve">[ADAPT — Privacy Act 2075, Children's Act 2075]</w:t>
      </w:r>
      <w:r>
        <w:t xml:space="preserve">.</w:t>
      </w:r>
    </w:p>
    <w:p>
      <w:pPr>
        <w:ind w:left="360"/>
      </w:pPr>
      <w:r>
        <w:t xml:space="preserve">8. Signed </w:t>
      </w:r>
      <w:r>
        <w:rPr>
          <w:b/>
        </w:rPr>
        <w:t xml:space="preserve">Data Processing &amp; Confidentiality Undertaking</w:t>
      </w:r>
      <w:r>
        <w:t xml:space="preserve"> (Annex F-3); Local Government and schools retain ownership of all data.</w:t>
      </w:r>
    </w:p>
    <w:p>
      <w:pPr>
        <w:ind w:left="360"/>
      </w:pPr>
      <w:r>
        <w:t xml:space="preserve">9. Data export and </w:t>
      </w:r>
      <w:r>
        <w:rPr>
          <w:b/>
        </w:rPr>
        <w:t xml:space="preserve">secure deletion certificate</w:t>
      </w:r>
      <w:r>
        <w:t xml:space="preserve"> on termination/expiry.</w:t>
      </w:r>
    </w:p>
    <w:p>
      <w:pPr>
        <w:pBdr>
          <w:bottom w:val="single" w:sz="6" w:color="CCCCCC" w:space="1"/>
        </w:pBdr>
      </w:pPr>
    </w:p>
    <w:p>
      <w:pPr>
        <w:pStyle w:val="Heading1"/>
      </w:pPr>
      <w:r>
        <w:t xml:space="preserve">6. Subscription Term, Renewal &amp; Exit</w:t>
      </w:r>
    </w:p>
    <w:p>
      <w:pPr>
        <w:ind w:left="360"/>
      </w:pPr>
      <w:r>
        <w:t xml:space="preserve">• Term: </w:t>
      </w:r>
      <w:r>
        <w:rPr>
          <w:b/>
        </w:rPr>
        <w:t xml:space="preserve">[2–3] years</w:t>
      </w:r>
      <w:r>
        <w:t xml:space="preserve">, renewable by mutual agreement subject to performance and budget.</w:t>
      </w:r>
    </w:p>
    <w:p>
      <w:pPr>
        <w:ind w:left="360"/>
      </w:pPr>
      <w:r>
        <w:t xml:space="preserve">• The Local Government may onboard additional schools during the term at the quoted per-school/per-student rate.</w:t>
      </w:r>
    </w:p>
    <w:p>
      <w:pPr>
        <w:ind w:left="360"/>
      </w:pPr>
      <w:r>
        <w:t xml:space="preserve">• On expiry/termination: full data export in open formats, transition assistance, and certified secure deletion; no proprietary lock-in.</w:t>
      </w:r>
    </w:p>
    <w:p>
      <w:pPr>
        <w:pBdr>
          <w:bottom w:val="single" w:sz="6" w:color="CCCCCC" w:space="1"/>
        </w:pBdr>
      </w:pPr>
    </w:p>
    <w:p>
      <w:pPr>
        <w:pStyle w:val="Heading1"/>
      </w:pPr>
      <w:r>
        <w:t xml:space="preserve">7. Service Levels (SLA)</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Borders>
              <w:top w:val="single" w:sz="4" w:color="999999"/>
              <w:left w:val="single" w:sz="4" w:color="999999"/>
              <w:bottom w:val="single" w:sz="4" w:color="999999"/>
              <w:right w:val="single" w:sz="4" w:color="999999"/>
            </w:tcBorders>
            <w:shd w:val="clear" w:fill="F0F0F0"/>
          </w:tcPr>
          <w:p>
            <w:r>
              <w:rPr>
                <w:b/>
              </w:rPr>
              <w:t xml:space="preserve">Severity</w:t>
            </w:r>
          </w:p>
        </w:tc>
        <w:tc>
          <w:tcPr>
            <w:tcBorders>
              <w:top w:val="single" w:sz="4" w:color="999999"/>
              <w:left w:val="single" w:sz="4" w:color="999999"/>
              <w:bottom w:val="single" w:sz="4" w:color="999999"/>
              <w:right w:val="single" w:sz="4" w:color="999999"/>
            </w:tcBorders>
            <w:shd w:val="clear" w:fill="F0F0F0"/>
          </w:tcPr>
          <w:p>
            <w:r>
              <w:rPr>
                <w:b/>
              </w:rPr>
              <w:t xml:space="preserve">Definition</w:t>
            </w:r>
          </w:p>
        </w:tc>
        <w:tc>
          <w:tcPr>
            <w:tcBorders>
              <w:top w:val="single" w:sz="4" w:color="999999"/>
              <w:left w:val="single" w:sz="4" w:color="999999"/>
              <w:bottom w:val="single" w:sz="4" w:color="999999"/>
              <w:right w:val="single" w:sz="4" w:color="999999"/>
            </w:tcBorders>
            <w:shd w:val="clear" w:fill="F0F0F0"/>
          </w:tcPr>
          <w:p>
            <w:r>
              <w:rPr>
                <w:b/>
              </w:rPr>
              <w:t xml:space="preserve">Response</w:t>
            </w:r>
          </w:p>
        </w:tc>
        <w:tc>
          <w:tcPr>
            <w:tcBorders>
              <w:top w:val="single" w:sz="4" w:color="999999"/>
              <w:left w:val="single" w:sz="4" w:color="999999"/>
              <w:bottom w:val="single" w:sz="4" w:color="999999"/>
              <w:right w:val="single" w:sz="4" w:color="999999"/>
            </w:tcBorders>
            <w:shd w:val="clear" w:fill="F0F0F0"/>
          </w:tcPr>
          <w:p>
            <w:r>
              <w:rPr>
                <w:b/>
              </w:rPr>
              <w:t xml:space="preserve">Resolution</w:t>
            </w:r>
          </w:p>
        </w:tc>
      </w:tr>
      <w:tr>
        <w:tc>
          <w:tcPr>
            <w:tcBorders>
              <w:top w:val="single" w:sz="4" w:color="999999"/>
              <w:left w:val="single" w:sz="4" w:color="999999"/>
              <w:bottom w:val="single" w:sz="4" w:color="999999"/>
              <w:right w:val="single" w:sz="4" w:color="999999"/>
            </w:tcBorders>
          </w:tcPr>
          <w:p>
            <w:r>
              <w:t xml:space="preserve">S1 — Critical</w:t>
            </w:r>
          </w:p>
        </w:tc>
        <w:tc>
          <w:tcPr>
            <w:tcBorders>
              <w:top w:val="single" w:sz="4" w:color="999999"/>
              <w:left w:val="single" w:sz="4" w:color="999999"/>
              <w:bottom w:val="single" w:sz="4" w:color="999999"/>
              <w:right w:val="single" w:sz="4" w:color="999999"/>
            </w:tcBorders>
          </w:tcPr>
          <w:p>
            <w:r>
              <w:t xml:space="preserve">Platform/login down, data breach, data loss</w:t>
            </w:r>
          </w:p>
        </w:tc>
        <w:tc>
          <w:tcPr>
            <w:tcBorders>
              <w:top w:val="single" w:sz="4" w:color="999999"/>
              <w:left w:val="single" w:sz="4" w:color="999999"/>
              <w:bottom w:val="single" w:sz="4" w:color="999999"/>
              <w:right w:val="single" w:sz="4" w:color="999999"/>
            </w:tcBorders>
          </w:tcPr>
          <w:p>
            <w:r>
              <w:t xml:space="preserve">≤ 1 hour</w:t>
            </w:r>
          </w:p>
        </w:tc>
        <w:tc>
          <w:tcPr>
            <w:tcBorders>
              <w:top w:val="single" w:sz="4" w:color="999999"/>
              <w:left w:val="single" w:sz="4" w:color="999999"/>
              <w:bottom w:val="single" w:sz="4" w:color="999999"/>
              <w:right w:val="single" w:sz="4" w:color="999999"/>
            </w:tcBorders>
          </w:tcPr>
          <w:p>
            <w:r>
              <w:t xml:space="preserve">≤ 4 hours</w:t>
            </w:r>
          </w:p>
        </w:tc>
      </w:tr>
      <w:tr>
        <w:tc>
          <w:tcPr>
            <w:tcBorders>
              <w:top w:val="single" w:sz="4" w:color="999999"/>
              <w:left w:val="single" w:sz="4" w:color="999999"/>
              <w:bottom w:val="single" w:sz="4" w:color="999999"/>
              <w:right w:val="single" w:sz="4" w:color="999999"/>
            </w:tcBorders>
          </w:tcPr>
          <w:p>
            <w:r>
              <w:t xml:space="preserve">S2 — Major</w:t>
            </w:r>
          </w:p>
        </w:tc>
        <w:tc>
          <w:tcPr>
            <w:tcBorders>
              <w:top w:val="single" w:sz="4" w:color="999999"/>
              <w:left w:val="single" w:sz="4" w:color="999999"/>
              <w:bottom w:val="single" w:sz="4" w:color="999999"/>
              <w:right w:val="single" w:sz="4" w:color="999999"/>
            </w:tcBorders>
          </w:tcPr>
          <w:p>
            <w:r>
              <w:t xml:space="preserve">Core function broken, no workaround</w:t>
            </w:r>
          </w:p>
        </w:tc>
        <w:tc>
          <w:tcPr>
            <w:tcBorders>
              <w:top w:val="single" w:sz="4" w:color="999999"/>
              <w:left w:val="single" w:sz="4" w:color="999999"/>
              <w:bottom w:val="single" w:sz="4" w:color="999999"/>
              <w:right w:val="single" w:sz="4" w:color="999999"/>
            </w:tcBorders>
          </w:tcPr>
          <w:p>
            <w:r>
              <w:t xml:space="preserve">≤ 4 hours</w:t>
            </w:r>
          </w:p>
        </w:tc>
        <w:tc>
          <w:tcPr>
            <w:tcBorders>
              <w:top w:val="single" w:sz="4" w:color="999999"/>
              <w:left w:val="single" w:sz="4" w:color="999999"/>
              <w:bottom w:val="single" w:sz="4" w:color="999999"/>
              <w:right w:val="single" w:sz="4" w:color="999999"/>
            </w:tcBorders>
          </w:tcPr>
          <w:p>
            <w:r>
              <w:t xml:space="preserve">≤ 1 business day</w:t>
            </w:r>
          </w:p>
        </w:tc>
      </w:tr>
      <w:tr>
        <w:tc>
          <w:tcPr>
            <w:tcBorders>
              <w:top w:val="single" w:sz="4" w:color="999999"/>
              <w:left w:val="single" w:sz="4" w:color="999999"/>
              <w:bottom w:val="single" w:sz="4" w:color="999999"/>
              <w:right w:val="single" w:sz="4" w:color="999999"/>
            </w:tcBorders>
          </w:tcPr>
          <w:p>
            <w:r>
              <w:t xml:space="preserve">S3 — Minor</w:t>
            </w:r>
          </w:p>
        </w:tc>
        <w:tc>
          <w:tcPr>
            <w:tcBorders>
              <w:top w:val="single" w:sz="4" w:color="999999"/>
              <w:left w:val="single" w:sz="4" w:color="999999"/>
              <w:bottom w:val="single" w:sz="4" w:color="999999"/>
              <w:right w:val="single" w:sz="4" w:color="999999"/>
            </w:tcBorders>
          </w:tcPr>
          <w:p>
            <w:r>
              <w:t xml:space="preserve">Function impaired, workaround exists</w:t>
            </w:r>
          </w:p>
        </w:tc>
        <w:tc>
          <w:tcPr>
            <w:tcBorders>
              <w:top w:val="single" w:sz="4" w:color="999999"/>
              <w:left w:val="single" w:sz="4" w:color="999999"/>
              <w:bottom w:val="single" w:sz="4" w:color="999999"/>
              <w:right w:val="single" w:sz="4" w:color="999999"/>
            </w:tcBorders>
          </w:tcPr>
          <w:p>
            <w:r>
              <w:t xml:space="preserve">≤ 1 business day</w:t>
            </w:r>
          </w:p>
        </w:tc>
        <w:tc>
          <w:tcPr>
            <w:tcBorders>
              <w:top w:val="single" w:sz="4" w:color="999999"/>
              <w:left w:val="single" w:sz="4" w:color="999999"/>
              <w:bottom w:val="single" w:sz="4" w:color="999999"/>
              <w:right w:val="single" w:sz="4" w:color="999999"/>
            </w:tcBorders>
          </w:tcPr>
          <w:p>
            <w:r>
              <w:t xml:space="preserve">≤ 5 business days</w:t>
            </w:r>
          </w:p>
        </w:tc>
      </w:tr>
      <w:tr>
        <w:tc>
          <w:tcPr>
            <w:tcBorders>
              <w:top w:val="single" w:sz="4" w:color="999999"/>
              <w:left w:val="single" w:sz="4" w:color="999999"/>
              <w:bottom w:val="single" w:sz="4" w:color="999999"/>
              <w:right w:val="single" w:sz="4" w:color="999999"/>
            </w:tcBorders>
          </w:tcPr>
          <w:p>
            <w:r>
              <w:t xml:space="preserve">S4 — Low</w:t>
            </w:r>
          </w:p>
        </w:tc>
        <w:tc>
          <w:tcPr>
            <w:tcBorders>
              <w:top w:val="single" w:sz="4" w:color="999999"/>
              <w:left w:val="single" w:sz="4" w:color="999999"/>
              <w:bottom w:val="single" w:sz="4" w:color="999999"/>
              <w:right w:val="single" w:sz="4" w:color="999999"/>
            </w:tcBorders>
          </w:tcPr>
          <w:p>
            <w:r>
              <w:t xml:space="preserve">Cosmetic / query</w:t>
            </w:r>
          </w:p>
        </w:tc>
        <w:tc>
          <w:tcPr>
            <w:tcBorders>
              <w:top w:val="single" w:sz="4" w:color="999999"/>
              <w:left w:val="single" w:sz="4" w:color="999999"/>
              <w:bottom w:val="single" w:sz="4" w:color="999999"/>
              <w:right w:val="single" w:sz="4" w:color="999999"/>
            </w:tcBorders>
          </w:tcPr>
          <w:p>
            <w:r>
              <w:t xml:space="preserve">≤ 2 business days</w:t>
            </w:r>
          </w:p>
        </w:tc>
        <w:tc>
          <w:tcPr>
            <w:tcBorders>
              <w:top w:val="single" w:sz="4" w:color="999999"/>
              <w:left w:val="single" w:sz="4" w:color="999999"/>
              <w:bottom w:val="single" w:sz="4" w:color="999999"/>
              <w:right w:val="single" w:sz="4" w:color="999999"/>
            </w:tcBorders>
          </w:tcPr>
          <w:p>
            <w:r>
              <w:t xml:space="preserve">Next release</w:t>
            </w:r>
          </w:p>
        </w:tc>
      </w:tr>
    </w:tbl>
    <w:p/>
    <w:p>
      <w:pPr>
        <w:ind w:left="360"/>
      </w:pPr>
      <w:r>
        <w:t xml:space="preserve">• Helpdesk in </w:t>
      </w:r>
      <w:r>
        <w:rPr>
          <w:b/>
        </w:rPr>
        <w:t xml:space="preserve">Nepali/English</w:t>
      </w:r>
      <w:r>
        <w:t xml:space="preserve"> during </w:t>
      </w:r>
      <w:r>
        <w:rPr>
          <w:b/>
        </w:rPr>
        <w:t xml:space="preserve">[hours]</w:t>
      </w:r>
      <w:r>
        <w:t xml:space="preserve">; monthly uptime/support report to the Education Unit.</w:t>
      </w:r>
    </w:p>
    <w:p>
      <w:pPr>
        <w:ind w:left="360"/>
      </w:pPr>
      <w:r>
        <w:t xml:space="preserve">• Service credits for uptime/response breaches; persistent S1 breaches constitute material default.</w:t>
      </w:r>
    </w:p>
    <w:p>
      <w:pPr>
        <w:pBdr>
          <w:bottom w:val="single" w:sz="6" w:color="CCCCCC" w:space="1"/>
        </w:pBdr>
      </w:pPr>
    </w:p>
    <w:p>
      <w:pPr>
        <w:pStyle w:val="Heading1"/>
      </w:pPr>
      <w:r>
        <w:t xml:space="preserve">8. Commercial / Pricing</w:t>
      </w:r>
    </w:p>
    <w:p>
      <w:pPr>
        <w:pStyle w:val="Heading2"/>
      </w:pPr>
      <w:r>
        <w:t xml:space="preserve">8.1 Subscription Pricing Model (itemize in Annex F-4)</w:t>
      </w:r>
    </w:p>
    <w:p>
      <w:pPr>
        <w:ind w:left="360"/>
      </w:pPr>
      <w:r>
        <w:t xml:space="preserve">• </w:t>
      </w:r>
      <w:r>
        <w:rPr>
          <w:b/>
        </w:rPr>
        <w:t xml:space="preserve">Per-school per-year</w:t>
      </w:r>
      <w:r>
        <w:t xml:space="preserve"> and/or </w:t>
      </w:r>
      <w:r>
        <w:rPr>
          <w:b/>
        </w:rPr>
        <w:t xml:space="preserve">per-active-student per-year</w:t>
      </w:r>
      <w:r>
        <w:t xml:space="preserve"> subscription (state model clearly).</w:t>
      </w:r>
    </w:p>
    <w:p>
      <w:pPr>
        <w:ind w:left="360"/>
      </w:pPr>
      <w:r>
        <w:t xml:space="preserve">• One-time onboarding/training (if any) listed separately and kept minimal.</w:t>
      </w:r>
    </w:p>
    <w:p>
      <w:pPr>
        <w:ind w:left="360"/>
      </w:pPr>
      <w:r>
        <w:t xml:space="preserve">• All prices in </w:t>
      </w:r>
      <w:r>
        <w:rPr>
          <w:b/>
        </w:rPr>
        <w:t xml:space="preserve">NPR</w:t>
      </w:r>
      <w:r>
        <w:t xml:space="preserve">, </w:t>
      </w:r>
      <w:r>
        <w:rPr>
          <w:b/>
        </w:rPr>
        <w:t xml:space="preserve">inclusive of applicable taxes</w:t>
      </w:r>
      <w:r>
        <w:t xml:space="preserve"> unless directed otherwise.</w:t>
      </w:r>
    </w:p>
    <w:p>
      <w:pPr>
        <w:ind w:left="360"/>
      </w:pPr>
      <w:r>
        <w:t xml:space="preserve">• Provide a </w:t>
      </w:r>
      <w:r>
        <w:rPr>
          <w:b/>
        </w:rPr>
        <w:t xml:space="preserve">multi-year Total Cost</w:t>
      </w:r>
      <w:r>
        <w:t xml:space="preserve"> for the full term and the per-additional-school rate.</w:t>
      </w:r>
    </w:p>
    <w:p>
      <w:pPr>
        <w:pStyle w:val="Heading2"/>
      </w:pPr>
      <w:r>
        <w:t xml:space="preserve">8.2 Payment</w:t>
      </w:r>
    </w:p>
    <w:p>
      <w:pPr>
        <w:ind w:left="360"/>
      </w:pPr>
      <w:r>
        <w:t xml:space="preserve">• Subscription payable </w:t>
      </w:r>
      <w:r>
        <w:rPr>
          <w:b/>
        </w:rPr>
        <w:t xml:space="preserve">[annually in advance / quarterly]</w:t>
      </w:r>
      <w:r>
        <w:t xml:space="preserve"> against valid tax invoice and a satisfactory SLA report </w:t>
      </w:r>
      <w:r>
        <w:rPr>
          <w:b/>
        </w:rPr>
        <w:t xml:space="preserve">[ADAPT]</w:t>
      </w:r>
      <w:r>
        <w:t xml:space="preserve">.</w:t>
      </w:r>
    </w:p>
    <w:p>
      <w:pPr>
        <w:ind w:left="360"/>
      </w:pPr>
      <w:r>
        <w:t xml:space="preserve">• Bid security and (for the awarded vendor) a performance security as per applicable procurement rules </w:t>
      </w:r>
      <w:r>
        <w:rPr>
          <w:b/>
        </w:rPr>
        <w:t xml:space="preserve">[ADAPT]</w:t>
      </w:r>
      <w:r>
        <w:t xml:space="preserve">.</w:t>
      </w:r>
    </w:p>
    <w:p>
      <w:pPr>
        <w:pBdr>
          <w:bottom w:val="single" w:sz="6" w:color="CCCCCC" w:space="1"/>
        </w:pBdr>
      </w:pPr>
    </w:p>
    <w:p>
      <w:pPr>
        <w:pStyle w:val="Heading1"/>
      </w:pPr>
      <w:r>
        <w:t xml:space="preserve">9. Eligibility &amp; Qualification of Bidders</w:t>
      </w:r>
    </w:p>
    <w:p>
      <w:pPr/>
      <w:r>
        <w:t xml:space="preserve">Bidders MUST provide documentary evidence:</w:t>
      </w:r>
    </w:p>
    <w:p>
      <w:pPr>
        <w:ind w:left="360"/>
      </w:pPr>
      <w:r>
        <w:t xml:space="preserve">1. Legal registration, </w:t>
      </w:r>
      <w:r>
        <w:rPr>
          <w:b/>
        </w:rPr>
        <w:t xml:space="preserve">PAN/VAT</w:t>
      </w:r>
      <w:r>
        <w:t xml:space="preserve">, tax clearance (latest FY) </w:t>
      </w:r>
      <w:r>
        <w:rPr>
          <w:b/>
        </w:rPr>
        <w:t xml:space="preserve">[ADAPT]</w:t>
      </w:r>
      <w:r>
        <w:t xml:space="preserve">.</w:t>
      </w:r>
    </w:p>
    <w:p>
      <w:pPr>
        <w:ind w:left="360"/>
      </w:pPr>
      <w:r>
        <w:t xml:space="preserve">2. A </w:t>
      </w:r>
      <w:r>
        <w:rPr>
          <w:b/>
        </w:rPr>
        <w:t xml:space="preserve">live, production ELMS platform</w:t>
      </w:r>
      <w:r>
        <w:t xml:space="preserve"> with at least </w:t>
      </w:r>
      <w:r>
        <w:rPr>
          <w:b/>
        </w:rPr>
        <w:t xml:space="preserve">[2]</w:t>
      </w:r>
      <w:r>
        <w:t xml:space="preserve"> reference deployments (preferably community/government schools), with contactable references and at least one of comparable scale.</w:t>
      </w:r>
    </w:p>
    <w:p>
      <w:pPr>
        <w:ind w:left="360"/>
      </w:pPr>
      <w:r>
        <w:t xml:space="preserve">3. Demonstrated </w:t>
      </w:r>
      <w:r>
        <w:rPr>
          <w:b/>
        </w:rPr>
        <w:t xml:space="preserve">multi-tenant isolation</w:t>
      </w:r>
      <w:r>
        <w:t xml:space="preserve"> and </w:t>
      </w:r>
      <w:r>
        <w:rPr>
          <w:b/>
        </w:rPr>
        <w:t xml:space="preserve">child-data protection</w:t>
      </w:r>
      <w:r>
        <w:t xml:space="preserve"> practices.</w:t>
      </w:r>
    </w:p>
    <w:p>
      <w:pPr>
        <w:ind w:left="360"/>
      </w:pPr>
      <w:r>
        <w:t xml:space="preserve">4. </w:t>
      </w:r>
      <w:r>
        <w:rPr>
          <w:b/>
        </w:rPr>
        <w:t xml:space="preserve">Localization</w:t>
      </w:r>
      <w:r>
        <w:t xml:space="preserve"> (Nepali/BS) and (if fees used) local payment-gateway support.</w:t>
      </w:r>
    </w:p>
    <w:p>
      <w:pPr>
        <w:ind w:left="360"/>
      </w:pPr>
      <w:r>
        <w:t xml:space="preserve">5. In-country support capability / local presence or partner </w:t>
      </w:r>
      <w:r>
        <w:rPr>
          <w:b/>
        </w:rPr>
        <w:t xml:space="preserve">[ADAPT]</w:t>
      </w:r>
      <w:r>
        <w:t xml:space="preserve">.</w:t>
      </w:r>
    </w:p>
    <w:p>
      <w:pPr>
        <w:ind w:left="360"/>
      </w:pPr>
      <w:r>
        <w:t xml:space="preserve">6. Not blacklisted/debarred; integrity declaration.</w:t>
      </w:r>
    </w:p>
    <w:p>
      <w:pPr>
        <w:ind w:left="360"/>
      </w:pPr>
      <w:r>
        <w:t xml:space="preserve">7. </w:t>
      </w:r>
      <w:r>
        <w:rPr>
          <w:b/>
        </w:rPr>
        <w:t xml:space="preserve">Mandatory live demonstration</w:t>
      </w:r>
      <w:r>
        <w:t xml:space="preserve"> and sandbox access for hands-on evaluation, including a cross-tenant isolation demonstration.</w:t>
      </w:r>
    </w:p>
    <w:p>
      <w:pPr>
        <w:pBdr>
          <w:bottom w:val="single" w:sz="6" w:color="CCCCCC" w:space="1"/>
        </w:pBdr>
      </w:pPr>
    </w:p>
    <w:p>
      <w:pPr>
        <w:pStyle w:val="Heading1"/>
      </w:pPr>
      <w:r>
        <w:t xml:space="preserve">10. Proposal Submission</w:t>
      </w:r>
    </w:p>
    <w:p>
      <w:pPr/>
      <w:r>
        <w:t xml:space="preserve">Two-envelope system (or e-GP) </w:t>
      </w:r>
      <w:r>
        <w:rPr>
          <w:b/>
        </w:rPr>
        <w:t xml:space="preserve">[ADAPT]</w:t>
      </w:r>
      <w:r>
        <w:t xml:space="preserve">:</w:t>
      </w:r>
    </w:p>
    <w:p>
      <w:pPr>
        <w:ind w:left="360"/>
      </w:pPr>
      <w:r>
        <w:t xml:space="preserve">• </w:t>
      </w:r>
      <w:r>
        <w:rPr>
          <w:b/>
        </w:rPr>
        <w:t xml:space="preserve">Technical Proposal:</w:t>
      </w:r>
      <w:r>
        <w:t xml:space="preserve"> cover letter, eligibility documents, platform overview, </w:t>
      </w:r>
      <w:r>
        <w:rPr>
          <w:b/>
        </w:rPr>
        <w:t xml:space="preserve">Annex F-2 compliance checklist</w:t>
      </w:r>
      <w:r>
        <w:t xml:space="preserve">, security &amp; data-protection responses (Annex F-3), onboarding/training/support plan, references, and team.</w:t>
      </w:r>
    </w:p>
    <w:p>
      <w:pPr>
        <w:ind w:left="360"/>
      </w:pPr>
      <w:r>
        <w:t xml:space="preserve">• </w:t>
      </w:r>
      <w:r>
        <w:rPr>
          <w:b/>
        </w:rPr>
        <w:t xml:space="preserve">Financial Proposal:</w:t>
      </w:r>
      <w:r>
        <w:t xml:space="preserve"> </w:t>
      </w:r>
      <w:r>
        <w:rPr>
          <w:b/>
        </w:rPr>
        <w:t xml:space="preserve">Annex F-4</w:t>
      </w:r>
      <w:r>
        <w:t xml:space="preserve"> subscription pricing + multi-year total, sealed separately.</w:t>
      </w:r>
    </w:p>
    <w:p>
      <w:pPr>
        <w:pBdr>
          <w:bottom w:val="single" w:sz="6" w:color="CCCCCC" w:space="1"/>
        </w:pBdr>
      </w:pPr>
    </w:p>
    <w:p>
      <w:pPr>
        <w:pStyle w:val="Heading1"/>
      </w:pPr>
      <w:r>
        <w:t xml:space="preserve">11. Evaluation</w:t>
      </w:r>
    </w:p>
    <w:p>
      <w:pPr/>
      <w:r>
        <w:t xml:space="preserve">Quality and Cost Based Selection (QCBS) — </w:t>
      </w:r>
      <w:r>
        <w:rPr>
          <w:b/>
        </w:rPr>
        <w:t xml:space="preserve">Technical 70% : Financial 30%</w:t>
      </w:r>
      <w:r>
        <w:t xml:space="preserve">; minimum technical qualifying score </w:t>
      </w:r>
      <w:r>
        <w:rPr>
          <w:b/>
        </w:rPr>
        <w:t xml:space="preserve">70/100</w:t>
      </w:r>
      <w:r>
        <w:t xml:space="preserve"> </w:t>
      </w:r>
      <w:r>
        <w:rPr>
          <w:b/>
        </w:rPr>
        <w:t xml:space="preserve">[ADAPT — local governments may use lowest-evaluated-cost-meeting-spec for low-value subscriptions]</w:t>
      </w:r>
      <w:r>
        <w:t xml:space="preserve">.</w:t>
      </w:r>
    </w:p>
    <w:p>
      <w:pPr/>
      <w:r>
        <w:rPr>
          <w:b/>
        </w:rPr>
        <w:t xml:space="preserve">Technical scoring (100):</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Borders>
              <w:top w:val="single" w:sz="4" w:color="999999"/>
              <w:left w:val="single" w:sz="4" w:color="999999"/>
              <w:bottom w:val="single" w:sz="4" w:color="999999"/>
              <w:right w:val="single" w:sz="4" w:color="999999"/>
            </w:tcBorders>
            <w:shd w:val="clear" w:fill="F0F0F0"/>
          </w:tcPr>
          <w:p>
            <w:r>
              <w:rPr>
                <w:b/>
              </w:rPr>
              <w:t xml:space="preserve">Criterion</w:t>
            </w:r>
          </w:p>
        </w:tc>
        <w:tc>
          <w:tcPr>
            <w:tcBorders>
              <w:top w:val="single" w:sz="4" w:color="999999"/>
              <w:left w:val="single" w:sz="4" w:color="999999"/>
              <w:bottom w:val="single" w:sz="4" w:color="999999"/>
              <w:right w:val="single" w:sz="4" w:color="999999"/>
            </w:tcBorders>
            <w:shd w:val="clear" w:fill="F0F0F0"/>
          </w:tcPr>
          <w:p>
            <w:r>
              <w:rPr>
                <w:b/>
              </w:rPr>
              <w:t xml:space="preserve">Points</w:t>
            </w:r>
          </w:p>
        </w:tc>
      </w:tr>
      <w:tr>
        <w:tc>
          <w:tcPr>
            <w:tcBorders>
              <w:top w:val="single" w:sz="4" w:color="999999"/>
              <w:left w:val="single" w:sz="4" w:color="999999"/>
              <w:bottom w:val="single" w:sz="4" w:color="999999"/>
              <w:right w:val="single" w:sz="4" w:color="999999"/>
            </w:tcBorders>
          </w:tcPr>
          <w:p>
            <w:r>
              <w:t xml:space="preserve">Functional capability &amp; compliance checklist coverage</w:t>
            </w:r>
          </w:p>
        </w:tc>
        <w:tc>
          <w:tcPr>
            <w:tcBorders>
              <w:top w:val="single" w:sz="4" w:color="999999"/>
              <w:left w:val="single" w:sz="4" w:color="999999"/>
              <w:bottom w:val="single" w:sz="4" w:color="999999"/>
              <w:right w:val="single" w:sz="4" w:color="999999"/>
            </w:tcBorders>
          </w:tcPr>
          <w:p>
            <w:r>
              <w:t xml:space="preserve">22</w:t>
            </w:r>
          </w:p>
        </w:tc>
      </w:tr>
      <w:tr>
        <w:tc>
          <w:tcPr>
            <w:tcBorders>
              <w:top w:val="single" w:sz="4" w:color="999999"/>
              <w:left w:val="single" w:sz="4" w:color="999999"/>
              <w:bottom w:val="single" w:sz="4" w:color="999999"/>
              <w:right w:val="single" w:sz="4" w:color="999999"/>
            </w:tcBorders>
          </w:tcPr>
          <w:p>
            <w:r>
              <w:t xml:space="preserve">Security &amp; child-data protection; tenant isolation</w:t>
            </w:r>
          </w:p>
        </w:tc>
        <w:tc>
          <w:tcPr>
            <w:tcBorders>
              <w:top w:val="single" w:sz="4" w:color="999999"/>
              <w:left w:val="single" w:sz="4" w:color="999999"/>
              <w:bottom w:val="single" w:sz="4" w:color="999999"/>
              <w:right w:val="single" w:sz="4" w:color="999999"/>
            </w:tcBorders>
          </w:tcPr>
          <w:p>
            <w:r>
              <w:t xml:space="preserve">20</w:t>
            </w:r>
          </w:p>
        </w:tc>
      </w:tr>
      <w:tr>
        <w:tc>
          <w:tcPr>
            <w:tcBorders>
              <w:top w:val="single" w:sz="4" w:color="999999"/>
              <w:left w:val="single" w:sz="4" w:color="999999"/>
              <w:bottom w:val="single" w:sz="4" w:color="999999"/>
              <w:right w:val="single" w:sz="4" w:color="999999"/>
            </w:tcBorders>
          </w:tcPr>
          <w:p>
            <w:r>
              <w:t xml:space="preserve">Localization (Nepali/BS), accessibility, low-connectivity fit</w:t>
            </w:r>
          </w:p>
        </w:tc>
        <w:tc>
          <w:tcPr>
            <w:tcBorders>
              <w:top w:val="single" w:sz="4" w:color="999999"/>
              <w:left w:val="single" w:sz="4" w:color="999999"/>
              <w:bottom w:val="single" w:sz="4" w:color="999999"/>
              <w:right w:val="single" w:sz="4" w:color="999999"/>
            </w:tcBorders>
          </w:tcPr>
          <w:p>
            <w:r>
              <w:t xml:space="preserve">14</w:t>
            </w:r>
          </w:p>
        </w:tc>
      </w:tr>
      <w:tr>
        <w:tc>
          <w:tcPr>
            <w:tcBorders>
              <w:top w:val="single" w:sz="4" w:color="999999"/>
              <w:left w:val="single" w:sz="4" w:color="999999"/>
              <w:bottom w:val="single" w:sz="4" w:color="999999"/>
              <w:right w:val="single" w:sz="4" w:color="999999"/>
            </w:tcBorders>
          </w:tcPr>
          <w:p>
            <w:r>
              <w:t xml:space="preserve">Reliability, availability, data residency, support/SLA</w:t>
            </w:r>
          </w:p>
        </w:tc>
        <w:tc>
          <w:tcPr>
            <w:tcBorders>
              <w:top w:val="single" w:sz="4" w:color="999999"/>
              <w:left w:val="single" w:sz="4" w:color="999999"/>
              <w:bottom w:val="single" w:sz="4" w:color="999999"/>
              <w:right w:val="single" w:sz="4" w:color="999999"/>
            </w:tcBorders>
          </w:tcPr>
          <w:p>
            <w:r>
              <w:t xml:space="preserve">12</w:t>
            </w:r>
          </w:p>
        </w:tc>
      </w:tr>
      <w:tr>
        <w:tc>
          <w:tcPr>
            <w:tcBorders>
              <w:top w:val="single" w:sz="4" w:color="999999"/>
              <w:left w:val="single" w:sz="4" w:color="999999"/>
              <w:bottom w:val="single" w:sz="4" w:color="999999"/>
              <w:right w:val="single" w:sz="4" w:color="999999"/>
            </w:tcBorders>
          </w:tcPr>
          <w:p>
            <w:r>
              <w:t xml:space="preserve">Onboarding, data setup &amp; training plan</w:t>
            </w:r>
          </w:p>
        </w:tc>
        <w:tc>
          <w:tcPr>
            <w:tcBorders>
              <w:top w:val="single" w:sz="4" w:color="999999"/>
              <w:left w:val="single" w:sz="4" w:color="999999"/>
              <w:bottom w:val="single" w:sz="4" w:color="999999"/>
              <w:right w:val="single" w:sz="4" w:color="999999"/>
            </w:tcBorders>
          </w:tcPr>
          <w:p>
            <w:r>
              <w:t xml:space="preserve">10</w:t>
            </w:r>
          </w:p>
        </w:tc>
      </w:tr>
      <w:tr>
        <w:tc>
          <w:tcPr>
            <w:tcBorders>
              <w:top w:val="single" w:sz="4" w:color="999999"/>
              <w:left w:val="single" w:sz="4" w:color="999999"/>
              <w:bottom w:val="single" w:sz="4" w:color="999999"/>
              <w:right w:val="single" w:sz="4" w:color="999999"/>
            </w:tcBorders>
          </w:tcPr>
          <w:p>
            <w:r>
              <w:t xml:space="preserve">Reference deployments &amp; past performance</w:t>
            </w:r>
          </w:p>
        </w:tc>
        <w:tc>
          <w:tcPr>
            <w:tcBorders>
              <w:top w:val="single" w:sz="4" w:color="999999"/>
              <w:left w:val="single" w:sz="4" w:color="999999"/>
              <w:bottom w:val="single" w:sz="4" w:color="999999"/>
              <w:right w:val="single" w:sz="4" w:color="999999"/>
            </w:tcBorders>
          </w:tcPr>
          <w:p>
            <w:r>
              <w:t xml:space="preserve">10</w:t>
            </w:r>
          </w:p>
        </w:tc>
      </w:tr>
      <w:tr>
        <w:tc>
          <w:tcPr>
            <w:tcBorders>
              <w:top w:val="single" w:sz="4" w:color="999999"/>
              <w:left w:val="single" w:sz="4" w:color="999999"/>
              <w:bottom w:val="single" w:sz="4" w:color="999999"/>
              <w:right w:val="single" w:sz="4" w:color="999999"/>
            </w:tcBorders>
          </w:tcPr>
          <w:p>
            <w:r>
              <w:t xml:space="preserve">Live demonstration / sandbox evaluation</w:t>
            </w:r>
          </w:p>
        </w:tc>
        <w:tc>
          <w:tcPr>
            <w:tcBorders>
              <w:top w:val="single" w:sz="4" w:color="999999"/>
              <w:left w:val="single" w:sz="4" w:color="999999"/>
              <w:bottom w:val="single" w:sz="4" w:color="999999"/>
              <w:right w:val="single" w:sz="4" w:color="999999"/>
            </w:tcBorders>
          </w:tcPr>
          <w:p>
            <w:r>
              <w:t xml:space="preserve">12</w:t>
            </w:r>
          </w:p>
        </w:tc>
      </w:tr>
    </w:tbl>
    <w:p/>
    <w:p>
      <w:pPr>
        <w:pBdr>
          <w:bottom w:val="single" w:sz="6" w:color="CCCCCC" w:space="1"/>
        </w:pBdr>
      </w:pPr>
    </w:p>
    <w:p>
      <w:pPr>
        <w:pStyle w:val="Heading1"/>
      </w:pPr>
      <w:r>
        <w:t xml:space="preserve">12. Procurement Timeline (indicative)</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Borders>
              <w:top w:val="single" w:sz="4" w:color="999999"/>
              <w:left w:val="single" w:sz="4" w:color="999999"/>
              <w:bottom w:val="single" w:sz="4" w:color="999999"/>
              <w:right w:val="single" w:sz="4" w:color="999999"/>
            </w:tcBorders>
            <w:shd w:val="clear" w:fill="F0F0F0"/>
          </w:tcPr>
          <w:p>
            <w:r>
              <w:rPr>
                <w:b/>
              </w:rPr>
              <w:t xml:space="preserve">Activity</w:t>
            </w:r>
          </w:p>
        </w:tc>
        <w:tc>
          <w:tcPr>
            <w:tcBorders>
              <w:top w:val="single" w:sz="4" w:color="999999"/>
              <w:left w:val="single" w:sz="4" w:color="999999"/>
              <w:bottom w:val="single" w:sz="4" w:color="999999"/>
              <w:right w:val="single" w:sz="4" w:color="999999"/>
            </w:tcBorders>
            <w:shd w:val="clear" w:fill="F0F0F0"/>
          </w:tcPr>
          <w:p>
            <w:r>
              <w:rPr>
                <w:b/>
              </w:rPr>
              <w:t xml:space="preserve">Date</w:t>
            </w:r>
          </w:p>
        </w:tc>
      </w:tr>
      <w:tr>
        <w:tc>
          <w:tcPr>
            <w:tcBorders>
              <w:top w:val="single" w:sz="4" w:color="999999"/>
              <w:left w:val="single" w:sz="4" w:color="999999"/>
              <w:bottom w:val="single" w:sz="4" w:color="999999"/>
              <w:right w:val="single" w:sz="4" w:color="999999"/>
            </w:tcBorders>
          </w:tcPr>
          <w:p>
            <w:r>
              <w:t xml:space="preserve">RFP publication</w:t>
            </w:r>
          </w:p>
        </w:tc>
        <w:tc>
          <w:tcPr>
            <w:tcBorders>
              <w:top w:val="single" w:sz="4" w:color="999999"/>
              <w:left w:val="single" w:sz="4" w:color="999999"/>
              <w:bottom w:val="single" w:sz="4" w:color="999999"/>
              <w:right w:val="single" w:sz="4" w:color="999999"/>
            </w:tcBorders>
          </w:tcPr>
          <w:p>
            <w:r>
              <w:t xml:space="preserve">[ ]</w:t>
            </w:r>
          </w:p>
        </w:tc>
      </w:tr>
      <w:tr>
        <w:tc>
          <w:tcPr>
            <w:tcBorders>
              <w:top w:val="single" w:sz="4" w:color="999999"/>
              <w:left w:val="single" w:sz="4" w:color="999999"/>
              <w:bottom w:val="single" w:sz="4" w:color="999999"/>
              <w:right w:val="single" w:sz="4" w:color="999999"/>
            </w:tcBorders>
          </w:tcPr>
          <w:p>
            <w:r>
              <w:t xml:space="preserve">Pre-bid clarification</w:t>
            </w:r>
          </w:p>
        </w:tc>
        <w:tc>
          <w:tcPr>
            <w:tcBorders>
              <w:top w:val="single" w:sz="4" w:color="999999"/>
              <w:left w:val="single" w:sz="4" w:color="999999"/>
              <w:bottom w:val="single" w:sz="4" w:color="999999"/>
              <w:right w:val="single" w:sz="4" w:color="999999"/>
            </w:tcBorders>
          </w:tcPr>
          <w:p>
            <w:r>
              <w:t xml:space="preserve">[ ]</w:t>
            </w:r>
          </w:p>
        </w:tc>
      </w:tr>
      <w:tr>
        <w:tc>
          <w:tcPr>
            <w:tcBorders>
              <w:top w:val="single" w:sz="4" w:color="999999"/>
              <w:left w:val="single" w:sz="4" w:color="999999"/>
              <w:bottom w:val="single" w:sz="4" w:color="999999"/>
              <w:right w:val="single" w:sz="4" w:color="999999"/>
            </w:tcBorders>
          </w:tcPr>
          <w:p>
            <w:r>
              <w:t xml:space="preserve">Submission deadline</w:t>
            </w:r>
          </w:p>
        </w:tc>
        <w:tc>
          <w:tcPr>
            <w:tcBorders>
              <w:top w:val="single" w:sz="4" w:color="999999"/>
              <w:left w:val="single" w:sz="4" w:color="999999"/>
              <w:bottom w:val="single" w:sz="4" w:color="999999"/>
              <w:right w:val="single" w:sz="4" w:color="999999"/>
            </w:tcBorders>
          </w:tcPr>
          <w:p>
            <w:r>
              <w:t xml:space="preserve">[ ]</w:t>
            </w:r>
          </w:p>
        </w:tc>
      </w:tr>
      <w:tr>
        <w:tc>
          <w:tcPr>
            <w:tcBorders>
              <w:top w:val="single" w:sz="4" w:color="999999"/>
              <w:left w:val="single" w:sz="4" w:color="999999"/>
              <w:bottom w:val="single" w:sz="4" w:color="999999"/>
              <w:right w:val="single" w:sz="4" w:color="999999"/>
            </w:tcBorders>
          </w:tcPr>
          <w:p>
            <w:r>
              <w:t xml:space="preserve">Technical opening &amp; demonstrations</w:t>
            </w:r>
          </w:p>
        </w:tc>
        <w:tc>
          <w:tcPr>
            <w:tcBorders>
              <w:top w:val="single" w:sz="4" w:color="999999"/>
              <w:left w:val="single" w:sz="4" w:color="999999"/>
              <w:bottom w:val="single" w:sz="4" w:color="999999"/>
              <w:right w:val="single" w:sz="4" w:color="999999"/>
            </w:tcBorders>
          </w:tcPr>
          <w:p>
            <w:r>
              <w:t xml:space="preserve">[ ]</w:t>
            </w:r>
          </w:p>
        </w:tc>
      </w:tr>
      <w:tr>
        <w:tc>
          <w:tcPr>
            <w:tcBorders>
              <w:top w:val="single" w:sz="4" w:color="999999"/>
              <w:left w:val="single" w:sz="4" w:color="999999"/>
              <w:bottom w:val="single" w:sz="4" w:color="999999"/>
              <w:right w:val="single" w:sz="4" w:color="999999"/>
            </w:tcBorders>
          </w:tcPr>
          <w:p>
            <w:r>
              <w:t xml:space="preserve">Financial opening (qualified bidders)</w:t>
            </w:r>
          </w:p>
        </w:tc>
        <w:tc>
          <w:tcPr>
            <w:tcBorders>
              <w:top w:val="single" w:sz="4" w:color="999999"/>
              <w:left w:val="single" w:sz="4" w:color="999999"/>
              <w:bottom w:val="single" w:sz="4" w:color="999999"/>
              <w:right w:val="single" w:sz="4" w:color="999999"/>
            </w:tcBorders>
          </w:tcPr>
          <w:p>
            <w:r>
              <w:t xml:space="preserve">[ ]</w:t>
            </w:r>
          </w:p>
        </w:tc>
      </w:tr>
      <w:tr>
        <w:tc>
          <w:tcPr>
            <w:tcBorders>
              <w:top w:val="single" w:sz="4" w:color="999999"/>
              <w:left w:val="single" w:sz="4" w:color="999999"/>
              <w:bottom w:val="single" w:sz="4" w:color="999999"/>
              <w:right w:val="single" w:sz="4" w:color="999999"/>
            </w:tcBorders>
          </w:tcPr>
          <w:p>
            <w:r>
              <w:t xml:space="preserve">Award &amp; agreement</w:t>
            </w:r>
          </w:p>
        </w:tc>
        <w:tc>
          <w:tcPr>
            <w:tcBorders>
              <w:top w:val="single" w:sz="4" w:color="999999"/>
              <w:left w:val="single" w:sz="4" w:color="999999"/>
              <w:bottom w:val="single" w:sz="4" w:color="999999"/>
              <w:right w:val="single" w:sz="4" w:color="999999"/>
            </w:tcBorders>
          </w:tcPr>
          <w:p>
            <w:r>
              <w:t xml:space="preserve">[ ]</w:t>
            </w:r>
          </w:p>
        </w:tc>
      </w:tr>
    </w:tbl>
    <w:p/>
    <w:p>
      <w:pPr>
        <w:pBdr>
          <w:bottom w:val="single" w:sz="6" w:color="CCCCCC" w:space="1"/>
        </w:pBdr>
      </w:pPr>
    </w:p>
    <w:p>
      <w:pPr>
        <w:pStyle w:val="Heading1"/>
      </w:pPr>
      <w:r>
        <w:t xml:space="preserve">13. General Terms</w:t>
      </w:r>
    </w:p>
    <w:p>
      <w:pPr>
        <w:ind w:left="360"/>
      </w:pPr>
      <w:r>
        <w:t xml:space="preserve">• The Local Government may accept/reject any or all proposals and cancel the process per applicable law, without liability.</w:t>
      </w:r>
    </w:p>
    <w:p>
      <w:pPr>
        <w:ind w:left="360"/>
      </w:pPr>
      <w:r>
        <w:t xml:space="preserve">• Conditional/incomplete/non-compliant proposals may be rejected.</w:t>
      </w:r>
    </w:p>
    <w:p>
      <w:pPr>
        <w:ind w:left="360"/>
      </w:pPr>
      <w:r>
        <w:t xml:space="preserve">• Proposal-preparation costs are borne by bidders.</w:t>
      </w:r>
    </w:p>
    <w:p>
      <w:pPr>
        <w:ind w:left="360"/>
      </w:pPr>
      <w:r>
        <w:t xml:space="preserve">• Integrity and conflict-of-interest declarations required.</w:t>
      </w:r>
    </w:p>
    <w:p>
      <w:pPr>
        <w:ind w:left="360"/>
      </w:pPr>
      <w:r>
        <w:t xml:space="preserve">• Clarifications only in writing through the official channel.</w:t>
      </w:r>
    </w:p>
    <w:p>
      <w:pPr>
        <w:pBdr>
          <w:bottom w:val="single" w:sz="6" w:color="CCCCCC" w:space="1"/>
        </w:pBdr>
      </w:pPr>
    </w:p>
    <w:p>
      <w:pPr>
        <w:pStyle w:val="Heading1"/>
      </w:pPr>
      <w:r>
        <w:t xml:space="preserve">Annexes</w:t>
      </w:r>
    </w:p>
    <w:p>
      <w:pPr>
        <w:ind w:left="360"/>
      </w:pPr>
      <w:r>
        <w:t xml:space="preserve">• </w:t>
      </w:r>
      <w:r>
        <w:rPr>
          <w:b/>
        </w:rPr>
        <w:t xml:space="preserve">Annex F-1:</w:t>
      </w:r>
      <w:r>
        <w:t xml:space="preserve"> List of in-scope schools and volumetrics (students/teachers/parents per school).</w:t>
      </w:r>
    </w:p>
    <w:p>
      <w:pPr>
        <w:ind w:left="360"/>
      </w:pPr>
      <w:r>
        <w:t xml:space="preserve">• </w:t>
      </w:r>
      <w:r>
        <w:rPr>
          <w:b/>
        </w:rPr>
        <w:t xml:space="preserve">Annex F-2:</w:t>
      </w:r>
      <w:r>
        <w:t xml:space="preserve"> Functional compliance checklist (Feature | Available Y/N | Module/Version | Notes).</w:t>
      </w:r>
    </w:p>
    <w:p>
      <w:pPr>
        <w:ind w:left="360"/>
      </w:pPr>
      <w:r>
        <w:t xml:space="preserve">• </w:t>
      </w:r>
      <w:r>
        <w:rPr>
          <w:b/>
        </w:rPr>
        <w:t xml:space="preserve">Annex F-3:</w:t>
      </w:r>
      <w:r>
        <w:t xml:space="preserve"> Security &amp; Data-Protection undertaking and questionnaire (children's data).</w:t>
      </w:r>
    </w:p>
    <w:p>
      <w:pPr>
        <w:ind w:left="360"/>
      </w:pPr>
      <w:r>
        <w:t xml:space="preserve">• </w:t>
      </w:r>
      <w:r>
        <w:rPr>
          <w:b/>
        </w:rPr>
        <w:t xml:space="preserve">Annex F-4:</w:t>
      </w:r>
      <w:r>
        <w:t xml:space="preserve"> Subscription pricing template (per-school / per-student / year + multi-year total + per-additional-school rate).</w:t>
      </w:r>
    </w:p>
    <w:p>
      <w:pPr>
        <w:ind w:left="360"/>
      </w:pPr>
      <w:r>
        <w:t xml:space="preserve">• </w:t>
      </w:r>
      <w:r>
        <w:rPr>
          <w:b/>
        </w:rPr>
        <w:t xml:space="preserve">Annex F-5:</w:t>
      </w:r>
      <w:r>
        <w:t xml:space="preserve"> Draft subscription agreement, SLA, and Data Processing terms.</w:t>
      </w:r>
    </w:p>
    <w:p>
      <w:pPr>
        <w:ind w:left="360"/>
      </w:pPr>
      <w:r>
        <w:t xml:space="preserve">• </w:t>
      </w:r>
      <w:r>
        <w:rPr>
          <w:b/>
        </w:rPr>
        <w:t xml:space="preserve">Annex F-6:</w:t>
      </w:r>
      <w:r>
        <w:t xml:space="preserve"> Bid forms (covering letter, eligibility checklist, integrity declaration, references, team).</w:t>
      </w:r>
    </w:p>
    <w:p>
      <w:pPr>
        <w:pBdr>
          <w:bottom w:val="single" w:sz="6" w:color="CCCCCC" w:space="1"/>
        </w:pBdr>
      </w:pPr>
    </w:p>
    <w:p>
      <w:pPr/>
      <w:r>
        <w:t xml:space="preserve">*Prepared by the Technical Officer (Software Procurement) for [Local Government]. Bracketed </w:t>
      </w:r>
      <w:r>
        <w:rPr>
          <w:rFonts w:ascii="Consolas" w:hAnsi="Consolas"/>
          <w:sz w:val="20"/>
        </w:rPr>
        <w:t xml:space="preserve">[ ]</w:t>
      </w:r>
      <w:r>
        <w:t xml:space="preserve"> / </w:t>
      </w:r>
      <w:r>
        <w:rPr>
          <w:rFonts w:ascii="Consolas" w:hAnsi="Consolas"/>
          <w:sz w:val="20"/>
        </w:rPr>
        <w:t xml:space="preserve">[ADAPT]</w:t>
      </w:r>
      <w:r>
        <w:t xml:space="preserve"> items must be finalized and cleared by the procurement and legal sections, consistent with the Public Procurement Act 2063, its Regulations 2064, and the Local Government Operation Act 2074, before publication.*</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20"/>
    </w:pPr>
  </w:style>
  <w:style w:type="paragraph" w:styleId="Title">
    <w:name w:val="Title"/>
    <w:pPr>
      <w:spacing w:before="240" w:after="240"/>
    </w:pPr>
    <w:rPr>
      <w:b/>
      <w:sz w:val="40"/>
      <w:color w:val="1F3864"/>
    </w:rPr>
  </w:style>
  <w:style w:type="paragraph" w:styleId="Heading1">
    <w:name w:val="heading 1"/>
    <w:pPr>
      <w:keepNext/>
      <w:spacing w:before="240" w:after="80"/>
      <w:outlineLvl w:val="0"/>
    </w:pPr>
    <w:rPr>
      <w:b/>
      <w:sz w:val="30"/>
      <w:color w:val="2E74B5"/>
    </w:rPr>
  </w:style>
  <w:style w:type="paragraph" w:styleId="Heading2">
    <w:name w:val="heading 2"/>
    <w:pPr>
      <w:keepNext/>
      <w:spacing w:before="200" w:after="60"/>
      <w:outlineLvl w:val="1"/>
    </w:pPr>
    <w:rPr>
      <w:b/>
      <w:sz w:val="26"/>
      <w:color w:val="2E74B5"/>
    </w:rPr>
  </w:style>
  <w:style w:type="paragraph" w:styleId="Heading3">
    <w:name w:val="heading 3"/>
    <w:pPr>
      <w:keepNext/>
      <w:spacing w:before="160" w:after="40"/>
      <w:outlineLvl w:val="2"/>
    </w:pPr>
    <w:rPr>
      <w:b/>
      <w:sz w:val="24"/>
      <w:color w:val="404040"/>
    </w:rPr>
  </w:style>
  <w:style w:type="paragraph" w:styleId="Heading4">
    <w:name w:val="heading 4"/>
    <w:pPr>
      <w:keepNext/>
      <w:spacing w:before="120" w:after="40"/>
      <w:outlineLvl w:val="3"/>
    </w:pPr>
    <w:rPr>
      <w:b/>
      <w:i/>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