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Annex B — Detailed Functional &amp; Technical Specifications</w:t>
      </w:r>
    </w:p>
    <w:p>
      <w:pPr>
        <w:pStyle w:val="Heading2"/>
      </w:pPr>
      <w:r>
        <w:t xml:space="preserve">(Companion to the Central/Ministry RFP — expands RFP §3–§5)</w:t>
      </w:r>
    </w:p>
    <w:p>
      <w:pPr/>
      <w:r>
        <w:rPr>
          <w:b/>
        </w:rPr>
        <w:t xml:space="preserve">RFP Reference No.:</w:t>
      </w:r>
      <w:r>
        <w:t xml:space="preserve"> _____ /SW-LMS/2082-83</w:t>
      </w:r>
    </w:p>
    <w:p>
      <w:pPr>
        <w:ind w:left="360"/>
      </w:pPr>
      <w:r>
        <w:t xml:space="preserve">Specifications are stated as </w:t>
      </w:r>
      <w:r>
        <w:rPr>
          <w:b/>
        </w:rPr>
        <w:t xml:space="preserve">required capabilities, standards, and architectural qualities</w:t>
      </w:r>
      <w:r>
        <w:t xml:space="preserve"> (outcome-based), not as a mandated product or technology stack, to preserve competition. Where a specific protocol/standard is named it is a minimum interoperability requirement. </w:t>
      </w:r>
      <w:r>
        <w:rPr>
          <w:rFonts w:ascii="Consolas" w:hAnsi="Consolas"/>
          <w:sz w:val="20"/>
        </w:rPr>
        <w:t xml:space="preserve">[ADAPT]</w:t>
      </w:r>
      <w:r>
        <w:t xml:space="preserve"> items are localized by the procuring entity. Bidders map each spec ID in </w:t>
      </w:r>
      <w:r>
        <w:rPr>
          <w:b/>
        </w:rPr>
        <w:t xml:space="preserve">Annex C</w:t>
      </w:r>
      <w:r>
        <w:t xml:space="preserve">.</w:t>
      </w:r>
    </w:p>
    <w:p>
      <w:pPr>
        <w:pBdr>
          <w:bottom w:val="single" w:sz="6" w:color="CCCCCC" w:space="1"/>
        </w:pBdr>
      </w:pPr>
    </w:p>
    <w:p>
      <w:pPr>
        <w:pStyle w:val="Title"/>
      </w:pPr>
      <w:r>
        <w:t xml:space="preserve">Part 1 — Platform &amp; Architecture Specifications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Specification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ARCH-01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Multi-tenant architecture</w:t>
            </w:r>
            <w:r>
              <w:t xml:space="preserve"> with strong logical isolation per school (e.g., schema-per-tenant or equivalently strong row/namespace isolation). One school's data MUST be inaccessible to another at API, database, background-job, and real-time layers.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ARCH-02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Tenant resolution</w:t>
            </w:r>
            <w:r>
              <w:t xml:space="preserve"> by hostname/subdomain in production; administrative provisioning of new tenants by the central administrator.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ARCH-03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API-first</w:t>
            </w:r>
            <w:r>
              <w:t xml:space="preserve"> design; documented REST APIs with a machine-readable </w:t>
            </w:r>
            <w:r>
              <w:rPr>
                <w:b/>
              </w:rPr>
              <w:t xml:space="preserve">OpenAPI/Swagger</w:t>
            </w:r>
            <w:r>
              <w:t xml:space="preserve"> schema; stable versioning.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ARCH-04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Asynchronous processing</w:t>
            </w:r>
            <w:r>
              <w:t xml:space="preserve"> for long-running tasks (bulk imports, report/exam generation, notifications) with a job-status mechanism and a synchronous fallback.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ARCH-05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Real-time channel</w:t>
            </w:r>
            <w:r>
              <w:t xml:space="preserve"> (e.g., WebSocket) for live notifications and streaming features, authenticated and tenant-scoped.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ARCH-06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Relational datastore</w:t>
            </w:r>
            <w:r>
              <w:t xml:space="preserve"> with referential integrity; for AI features, </w:t>
            </w:r>
            <w:r>
              <w:rPr>
                <w:b/>
              </w:rPr>
              <w:t xml:space="preserve">vector/semantic search</w:t>
            </w:r>
            <w:r>
              <w:t xml:space="preserve"> capability (e.g., pgvector-class) over the school's own approved content.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ARCH-07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Web client</w:t>
            </w:r>
            <w:r>
              <w:t xml:space="preserve"> (responsive SPA) + </w:t>
            </w:r>
            <w:r>
              <w:rPr>
                <w:b/>
              </w:rPr>
              <w:t xml:space="preserve">native/cross-platform mobile apps</w:t>
            </w:r>
            <w:r>
              <w:t xml:space="preserve"> (Android, iOS) for students, teachers, parents.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ARCH-08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Environment separation</w:t>
            </w:r>
            <w:r>
              <w:t xml:space="preserve">: production, staging, test, with no production personal data in non-production.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ARCH-09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Horizontal scalability</w:t>
            </w:r>
            <w:r>
              <w:t xml:space="preserve">; stateless app tier where possible; no architectural rework to grow from [N] to [N×] schools.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ARCH-10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Observability</w:t>
            </w:r>
            <w:r>
              <w:t xml:space="preserve">: health/readiness endpoints, metrics, centralized logging, and alerting.</w:t>
            </w:r>
          </w:p>
        </w:tc>
      </w:tr>
    </w:tbl>
    <w:p/>
    <w:p>
      <w:pPr>
        <w:pBdr>
          <w:bottom w:val="single" w:sz="6" w:color="CCCCCC" w:space="1"/>
        </w:pBdr>
      </w:pPr>
    </w:p>
    <w:p>
      <w:pPr>
        <w:pStyle w:val="Title"/>
      </w:pPr>
      <w:r>
        <w:t xml:space="preserve">Part 2 — Detailed Functional Specifications (by domain)</w:t>
      </w:r>
    </w:p>
    <w:p>
      <w:pPr>
        <w:pStyle w:val="Heading1"/>
      </w:pPr>
      <w:r>
        <w:t xml:space="preserve">B.2.1 Identity, Roles &amp; Tenancy</w:t>
      </w:r>
    </w:p>
    <w:p>
      <w:pPr>
        <w:ind w:left="360"/>
      </w:pPr>
      <w:r>
        <w:t xml:space="preserve">• Roles: </w:t>
      </w:r>
      <w:r>
        <w:rPr>
          <w:b/>
        </w:rPr>
        <w:t xml:space="preserve">Central Admin, School Admin, Staff, Teacher, Student, Parent</w:t>
      </w:r>
      <w:r>
        <w:t xml:space="preserve"> (extensible). Per-role, per-object authorization.</w:t>
      </w:r>
    </w:p>
    <w:p>
      <w:pPr>
        <w:ind w:left="360"/>
      </w:pPr>
      <w:r>
        <w:t xml:space="preserve">• User lifecycle: create, </w:t>
      </w:r>
      <w:r>
        <w:rPr>
          <w:b/>
        </w:rPr>
        <w:t xml:space="preserve">bulk import (CSV/template)</w:t>
      </w:r>
      <w:r>
        <w:t xml:space="preserve">, edit, deactivate, password reset/recovery, forced-reset, lockout on repeated failures.</w:t>
      </w:r>
    </w:p>
    <w:p>
      <w:pPr>
        <w:ind w:left="360"/>
      </w:pPr>
      <w:r>
        <w:t xml:space="preserve">• </w:t>
      </w:r>
      <w:r>
        <w:rPr>
          <w:b/>
        </w:rPr>
        <w:t xml:space="preserve">MFA/TOTP</w:t>
      </w:r>
      <w:r>
        <w:t xml:space="preserve"> for administrative roles; session/token expiry, refresh, and revocation on logout.</w:t>
      </w:r>
    </w:p>
    <w:p>
      <w:pPr>
        <w:ind w:left="360"/>
      </w:pPr>
      <w:r>
        <w:t xml:space="preserve">• Parent↔student linkage (a parent may have multiple children; a child multiple guardians).</w:t>
      </w:r>
    </w:p>
    <w:p>
      <w:pPr>
        <w:ind w:left="360"/>
      </w:pPr>
      <w:r>
        <w:t xml:space="preserve">• Audit of identity events (login, lockout, role change, password reset).</w:t>
      </w:r>
    </w:p>
    <w:p>
      <w:pPr>
        <w:pStyle w:val="Heading1"/>
      </w:pPr>
      <w:r>
        <w:t xml:space="preserve">B.2.2 Academic Structure</w:t>
      </w:r>
    </w:p>
    <w:p>
      <w:pPr>
        <w:ind w:left="360"/>
      </w:pPr>
      <w:r>
        <w:t xml:space="preserve">• </w:t>
      </w:r>
      <w:r>
        <w:rPr>
          <w:b/>
        </w:rPr>
        <w:t xml:space="preserve">Academic year</w:t>
      </w:r>
      <w:r>
        <w:t xml:space="preserve"> with </w:t>
      </w:r>
      <w:r>
        <w:rPr>
          <w:b/>
        </w:rPr>
        <w:t xml:space="preserve">Bikram Sambat</w:t>
      </w:r>
      <w:r>
        <w:t xml:space="preserve"> calendar and AD↔BS conversion </w:t>
      </w:r>
      <w:r>
        <w:rPr>
          <w:b/>
        </w:rPr>
        <w:t xml:space="preserve">[ADAPT]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Classes/grades</w:t>
      </w:r>
      <w:r>
        <w:t xml:space="preserve">, </w:t>
      </w:r>
      <w:r>
        <w:rPr>
          <w:b/>
        </w:rPr>
        <w:t xml:space="preserve">sections</w:t>
      </w:r>
      <w:r>
        <w:t xml:space="preserve">, </w:t>
      </w:r>
      <w:r>
        <w:rPr>
          <w:b/>
        </w:rPr>
        <w:t xml:space="preserve">subjects</w:t>
      </w:r>
      <w:r>
        <w:t xml:space="preserve">; subject→teacher and teacher→section assignment.</w:t>
      </w:r>
    </w:p>
    <w:p>
      <w:pPr>
        <w:ind w:left="360"/>
      </w:pPr>
      <w:r>
        <w:t xml:space="preserve">• </w:t>
      </w:r>
      <w:r>
        <w:rPr>
          <w:b/>
        </w:rPr>
        <w:t xml:space="preserve">Chapters → lessons → materials</w:t>
      </w:r>
      <w:r>
        <w:t xml:space="preserve"> (documents, video links, images) with curriculum tags (NEB/local) </w:t>
      </w:r>
      <w:r>
        <w:rPr>
          <w:b/>
        </w:rPr>
        <w:t xml:space="preserve">[ADAPT]</w:t>
      </w:r>
      <w:r>
        <w:t xml:space="preserve">.</w:t>
      </w:r>
    </w:p>
    <w:p>
      <w:pPr>
        <w:ind w:left="360"/>
      </w:pPr>
      <w:r>
        <w:t xml:space="preserve">• Class/section promotion and </w:t>
      </w:r>
      <w:r>
        <w:rPr>
          <w:b/>
        </w:rPr>
        <w:t xml:space="preserve">academic-year rollover</w:t>
      </w:r>
      <w:r>
        <w:t xml:space="preserve"> with carry-forward rules.</w:t>
      </w:r>
    </w:p>
    <w:p>
      <w:pPr>
        <w:pStyle w:val="Heading1"/>
      </w:pPr>
      <w:r>
        <w:t xml:space="preserve">B.2.3 Attendance</w:t>
      </w:r>
    </w:p>
    <w:p>
      <w:pPr>
        <w:ind w:left="360"/>
      </w:pPr>
      <w:r>
        <w:t xml:space="preserve">• Daily and/or per-period/subject attendance; statuses (present/absent/late/leave).</w:t>
      </w:r>
    </w:p>
    <w:p>
      <w:pPr>
        <w:ind w:left="360"/>
      </w:pPr>
      <w:r>
        <w:t xml:space="preserve">• Bulk marking; correction with audit; configurable parent notification on absence.</w:t>
      </w:r>
    </w:p>
    <w:p>
      <w:pPr>
        <w:ind w:left="360"/>
      </w:pPr>
      <w:r>
        <w:t xml:space="preserve">• Analytics: per-student/section/subject attendance %, trends, low-attendance flags.</w:t>
      </w:r>
    </w:p>
    <w:p>
      <w:pPr>
        <w:pStyle w:val="Heading1"/>
      </w:pPr>
      <w:r>
        <w:t xml:space="preserve">B.2.4 Assessment, Examination &amp; Results</w:t>
      </w:r>
    </w:p>
    <w:p>
      <w:pPr>
        <w:ind w:left="360"/>
      </w:pPr>
      <w:r>
        <w:t xml:space="preserve">• Assessment types: quiz, exam, assignment; </w:t>
      </w:r>
      <w:r>
        <w:rPr>
          <w:b/>
        </w:rPr>
        <w:t xml:space="preserve">question bank</w:t>
      </w:r>
      <w:r>
        <w:t xml:space="preserve">; scheduling; total/passing marks; Bloom's-level tagging (optional).</w:t>
      </w:r>
    </w:p>
    <w:p>
      <w:pPr>
        <w:ind w:left="360"/>
      </w:pPr>
      <w:r>
        <w:t xml:space="preserve">• Submissions (text/file) and grading; </w:t>
      </w:r>
      <w:r>
        <w:rPr>
          <w:b/>
        </w:rPr>
        <w:t xml:space="preserve">assisted grading</w:t>
      </w:r>
      <w:r>
        <w:t xml:space="preserve"> (optional AI) with human override.</w:t>
      </w:r>
    </w:p>
    <w:p>
      <w:pPr>
        <w:ind w:left="360"/>
      </w:pPr>
      <w:r>
        <w:t xml:space="preserve">• Marks entry (manual + import); grade computation per configurable scheme </w:t>
      </w:r>
      <w:r>
        <w:rPr>
          <w:b/>
        </w:rPr>
        <w:t xml:space="preserve">[ADAPT national grading]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Result publication workflow</w:t>
      </w:r>
      <w:r>
        <w:t xml:space="preserve"> (draft → review → publish) with audit and rollback; </w:t>
      </w:r>
      <w:r>
        <w:rPr>
          <w:b/>
        </w:rPr>
        <w:t xml:space="preserve">report cards/transcripts</w:t>
      </w:r>
      <w:r>
        <w:t xml:space="preserve"> (printable, BS-dated).</w:t>
      </w:r>
    </w:p>
    <w:p>
      <w:pPr>
        <w:ind w:left="360"/>
      </w:pPr>
      <w:r>
        <w:t xml:space="preserve">• Exam scheduling and </w:t>
      </w:r>
      <w:r>
        <w:rPr>
          <w:b/>
        </w:rPr>
        <w:t xml:space="preserve">exam-seating</w:t>
      </w:r>
      <w:r>
        <w:t xml:space="preserve"> allocation.</w:t>
      </w:r>
    </w:p>
    <w:p>
      <w:pPr>
        <w:pStyle w:val="Heading1"/>
      </w:pPr>
      <w:r>
        <w:t xml:space="preserve">B.2.5 Admissions &amp; Student Records</w:t>
      </w:r>
    </w:p>
    <w:p>
      <w:pPr>
        <w:ind w:left="360"/>
      </w:pPr>
      <w:r>
        <w:t xml:space="preserve">• Admission/enrollment workflow; </w:t>
      </w:r>
      <w:r>
        <w:rPr>
          <w:b/>
        </w:rPr>
        <w:t xml:space="preserve">student profile</w:t>
      </w:r>
      <w:r>
        <w:t xml:space="preserve"> (demographics, guardians, contacts).</w:t>
      </w:r>
    </w:p>
    <w:p>
      <w:pPr>
        <w:ind w:left="360"/>
      </w:pPr>
      <w:r>
        <w:t xml:space="preserve">• </w:t>
      </w:r>
      <w:r>
        <w:rPr>
          <w:b/>
        </w:rPr>
        <w:t xml:space="preserve">Health records</w:t>
      </w:r>
      <w:r>
        <w:t xml:space="preserve">, </w:t>
      </w:r>
      <w:r>
        <w:rPr>
          <w:b/>
        </w:rPr>
        <w:t xml:space="preserve">document records</w:t>
      </w:r>
      <w:r>
        <w:t xml:space="preserve"> (upload with validation), </w:t>
      </w:r>
      <w:r>
        <w:rPr>
          <w:b/>
        </w:rPr>
        <w:t xml:space="preserve">student leave</w:t>
      </w:r>
      <w:r>
        <w:t xml:space="preserve">.</w:t>
      </w:r>
    </w:p>
    <w:p>
      <w:pPr>
        <w:ind w:left="360"/>
      </w:pPr>
      <w:r>
        <w:t xml:space="preserve">• Promotion/transfer; alumni/inactive status.</w:t>
      </w:r>
    </w:p>
    <w:p>
      <w:pPr>
        <w:pStyle w:val="Heading1"/>
      </w:pPr>
      <w:r>
        <w:t xml:space="preserve">B.2.6 Teaching-Learning &amp; AI (Optional Lot 3)</w:t>
      </w:r>
    </w:p>
    <w:p>
      <w:pPr>
        <w:ind w:left="360"/>
      </w:pPr>
      <w:r>
        <w:t xml:space="preserve">• Content delivery and assignment workflows.</w:t>
      </w:r>
    </w:p>
    <w:p>
      <w:pPr>
        <w:ind w:left="360"/>
      </w:pPr>
      <w:r>
        <w:t xml:space="preserve">• </w:t>
      </w:r>
      <w:r>
        <w:rPr>
          <w:b/>
        </w:rPr>
        <w:t xml:space="preserve">Grounded AI tutor</w:t>
      </w:r>
      <w:r>
        <w:t xml:space="preserve">: retrieval over the school's </w:t>
      </w:r>
      <w:r>
        <w:rPr>
          <w:b/>
        </w:rPr>
        <w:t xml:space="preserve">own approved content only</w:t>
      </w:r>
      <w:r>
        <w:t xml:space="preserve"> (semantic search), with source citation; refuses when no relevant content is found.</w:t>
      </w:r>
    </w:p>
    <w:p>
      <w:pPr>
        <w:ind w:left="360"/>
      </w:pPr>
      <w:r>
        <w:t xml:space="preserve">• </w:t>
      </w:r>
      <w:r>
        <w:rPr>
          <w:b/>
        </w:rPr>
        <w:t xml:space="preserve">Learning-path generation</w:t>
      </w:r>
      <w:r>
        <w:t xml:space="preserve"> from weak areas/next lessons; </w:t>
      </w:r>
      <w:r>
        <w:rPr>
          <w:b/>
        </w:rPr>
        <w:t xml:space="preserve">at-risk-student analytics</w:t>
      </w:r>
      <w:r>
        <w:t xml:space="preserve"> (attendance + performance).</w:t>
      </w:r>
    </w:p>
    <w:p>
      <w:pPr>
        <w:ind w:left="360"/>
      </w:pPr>
      <w:r>
        <w:t xml:space="preserve">• </w:t>
      </w:r>
      <w:r>
        <w:rPr>
          <w:b/>
        </w:rPr>
        <w:t xml:space="preserve">Auto-generation</w:t>
      </w:r>
      <w:r>
        <w:t xml:space="preserve">: quizzes, exams, lesson summaries; </w:t>
      </w:r>
      <w:r>
        <w:rPr>
          <w:b/>
        </w:rPr>
        <w:t xml:space="preserve">study planner</w:t>
      </w:r>
      <w:r>
        <w:t xml:space="preserve">; </w:t>
      </w:r>
      <w:r>
        <w:rPr>
          <w:b/>
        </w:rPr>
        <w:t xml:space="preserve">progress reports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AI safety controls (mandatory if Lot 3):</w:t>
      </w:r>
      <w:r>
        <w:t xml:space="preserve"> PII redaction before any external model call; per-request and per-period </w:t>
      </w:r>
      <w:r>
        <w:rPr>
          <w:b/>
        </w:rPr>
        <w:t xml:space="preserve">usage/cost caps</w:t>
      </w:r>
      <w:r>
        <w:t xml:space="preserve">; provider fallback; full </w:t>
      </w:r>
      <w:r>
        <w:rPr>
          <w:b/>
        </w:rPr>
        <w:t xml:space="preserve">interaction logging</w:t>
      </w:r>
      <w:r>
        <w:t xml:space="preserve">; </w:t>
      </w:r>
      <w:r>
        <w:rPr>
          <w:b/>
        </w:rPr>
        <w:t xml:space="preserve">per-school enable/disable</w:t>
      </w:r>
      <w:r>
        <w:t xml:space="preserve">.</w:t>
      </w:r>
    </w:p>
    <w:p>
      <w:pPr>
        <w:pStyle w:val="Heading1"/>
      </w:pPr>
      <w:r>
        <w:t xml:space="preserve">B.2.7 Communication &amp; Engagement</w:t>
      </w:r>
    </w:p>
    <w:p>
      <w:pPr>
        <w:ind w:left="360"/>
      </w:pPr>
      <w:r>
        <w:t xml:space="preserve">• </w:t>
      </w:r>
      <w:r>
        <w:rPr>
          <w:b/>
        </w:rPr>
        <w:t xml:space="preserve">Notices/announcements</w:t>
      </w:r>
      <w:r>
        <w:t xml:space="preserve"> with role/class/section targeting and scheduling.</w:t>
      </w:r>
    </w:p>
    <w:p>
      <w:pPr>
        <w:ind w:left="360"/>
      </w:pPr>
      <w:r>
        <w:t xml:space="preserve">• </w:t>
      </w:r>
      <w:r>
        <w:rPr>
          <w:b/>
        </w:rPr>
        <w:t xml:space="preserve">Secure messaging</w:t>
      </w:r>
      <w:r>
        <w:t xml:space="preserve"> (teacher↔student↔parent), school-scoped, audited; group/section threads.</w:t>
      </w:r>
    </w:p>
    <w:p>
      <w:pPr>
        <w:ind w:left="360"/>
      </w:pPr>
      <w:r>
        <w:t xml:space="preserve">• </w:t>
      </w:r>
      <w:r>
        <w:rPr>
          <w:b/>
        </w:rPr>
        <w:t xml:space="preserve">Notifications</w:t>
      </w:r>
      <w:r>
        <w:t xml:space="preserve">: in-app, </w:t>
      </w:r>
      <w:r>
        <w:rPr>
          <w:b/>
        </w:rPr>
        <w:t xml:space="preserve">email, SMS, mobile push</w:t>
      </w:r>
      <w:r>
        <w:t xml:space="preserve">; delivery/read tracking; per-event templates </w:t>
      </w:r>
      <w:r>
        <w:rPr>
          <w:b/>
        </w:rPr>
        <w:t xml:space="preserve">[ADAPT]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Gamification</w:t>
      </w:r>
      <w:r>
        <w:t xml:space="preserve"> (points, badges, leaderboards) — configurable/optional.</w:t>
      </w:r>
    </w:p>
    <w:p>
      <w:pPr>
        <w:pStyle w:val="Heading1"/>
      </w:pPr>
      <w:r>
        <w:t xml:space="preserve">B.2.8 Finance &amp; Fees</w:t>
      </w:r>
    </w:p>
    <w:p>
      <w:pPr>
        <w:ind w:left="360"/>
      </w:pPr>
      <w:r>
        <w:t xml:space="preserve">• </w:t>
      </w:r>
      <w:r>
        <w:rPr>
          <w:b/>
        </w:rPr>
        <w:t xml:space="preserve">Fee heads/structures</w:t>
      </w:r>
      <w:r>
        <w:t xml:space="preserve">, per-class/section assignment; </w:t>
      </w:r>
      <w:r>
        <w:rPr>
          <w:b/>
        </w:rPr>
        <w:t xml:space="preserve">student fee ledgers</w:t>
      </w:r>
      <w:r>
        <w:t xml:space="preserve">; partial/scheduled payments; </w:t>
      </w:r>
      <w:r>
        <w:rPr>
          <w:b/>
        </w:rPr>
        <w:t xml:space="preserve">discounts</w:t>
      </w:r>
      <w:r>
        <w:t xml:space="preserve">; </w:t>
      </w:r>
      <w:r>
        <w:rPr>
          <w:b/>
        </w:rPr>
        <w:t xml:space="preserve">late-fee</w:t>
      </w:r>
      <w:r>
        <w:t xml:space="preserve"> policy.</w:t>
      </w:r>
    </w:p>
    <w:p>
      <w:pPr>
        <w:ind w:left="360"/>
      </w:pPr>
      <w:r>
        <w:t xml:space="preserve">• </w:t>
      </w:r>
      <w:r>
        <w:rPr>
          <w:b/>
        </w:rPr>
        <w:t xml:space="preserve">Online payments</w:t>
      </w:r>
      <w:r>
        <w:t xml:space="preserve">: </w:t>
      </w:r>
      <w:r>
        <w:rPr>
          <w:b/>
        </w:rPr>
        <w:t xml:space="preserve">eSewa, Khalti, ConnectIPS</w:t>
      </w:r>
      <w:r>
        <w:t xml:space="preserve"> </w:t>
      </w:r>
      <w:r>
        <w:rPr>
          <w:b/>
        </w:rPr>
        <w:t xml:space="preserve">[ADAPT]</w:t>
      </w:r>
      <w:r>
        <w:t xml:space="preserve"> with </w:t>
      </w:r>
      <w:r>
        <w:rPr>
          <w:b/>
        </w:rPr>
        <w:t xml:space="preserve">server-side verification</w:t>
      </w:r>
      <w:r>
        <w:t xml:space="preserve">, </w:t>
      </w:r>
      <w:r>
        <w:rPr>
          <w:b/>
        </w:rPr>
        <w:t xml:space="preserve">idempotent</w:t>
      </w:r>
      <w:r>
        <w:t xml:space="preserve"> reconciliation, and </w:t>
      </w:r>
      <w:r>
        <w:rPr>
          <w:b/>
        </w:rPr>
        <w:t xml:space="preserve">amount validation against the authoritative fee record</w:t>
      </w:r>
      <w:r>
        <w:t xml:space="preserve"> (no trust of client-supplied amounts).</w:t>
      </w:r>
    </w:p>
    <w:p>
      <w:pPr>
        <w:ind w:left="360"/>
      </w:pPr>
      <w:r>
        <w:t xml:space="preserve">• </w:t>
      </w:r>
      <w:r>
        <w:rPr>
          <w:b/>
        </w:rPr>
        <w:t xml:space="preserve">Receipts/invoices</w:t>
      </w:r>
      <w:r>
        <w:t xml:space="preserve">: tax-compliant, </w:t>
      </w:r>
      <w:r>
        <w:rPr>
          <w:b/>
        </w:rPr>
        <w:t xml:space="preserve">IRD/PAN/VAT-aligned, BS-dated</w:t>
      </w:r>
      <w:r>
        <w:t xml:space="preserve"> </w:t>
      </w:r>
      <w:r>
        <w:rPr>
          <w:b/>
        </w:rPr>
        <w:t xml:space="preserve">[ADAPT]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Accounting</w:t>
      </w:r>
      <w:r>
        <w:t xml:space="preserve">: double-entry ledger, chart of accounts, journal entries, fund accounting, TDS, inventory, depreciation; financial reports.</w:t>
      </w:r>
    </w:p>
    <w:p>
      <w:pPr>
        <w:ind w:left="360"/>
      </w:pPr>
      <w:r>
        <w:t xml:space="preserve">• </w:t>
      </w:r>
      <w:r>
        <w:rPr>
          <w:b/>
        </w:rPr>
        <w:t xml:space="preserve">Central subscription/plan</w:t>
      </w:r>
      <w:r>
        <w:t xml:space="preserve"> management and per-tenant entitlements/feature gating.</w:t>
      </w:r>
    </w:p>
    <w:p>
      <w:pPr>
        <w:pStyle w:val="Heading1"/>
      </w:pPr>
      <w:r>
        <w:t xml:space="preserve">B.2.9 HR &amp; Payroll</w:t>
      </w:r>
    </w:p>
    <w:p>
      <w:pPr>
        <w:ind w:left="360"/>
      </w:pPr>
      <w:r>
        <w:t xml:space="preserve">• Staff records, attendance, leave; </w:t>
      </w:r>
      <w:r>
        <w:rPr>
          <w:b/>
        </w:rPr>
        <w:t xml:space="preserve">payroll</w:t>
      </w:r>
      <w:r>
        <w:t xml:space="preserve"> runs with statutory deductions </w:t>
      </w:r>
      <w:r>
        <w:rPr>
          <w:b/>
        </w:rPr>
        <w:t xml:space="preserve">[ADAPT]</w:t>
      </w:r>
      <w:r>
        <w:t xml:space="preserve">; payslips.</w:t>
      </w:r>
    </w:p>
    <w:p>
      <w:pPr>
        <w:pStyle w:val="Heading1"/>
      </w:pPr>
      <w:r>
        <w:t xml:space="preserve">B.2.10 Library, Transport, Hostel, Projects</w:t>
      </w:r>
    </w:p>
    <w:p>
      <w:pPr>
        <w:ind w:left="360"/>
      </w:pPr>
      <w:r>
        <w:t xml:space="preserve">• </w:t>
      </w:r>
      <w:r>
        <w:rPr>
          <w:b/>
        </w:rPr>
        <w:t xml:space="preserve">Library</w:t>
      </w:r>
      <w:r>
        <w:t xml:space="preserve">: catalogue, search, issue/return, members, overdue.</w:t>
      </w:r>
    </w:p>
    <w:p>
      <w:pPr>
        <w:ind w:left="360"/>
      </w:pPr>
      <w:r>
        <w:t xml:space="preserve">• </w:t>
      </w:r>
      <w:r>
        <w:rPr>
          <w:b/>
        </w:rPr>
        <w:t xml:space="preserve">Transport</w:t>
      </w:r>
      <w:r>
        <w:t xml:space="preserve">: routes, vehicles, student-route assignment.</w:t>
      </w:r>
    </w:p>
    <w:p>
      <w:pPr>
        <w:ind w:left="360"/>
      </w:pPr>
      <w:r>
        <w:t xml:space="preserve">• </w:t>
      </w:r>
      <w:r>
        <w:rPr>
          <w:b/>
        </w:rPr>
        <w:t xml:space="preserve">Hostel</w:t>
      </w:r>
      <w:r>
        <w:t xml:space="preserve">: blocks/rooms, allocation, records.</w:t>
      </w:r>
    </w:p>
    <w:p>
      <w:pPr>
        <w:ind w:left="360"/>
      </w:pPr>
      <w:r>
        <w:t xml:space="preserve">• </w:t>
      </w:r>
      <w:r>
        <w:rPr>
          <w:b/>
        </w:rPr>
        <w:t xml:space="preserve">Projects</w:t>
      </w:r>
      <w:r>
        <w:t xml:space="preserve">: group/individual tracking, tasks, submissions, </w:t>
      </w:r>
      <w:r>
        <w:rPr>
          <w:b/>
        </w:rPr>
        <w:t xml:space="preserve">rubric-based</w:t>
      </w:r>
      <w:r>
        <w:t xml:space="preserve"> evaluation (feature-gated per school).</w:t>
      </w:r>
    </w:p>
    <w:p>
      <w:pPr>
        <w:pStyle w:val="Heading1"/>
      </w:pPr>
      <w:r>
        <w:t xml:space="preserve">B.2.11 Reporting, Dashboards &amp; Oversight</w:t>
      </w:r>
    </w:p>
    <w:p>
      <w:pPr>
        <w:ind w:left="360"/>
      </w:pPr>
      <w:r>
        <w:t xml:space="preserve">• Role dashboards (student/teacher/parent/school-admin) and </w:t>
      </w:r>
      <w:r>
        <w:rPr>
          <w:b/>
        </w:rPr>
        <w:t xml:space="preserve">central/district aggregation</w:t>
      </w:r>
      <w:r>
        <w:t xml:space="preserve"> that does </w:t>
      </w:r>
      <w:r>
        <w:rPr>
          <w:b/>
        </w:rPr>
        <w:t xml:space="preserve">not</w:t>
      </w:r>
      <w:r>
        <w:t xml:space="preserve"> expose individual children's PII to unauthorized roles.</w:t>
      </w:r>
    </w:p>
    <w:p>
      <w:pPr>
        <w:ind w:left="360"/>
      </w:pPr>
      <w:r>
        <w:t xml:space="preserve">• Exports: </w:t>
      </w:r>
      <w:r>
        <w:rPr>
          <w:b/>
        </w:rPr>
        <w:t xml:space="preserve">PDF/Excel/CSV</w:t>
      </w:r>
      <w:r>
        <w:t xml:space="preserve">; scheduled report generation.</w:t>
      </w:r>
    </w:p>
    <w:p>
      <w:pPr>
        <w:ind w:left="360"/>
      </w:pPr>
      <w:r>
        <w:t xml:space="preserve">• </w:t>
      </w:r>
      <w:r>
        <w:rPr>
          <w:b/>
        </w:rPr>
        <w:t xml:space="preserve">IEMIS export</w:t>
      </w:r>
      <w:r>
        <w:t xml:space="preserve"> in the prescribed format/fields </w:t>
      </w:r>
      <w:r>
        <w:rPr>
          <w:b/>
        </w:rPr>
        <w:t xml:space="preserve">[ADAPT]</w:t>
      </w:r>
      <w:r>
        <w:t xml:space="preserve"> (see Part 6).</w:t>
      </w:r>
    </w:p>
    <w:p>
      <w:pPr>
        <w:pBdr>
          <w:bottom w:val="single" w:sz="6" w:color="CCCCCC" w:space="1"/>
        </w:pBdr>
      </w:pPr>
    </w:p>
    <w:p>
      <w:pPr>
        <w:pStyle w:val="Title"/>
      </w:pPr>
      <w:r>
        <w:t xml:space="preserve">Part 3 — Integration Specifications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Specification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INT-01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Payment gateways</w:t>
            </w:r>
            <w:r>
              <w:t xml:space="preserve"> (eSewa/Khalti/ConnectIPS): initiate + verify via server-to-server callback; idempotent; signed/verified.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INT-02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SMS gateway</w:t>
            </w:r>
            <w:r>
              <w:t xml:space="preserve"> </w:t>
            </w:r>
            <w:r>
              <w:rPr>
                <w:b/>
              </w:rPr>
              <w:t xml:space="preserve">[ADAPT approved provider]</w:t>
            </w:r>
            <w:r>
              <w:t xml:space="preserve">: templated, delivery status.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INT-03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Email</w:t>
            </w:r>
            <w:r>
              <w:t xml:space="preserve"> (transactional): templated, bounce handling.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INT-04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Mobile push</w:t>
            </w:r>
            <w:r>
              <w:t xml:space="preserve"> (Android/iOS).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INT-05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IEMIS / national EMIS</w:t>
            </w:r>
            <w:r>
              <w:t xml:space="preserve"> export/sync in prescribed schema </w:t>
            </w:r>
            <w:r>
              <w:rPr>
                <w:b/>
              </w:rPr>
              <w:t xml:space="preserve">[ADAPT]</w:t>
            </w:r>
            <w:r>
              <w:t xml:space="preserve">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INT-06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Open APIs</w:t>
            </w:r>
            <w:r>
              <w:t xml:space="preserve"> for authorized third-party/government integration; rate-limited and authenticated.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INT-07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(Optional) attendance/biometric device or national-ID integration — state capability.</w:t>
            </w:r>
          </w:p>
        </w:tc>
      </w:tr>
    </w:tbl>
    <w:p/>
    <w:p>
      <w:pPr>
        <w:pBdr>
          <w:bottom w:val="single" w:sz="6" w:color="CCCCCC" w:space="1"/>
        </w:pBdr>
      </w:pPr>
    </w:p>
    <w:p>
      <w:pPr>
        <w:pStyle w:val="Title"/>
      </w:pPr>
      <w:r>
        <w:t xml:space="preserve">Part 4 — Non-Functional Specifications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Specification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Target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NFR-01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Browser support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Current + prior major Chrome/Edge/Firefox/Safari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NFR-02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API latency (non-AI standard transactions)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p95 ≤ 800 ms </w:t>
            </w:r>
            <w:r>
              <w:rPr>
                <w:b/>
              </w:rPr>
              <w:t xml:space="preserve">[ADAPT baseline]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NFR-03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Concurrent users at peak (e.g., result publication)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≥ [X] with no functional degradation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NFR-04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Availability (production, monthly)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≥ 99.5%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NFR-05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Backup &amp; recovery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Daily backups; RPO ≤ 24h; RTO ≤ 4h; geo-separate copy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NFR-06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Localization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Nepali (Devanagari/Unicode) + English; BS calendar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NFR-07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Accessibility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WCAG 2.1 AA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NFR-08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Low-connectivity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Graceful degradation; lightweight payloads; offline/queued attendance (desirable)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NFR-09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Data residency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Personal data within [Nepal / Government Cloud] </w:t>
            </w:r>
            <w:r>
              <w:rPr>
                <w:b/>
              </w:rPr>
              <w:t xml:space="preserve">[ADAPT]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NFR-10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Scalability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Onboard [N]→[N×] schools without re-architecture</w:t>
            </w:r>
          </w:p>
        </w:tc>
      </w:tr>
    </w:tbl>
    <w:p/>
    <w:p>
      <w:pPr>
        <w:pBdr>
          <w:bottom w:val="single" w:sz="6" w:color="CCCCCC" w:space="1"/>
        </w:pBdr>
      </w:pPr>
    </w:p>
    <w:p>
      <w:pPr>
        <w:pStyle w:val="Title"/>
      </w:pPr>
      <w:r>
        <w:t xml:space="preserve">Part 5 — Security Control Specifications (detailed; expands RFP §5)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Control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SEC-01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TLS 1.2+ in transit; encryption at rest for DB, backups, file storage; documented key management/rotation.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SEC-02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Tenant isolation</w:t>
            </w:r>
            <w:r>
              <w:t xml:space="preserve"> enforced at API, query, async-job, and real-time layers; cross-tenant access tests demonstrable at UAT.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SEC-03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Credentials stored as salted hashes; </w:t>
            </w:r>
            <w:r>
              <w:rPr>
                <w:b/>
              </w:rPr>
              <w:t xml:space="preserve">MFA</w:t>
            </w:r>
            <w:r>
              <w:t xml:space="preserve"> for admins; brute-force lockout; secure session/token handling.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SEC-04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Role/function/</w:t>
            </w:r>
            <w:r>
              <w:rPr>
                <w:b/>
              </w:rPr>
              <w:t xml:space="preserve">object-level</w:t>
            </w:r>
            <w:r>
              <w:t xml:space="preserve"> authorization; </w:t>
            </w:r>
            <w:r>
              <w:rPr>
                <w:b/>
              </w:rPr>
              <w:t xml:space="preserve">no unauthenticated access to personal data</w:t>
            </w:r>
            <w:r>
              <w:t xml:space="preserve">; least privilege.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SEC-05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Rate limiting/throttling</w:t>
            </w:r>
            <w:r>
              <w:t xml:space="preserve"> on public and authentication endpoints.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SEC-06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Payment-callback verification</w:t>
            </w:r>
            <w:r>
              <w:t xml:space="preserve"> server-side; idempotent recording; amount validated against fee record.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SEC-07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Immutable, exportable audit logs</w:t>
            </w:r>
            <w:r>
              <w:t xml:space="preserve"> for sensitive actions (auth, data changes, result publication, financial txns, password resets).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SEC-08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PII minimization</w:t>
            </w:r>
            <w:r>
              <w:t xml:space="preserve"> in logs and any third-party/AI processing; redaction before external model calls.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SEC-09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Secure </w:t>
            </w:r>
            <w:r>
              <w:rPr>
                <w:b/>
              </w:rPr>
              <w:t xml:space="preserve">file-upload validation</w:t>
            </w:r>
            <w:r>
              <w:t xml:space="preserve"> (type/size/scan).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SEC-10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Secret management; no credentials in source; dependency &amp; vulnerability management.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SEC-11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Data-subject rights (access/correction/deletion) honoring tenant boundaries; retention &amp; secure disposal policy.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SEC-12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Incident response &amp; </w:t>
            </w:r>
            <w:r>
              <w:rPr>
                <w:b/>
              </w:rPr>
              <w:t xml:space="preserve">breach notification within [24–72]h</w:t>
            </w:r>
            <w:r>
              <w:t xml:space="preserve">; DPA, escrow, and independent security testing (RFP §5.3).</w:t>
            </w:r>
          </w:p>
        </w:tc>
      </w:tr>
    </w:tbl>
    <w:p/>
    <w:p>
      <w:pPr>
        <w:pBdr>
          <w:bottom w:val="single" w:sz="6" w:color="CCCCCC" w:space="1"/>
        </w:pBdr>
      </w:pPr>
    </w:p>
    <w:p>
      <w:pPr>
        <w:pStyle w:val="Title"/>
      </w:pPr>
      <w:r>
        <w:t xml:space="preserve">Part 6 — Data Model &amp; Interoperability (indicative)</w:t>
      </w:r>
    </w:p>
    <w:p>
      <w:pPr>
        <w:ind w:left="360"/>
      </w:pPr>
      <w:r>
        <w:t xml:space="preserve">• </w:t>
      </w:r>
      <w:r>
        <w:rPr>
          <w:b/>
        </w:rPr>
        <w:t xml:space="preserve">Core entities:</w:t>
      </w:r>
      <w:r>
        <w:t xml:space="preserve"> Tenant/School, AcademicYear, Class, Section, Subject, Chapter, Lesson, Material, Assessment, Question, Submission, Result, Attendance, Student, Teacher, Parent, Staff, Notice, Message, Notification, FeeStructure, StudentFee, Payment, LedgerAccount, JournalEntry, LibraryBook, Project, and AI artifacts (ContentChunk/embedding, InteractionLog).</w:t>
      </w:r>
    </w:p>
    <w:p>
      <w:pPr>
        <w:ind w:left="360"/>
      </w:pPr>
      <w:r>
        <w:t xml:space="preserve">• </w:t>
      </w:r>
      <w:r>
        <w:rPr>
          <w:b/>
        </w:rPr>
        <w:t xml:space="preserve">Keys:</w:t>
      </w:r>
      <w:r>
        <w:t xml:space="preserve"> stable unique identifiers (UUID recommended) for cross-system reference; </w:t>
      </w:r>
      <w:r>
        <w:rPr>
          <w:b/>
        </w:rPr>
        <w:t xml:space="preserve">IEMIS school code</w:t>
      </w:r>
      <w:r>
        <w:t xml:space="preserve"> carried on the tenant </w:t>
      </w:r>
      <w:r>
        <w:rPr>
          <w:b/>
        </w:rPr>
        <w:t xml:space="preserve">[ADAPT]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IEMIS export (indicative fields):</w:t>
      </w:r>
      <w:r>
        <w:t xml:space="preserve"> school code, class, section, student count by grade/gender, teacher count, attendance summary, results summary — in the prescribed national format </w:t>
      </w:r>
      <w:r>
        <w:rPr>
          <w:b/>
        </w:rPr>
        <w:t xml:space="preserve">[ADAPT]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Open formats</w:t>
      </w:r>
      <w:r>
        <w:t xml:space="preserve"> for all exports (CSV/JSON/SQL) to guarantee portability and exit (RFP §10.3).</w:t>
      </w:r>
    </w:p>
    <w:p>
      <w:pPr>
        <w:pBdr>
          <w:bottom w:val="single" w:sz="6" w:color="CCCCCC" w:space="1"/>
        </w:pBdr>
      </w:pPr>
    </w:p>
    <w:p>
      <w:pPr/>
      <w:r>
        <w:t xml:space="preserve">*Bidders must respond to every spec ID in the Annex C compliance matrix. </w:t>
      </w:r>
      <w:r>
        <w:rPr>
          <w:rFonts w:ascii="Consolas" w:hAnsi="Consolas"/>
          <w:sz w:val="20"/>
        </w:rPr>
        <w:t xml:space="preserve">[ ]</w:t>
      </w:r>
      <w:r>
        <w:t xml:space="preserve">/</w:t>
      </w:r>
      <w:r>
        <w:rPr>
          <w:rFonts w:ascii="Consolas" w:hAnsi="Consolas"/>
          <w:sz w:val="20"/>
        </w:rPr>
        <w:t xml:space="preserve">[ADAPT]</w:t>
      </w:r>
      <w:r>
        <w:t xml:space="preserve"> values are finalized by the procuring entity prior to publication.*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/>
    </w:pPr>
  </w:style>
  <w:style w:type="paragraph" w:styleId="Title">
    <w:name w:val="Title"/>
    <w:pPr>
      <w:spacing w:before="240" w:after="240"/>
    </w:pPr>
    <w:rPr>
      <w:b/>
      <w:sz w:val="40"/>
      <w:color w:val="1F3864"/>
    </w:rPr>
  </w:style>
  <w:style w:type="paragraph" w:styleId="Heading1">
    <w:name w:val="heading 1"/>
    <w:pPr>
      <w:keepNext/>
      <w:spacing w:before="240" w:after="80"/>
      <w:outlineLvl w:val="0"/>
    </w:pPr>
    <w:rPr>
      <w:b/>
      <w:sz w:val="30"/>
      <w:color w:val="2E74B5"/>
    </w:rPr>
  </w:style>
  <w:style w:type="paragraph" w:styleId="Heading2">
    <w:name w:val="heading 2"/>
    <w:pPr>
      <w:keepNext/>
      <w:spacing w:before="200" w:after="60"/>
      <w:outlineLvl w:val="1"/>
    </w:pPr>
    <w:rPr>
      <w:b/>
      <w:sz w:val="26"/>
      <w:color w:val="2E74B5"/>
    </w:rPr>
  </w:style>
  <w:style w:type="paragraph" w:styleId="Heading3">
    <w:name w:val="heading 3"/>
    <w:pPr>
      <w:keepNext/>
      <w:spacing w:before="160" w:after="40"/>
      <w:outlineLvl w:val="2"/>
    </w:pPr>
    <w:rPr>
      <w:b/>
      <w:sz w:val="24"/>
      <w:color w:val="404040"/>
    </w:rPr>
  </w:style>
  <w:style w:type="paragraph" w:styleId="Heading4">
    <w:name w:val="heading 4"/>
    <w:pPr>
      <w:keepNext/>
      <w:spacing w:before="120" w:after="40"/>
      <w:outlineLvl w:val="3"/>
    </w:pPr>
    <w:rPr>
      <w:b/>
      <w:i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