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Annex F — Schools, Rollout Cohorts &amp; Indicative Volumetrics</w:t>
      </w:r>
    </w:p>
    <w:p>
      <w:pPr>
        <w:pStyle w:val="Heading2"/>
      </w:pPr>
      <w:r>
        <w:t xml:space="preserve">(Companion to the Central/Ministry RFP)</w:t>
      </w:r>
    </w:p>
    <w:p>
      <w:pPr/>
      <w:r>
        <w:rPr>
          <w:b/>
        </w:rPr>
        <w:t xml:space="preserve">RFP Reference No.:</w:t>
      </w:r>
      <w:r>
        <w:t xml:space="preserve"> _____ /SW-LMS/2082-83</w:t>
      </w:r>
    </w:p>
    <w:p>
      <w:pPr/>
      <w:r>
        <w:rPr>
          <w:b/>
        </w:rPr>
        <w:t xml:space="preserve">Procuring Entity:</w:t>
      </w:r>
      <w:r>
        <w:t xml:space="preserve"> [Ministry / CEHRD / Authority]</w:t>
      </w:r>
    </w:p>
    <w:p>
      <w:pPr>
        <w:pStyle w:val="Heading1"/>
      </w:pPr>
      <w:r>
        <w:t xml:space="preserve">Purpose</w:t>
      </w:r>
    </w:p>
    <w:p>
      <w:pPr/>
      <w:r>
        <w:t xml:space="preserve">Provides the scale and phasing against which bidders size, price (Annex D), and plan the rollout. The procuring entity completes the figures before publication; bidders price strictly against the published volumetrics. A </w:t>
      </w:r>
      <w:r>
        <w:rPr>
          <w:b/>
        </w:rPr>
        <w:t xml:space="preserve">per-additional-school / per-additional-user</w:t>
      </w:r>
      <w:r>
        <w:t xml:space="preserve"> rate (Annex D §4.1) governs variations.</w:t>
      </w:r>
    </w:p>
    <w:p>
      <w:pPr>
        <w:pStyle w:val="Heading1"/>
      </w:pPr>
      <w:r>
        <w:t xml:space="preserve">F.1 National Summary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Count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schools in scope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[N]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Provinces covered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Districts covered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Local governments covered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Basic-level schools (1–8)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Secondary-level schools (9–12)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students (estimate)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[X]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teachers/staff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[Y]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Total parents/guardians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[Z]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Peak concurrent users (e.g., result publication)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Schools needing finance/fee module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Schools in low-connectivity areas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 ]</w:t>
            </w:r>
          </w:p>
        </w:tc>
      </w:tr>
    </w:tbl>
    <w:p/>
    <w:p>
      <w:pPr>
        <w:pStyle w:val="Heading1"/>
      </w:pPr>
      <w:r>
        <w:t xml:space="preserve">F.2 Volumetrics by Province / District (template)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Province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District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Local Govts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Schools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Students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Teachers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Low-Connectivity Schools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[X]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[Y]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F.3 Rollout Cohorts (phased)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Description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Schools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Students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Target Window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Pilot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Representative mix (urban/rural, basic/secondary)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[5–10]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14–20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UAT, security &amp; load test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Batch 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[Province/District]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20–28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Batch 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[Province/District]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28–36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Batch 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Remaining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Weeks 36–40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Total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[N]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b/>
              </w:rPr>
              <w:t xml:space="preserve">[X]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F.4 School Onboarding Register (template — attach full list)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School Name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IEMIS Code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Province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District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Local Govt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Level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Students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Teachers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Internet (Good/Limited/None)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fill="F0F0F0"/>
          </w:tcPr>
          <w:p>
            <w:r>
              <w:rPr>
                <w:b/>
              </w:rPr>
              <w:t xml:space="preserve">Finance Module (Y/N)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 xml:space="preserve">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/>
            </w:r>
          </w:p>
        </w:tc>
      </w:tr>
    </w:tbl>
    <w:p/>
    <w:p>
      <w:pPr>
        <w:pStyle w:val="Heading1"/>
      </w:pPr>
      <w:r>
        <w:t xml:space="preserve">F.5 Capacity &amp; Sizing Notes for Bidders</w:t>
      </w:r>
    </w:p>
    <w:p>
      <w:pPr>
        <w:ind w:left="360"/>
      </w:pPr>
      <w:r>
        <w:t xml:space="preserve">• Size for </w:t>
      </w:r>
      <w:r>
        <w:rPr>
          <w:b/>
        </w:rPr>
        <w:t xml:space="preserve">peak</w:t>
      </w:r>
      <w:r>
        <w:t xml:space="preserve"> load (result publication, exam windows, term start), not average.</w:t>
      </w:r>
    </w:p>
    <w:p>
      <w:pPr>
        <w:ind w:left="360"/>
      </w:pPr>
      <w:r>
        <w:t xml:space="preserve">• Account for </w:t>
      </w:r>
      <w:r>
        <w:rPr>
          <w:b/>
        </w:rPr>
        <w:t xml:space="preserve">multi-tenant noisy-neighbor</w:t>
      </w:r>
      <w:r>
        <w:t xml:space="preserve"> isolation across [N] schools.</w:t>
      </w:r>
    </w:p>
    <w:p>
      <w:pPr>
        <w:ind w:left="360"/>
      </w:pPr>
      <w:r>
        <w:t xml:space="preserve">• State assumptions (avg users/school, content volume/school, storage/student) used for sizing in the Technical Proposal.</w:t>
      </w:r>
    </w:p>
    <w:p>
      <w:pPr>
        <w:ind w:left="360"/>
      </w:pPr>
      <w:r>
        <w:t xml:space="preserve">• Connectivity profile (F.2 last column) informs the low-connectivity approach (RFP §4.3).</w:t>
      </w:r>
    </w:p>
    <w:p>
      <w:pPr>
        <w:pBdr>
          <w:bottom w:val="single" w:sz="6" w:color="CCCCCC" w:space="1"/>
        </w:pBdr>
      </w:pPr>
    </w:p>
    <w:p>
      <w:pPr/>
      <w:r>
        <w:t xml:space="preserve">*Figures are indicative and confirmed before contract; the contract's per-additional-school/user rates (Annex D) accommodate variation. School-level data containing personal information must be handled per the DPA (Annex E, Part 3).*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/>
    </w:pPr>
  </w:style>
  <w:style w:type="paragraph" w:styleId="Title">
    <w:name w:val="Title"/>
    <w:pPr>
      <w:spacing w:before="240" w:after="240"/>
    </w:pPr>
    <w:rPr>
      <w:b/>
      <w:sz w:val="40"/>
      <w:color w:val="1F3864"/>
    </w:rPr>
  </w:style>
  <w:style w:type="paragraph" w:styleId="Heading1">
    <w:name w:val="heading 1"/>
    <w:pPr>
      <w:keepNext/>
      <w:spacing w:before="240" w:after="80"/>
      <w:outlineLvl w:val="0"/>
    </w:pPr>
    <w:rPr>
      <w:b/>
      <w:sz w:val="30"/>
      <w:color w:val="2E74B5"/>
    </w:rPr>
  </w:style>
  <w:style w:type="paragraph" w:styleId="Heading2">
    <w:name w:val="heading 2"/>
    <w:pPr>
      <w:keepNext/>
      <w:spacing w:before="200" w:after="60"/>
      <w:outlineLvl w:val="1"/>
    </w:pPr>
    <w:rPr>
      <w:b/>
      <w:sz w:val="26"/>
      <w:color w:val="2E74B5"/>
    </w:rPr>
  </w:style>
  <w:style w:type="paragraph" w:styleId="Heading3">
    <w:name w:val="heading 3"/>
    <w:pPr>
      <w:keepNext/>
      <w:spacing w:before="160" w:after="40"/>
      <w:outlineLvl w:val="2"/>
    </w:pPr>
    <w:rPr>
      <w:b/>
      <w:sz w:val="24"/>
      <w:color w:val="404040"/>
    </w:rPr>
  </w:style>
  <w:style w:type="paragraph" w:styleId="Heading4">
    <w:name w:val="heading 4"/>
    <w:pPr>
      <w:keepNext/>
      <w:spacing w:before="120" w:after="40"/>
      <w:outlineLvl w:val="3"/>
    </w:pPr>
    <w:rPr>
      <w:b/>
      <w:i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