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9D6B8">
      <w:pPr>
        <w:pStyle w:val="2"/>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INFORME TÉCNICO FINAL: IMPLEMENTACIÓN AVANZADA Y MONITOREO — PROYECTO MASTERNET (FASE 2 / ACTIVIDAD 16)</w:t>
      </w:r>
    </w:p>
    <w:p w14:paraId="06213033">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Introducción</w:t>
      </w:r>
    </w:p>
    <w:p w14:paraId="7B33FDA0">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En esta fase final del proyecto tecnológico </w:t>
      </w:r>
      <w:r>
        <w:rPr>
          <w:rFonts w:hint="default" w:ascii="Times New Roman" w:hAnsi="Times New Roman" w:eastAsia="sans-serif" w:cs="Times New Roman"/>
          <w:b/>
          <w:bCs/>
          <w:sz w:val="22"/>
          <w:szCs w:val="22"/>
        </w:rPr>
        <w:t>"MasterNet"</w:t>
      </w:r>
      <w:r>
        <w:rPr>
          <w:rFonts w:hint="default" w:ascii="Times New Roman" w:hAnsi="Times New Roman" w:eastAsia="sans-serif" w:cs="Times New Roman"/>
          <w:sz w:val="22"/>
          <w:szCs w:val="22"/>
        </w:rPr>
        <w:t>, se diseñan y despliegan las soluciones avanzadas de seguridad perimetral, monitoreo centralizado y administración de contingencias para la infraestructura de red de la nueva sucursal empresarial.</w:t>
      </w:r>
    </w:p>
    <w:p w14:paraId="432EB2AC">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A partir del diseño lógico de la Fase 1, este documento establece las pautas de ingeniería requeridas para mitigar los riesgos operativos, blindar el perímetro contra intrusiones externas, interconectar de forma segura las sedes corporativas mediante canales cifrados y estructurar políticas estrictas de copias de seguridad (backups) y supervisión proactiva en tiempo real, garantizando la continuidad del negocio y la alta disponibilidad de los servicios tecnológicos.</w:t>
      </w:r>
    </w:p>
    <w:p w14:paraId="172D1E8E">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Objetivos</w:t>
      </w:r>
    </w:p>
    <w:p w14:paraId="7B177267">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Objetivo General</w:t>
      </w:r>
    </w:p>
    <w:p w14:paraId="2C8852D6">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Implementar e integrar soluciones avanzadas de seguridad informática, canales de comunicación privados cifrados, supervisión proactiva en tiempo real y planes de contingencia para consolidar la alta disponibilidad y resiliencia de la red empresarial.</w:t>
      </w:r>
    </w:p>
    <w:p w14:paraId="6F3AD0B3">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Objetivos Específicos</w:t>
      </w:r>
    </w:p>
    <w:p w14:paraId="623CD90D">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A6BF05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Configurar la seguridad de borde mediante un Firewall de Próxima Generación (NGFW) con funciones de inspección profunda.</w:t>
      </w:r>
    </w:p>
    <w:p w14:paraId="2C8F30D0">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0876AF8">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53C8F1D">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Desplegar un túnel cifrado mediante tecnología VPN de sitio a sitio (</w:t>
      </w:r>
      <w:r>
        <w:rPr>
          <w:rFonts w:hint="default" w:ascii="Times New Roman" w:hAnsi="Times New Roman" w:eastAsia="sans-serif" w:cs="Times New Roman"/>
          <w:i/>
          <w:iCs/>
          <w:sz w:val="22"/>
          <w:szCs w:val="22"/>
        </w:rPr>
        <w:t>Site-to-Site</w:t>
      </w:r>
      <w:r>
        <w:rPr>
          <w:rFonts w:hint="default" w:ascii="Times New Roman" w:hAnsi="Times New Roman" w:eastAsia="sans-serif" w:cs="Times New Roman"/>
          <w:sz w:val="22"/>
          <w:szCs w:val="22"/>
        </w:rPr>
        <w:t>) para la interconexión segura entre la Sede Principal y la Nueva Sucursal.</w:t>
      </w:r>
    </w:p>
    <w:p w14:paraId="163ECAFD">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1A96C5B">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CB118F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Establecer una plataforma de monitoreo en tiempo real basada en protocolos estándar (SNMP/ICMP) para supervisar la salud de los dispositivos activos.</w:t>
      </w:r>
    </w:p>
    <w:p w14:paraId="1029C0AD">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35C2425">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4D9E772">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Estructurar una política formal de copias de seguridad combinando esquemas completos e incrementales.</w:t>
      </w:r>
    </w:p>
    <w:p w14:paraId="523152E9">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11F750F">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BE3E1B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Consolidar el presupuesto financiero real unificado y el cronograma general mediante el desglose de fases de trabajo.</w:t>
      </w:r>
    </w:p>
    <w:p w14:paraId="454AF856">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4115572">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3. Seguridad Perimetral y Arquitectura de Borde</w:t>
      </w:r>
    </w:p>
    <w:p w14:paraId="1C4EAD12">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Implementación del Firewall Empresarial</w:t>
      </w:r>
    </w:p>
    <w:p w14:paraId="3A921BC2">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El perímetro de la sucursal estará protegido por un Firewall de Próxima Generación (NGFW). Este dispositivo se ubicará de forma adyacente al Router Principal para actuar como el primer y más estricto filtro de tráfico entre la red pública (WAN) y los segmentos lógicos internos (LAN).</w:t>
      </w:r>
    </w:p>
    <w:p w14:paraId="56D14826">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Matriz de Funciones Técnicas del Firewall</w:t>
      </w:r>
    </w:p>
    <w:p w14:paraId="5AFDD5E7">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F701A7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Filtrado de Paquetes con Estado (Stateful Inspection):</w:t>
      </w:r>
      <w:r>
        <w:rPr>
          <w:rFonts w:hint="default" w:ascii="Times New Roman" w:hAnsi="Times New Roman" w:eastAsia="sans-serif" w:cs="Times New Roman"/>
          <w:sz w:val="22"/>
          <w:szCs w:val="22"/>
        </w:rPr>
        <w:t xml:space="preserve"> Monitoreo activo del estado de las conexiones lógicas, permitiendo el ingreso exclusivo de tráfico que corresponda a peticiones legítimas iniciadas desde el interior de la organización.</w:t>
      </w:r>
    </w:p>
    <w:p w14:paraId="06792F1A">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10C7520">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856A33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Traducción de Direcciones de Red (NAT/PAT):</w:t>
      </w:r>
      <w:r>
        <w:rPr>
          <w:rFonts w:hint="default" w:ascii="Times New Roman" w:hAnsi="Times New Roman" w:eastAsia="sans-serif" w:cs="Times New Roman"/>
          <w:sz w:val="22"/>
          <w:szCs w:val="22"/>
        </w:rPr>
        <w:t xml:space="preserve"> Enmascaramiento del direccionamiento privado de las VLANs de Datos, Voz y Administración bajo IPs públicas válidas, ocultando la topología interna ante escaneos externos.</w:t>
      </w:r>
    </w:p>
    <w:p w14:paraId="41BF79CB">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5E7371E">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ED65B16">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Prevención y Detección de Intrusos (IDS/IPS):</w:t>
      </w:r>
      <w:r>
        <w:rPr>
          <w:rFonts w:hint="default" w:ascii="Times New Roman" w:hAnsi="Times New Roman" w:eastAsia="sans-serif" w:cs="Times New Roman"/>
          <w:sz w:val="22"/>
          <w:szCs w:val="22"/>
        </w:rPr>
        <w:t xml:space="preserve"> Análisis profundo de firmas de red y anomalías heurísticas para identificar, registrar y bloquear de manera automatizada ataques de denegación de servicio (DoS/DDoS), escaneos de puertos y exploits conocidos.</w:t>
      </w:r>
    </w:p>
    <w:p w14:paraId="799AD099">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6137AA7">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C8BE28D">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Control de Aplicaciones y Filtrado Web:</w:t>
      </w:r>
      <w:r>
        <w:rPr>
          <w:rFonts w:hint="default" w:ascii="Times New Roman" w:hAnsi="Times New Roman" w:eastAsia="sans-serif" w:cs="Times New Roman"/>
          <w:sz w:val="22"/>
          <w:szCs w:val="22"/>
        </w:rPr>
        <w:t xml:space="preserve"> Inspección de Capa 7 (Aplicación) para bloquear o limitar el uso de plataformas no corporativas (redes sociales, streaming, descargas P2P) y restringir el acceso a dominios web maliciosos o de baja reputación.</w:t>
      </w:r>
    </w:p>
    <w:p w14:paraId="1624B0E5">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420C824">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Equipos del Ecosistema Perimetral</w:t>
      </w:r>
    </w:p>
    <w:p w14:paraId="700B6F06">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034E726">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Firewall NGFW Corporativo:</w:t>
      </w:r>
      <w:r>
        <w:rPr>
          <w:rFonts w:hint="default" w:ascii="Times New Roman" w:hAnsi="Times New Roman" w:eastAsia="sans-serif" w:cs="Times New Roman"/>
          <w:sz w:val="22"/>
          <w:szCs w:val="22"/>
        </w:rPr>
        <w:t xml:space="preserve"> Dispositivo dedicado a la inspección de Capa 3 a Capa 7, políticas de acceso y terminación del túnel VPN.</w:t>
      </w:r>
    </w:p>
    <w:p w14:paraId="140AC77A">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FD48032">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C37C02A">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Router de Borde:</w:t>
      </w:r>
      <w:r>
        <w:rPr>
          <w:rFonts w:hint="default" w:ascii="Times New Roman" w:hAnsi="Times New Roman" w:eastAsia="sans-serif" w:cs="Times New Roman"/>
          <w:sz w:val="22"/>
          <w:szCs w:val="22"/>
        </w:rPr>
        <w:t xml:space="preserve"> Enrutamiento de alta velocidad hacia el proveedor de servicios de Internet (ISP) y asignación de direccionamiento WAN.</w:t>
      </w:r>
    </w:p>
    <w:p w14:paraId="620A1DB3">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3F00D94">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6B0E79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Switch Principal (Core/Distribución):</w:t>
      </w:r>
      <w:r>
        <w:rPr>
          <w:rFonts w:hint="default" w:ascii="Times New Roman" w:hAnsi="Times New Roman" w:eastAsia="sans-serif" w:cs="Times New Roman"/>
          <w:sz w:val="22"/>
          <w:szCs w:val="22"/>
        </w:rPr>
        <w:t xml:space="preserve"> Conmutación de tráfico inter-VLAN bajo la directiva estricta de las listas de control de acceso (ACLs) del Firewall.</w:t>
      </w:r>
    </w:p>
    <w:p w14:paraId="35EC4F24">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3E0EA39">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6011C79">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Servidor NMS (Network Management System):</w:t>
      </w:r>
      <w:r>
        <w:rPr>
          <w:rFonts w:hint="default" w:ascii="Times New Roman" w:hAnsi="Times New Roman" w:eastAsia="sans-serif" w:cs="Times New Roman"/>
          <w:sz w:val="22"/>
          <w:szCs w:val="22"/>
        </w:rPr>
        <w:t xml:space="preserve"> Host dedicado en la VLAN 50 encargado de recolectar los registros (Syslogs) y alertas de seguridad emitidas por el Firewall.</w:t>
      </w:r>
    </w:p>
    <w:p w14:paraId="6389E857">
      <w:pPr>
        <w:keepNext w:val="0"/>
        <w:keepLines w:val="0"/>
        <w:widowControl/>
        <w:numPr>
          <w:ilvl w:val="0"/>
          <w:numId w:val="3"/>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8A5F3F8">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4. Implementación de Conectividad Cifrada (VPN)</w:t>
      </w:r>
    </w:p>
    <w:p w14:paraId="785A330A">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Arquitectura de Conexión</w:t>
      </w:r>
    </w:p>
    <w:p w14:paraId="638F5446">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Para interconectar la Sede Principal con la Nueva Sucursal de manera privada a través de la infraestructura pública de Internet, se implementará una arquitectura </w:t>
      </w:r>
      <w:r>
        <w:rPr>
          <w:rFonts w:hint="default" w:ascii="Times New Roman" w:hAnsi="Times New Roman" w:eastAsia="sans-serif" w:cs="Times New Roman"/>
          <w:b/>
          <w:bCs/>
          <w:sz w:val="22"/>
          <w:szCs w:val="22"/>
        </w:rPr>
        <w:t>VPN de sitio a sitio (Site-to-Site)</w:t>
      </w:r>
      <w:r>
        <w:rPr>
          <w:rFonts w:hint="default" w:ascii="Times New Roman" w:hAnsi="Times New Roman" w:eastAsia="sans-serif" w:cs="Times New Roman"/>
          <w:sz w:val="22"/>
          <w:szCs w:val="22"/>
        </w:rPr>
        <w:t>.</w:t>
      </w:r>
    </w:p>
    <w:p w14:paraId="7EFE43DD">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Parámetros Técnicos del Túnel Cifrado</w:t>
      </w:r>
    </w:p>
    <w:p w14:paraId="2F49F397">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Para asegurar la confidencialidad, integridad y autenticidad del tráfico intersede, se configurará el conjunto de protocolos </w:t>
      </w:r>
      <w:r>
        <w:rPr>
          <w:rFonts w:hint="default" w:ascii="Times New Roman" w:hAnsi="Times New Roman" w:eastAsia="sans-serif" w:cs="Times New Roman"/>
          <w:b/>
          <w:bCs/>
          <w:sz w:val="22"/>
          <w:szCs w:val="22"/>
        </w:rPr>
        <w:t>IPSec (Internet Protocol Security)</w:t>
      </w:r>
      <w:r>
        <w:rPr>
          <w:rFonts w:hint="default" w:ascii="Times New Roman" w:hAnsi="Times New Roman" w:eastAsia="sans-serif" w:cs="Times New Roman"/>
          <w:sz w:val="22"/>
          <w:szCs w:val="22"/>
        </w:rPr>
        <w:t xml:space="preserve"> bajo los siguientes estándares de ingeniería:</w:t>
      </w:r>
    </w:p>
    <w:p w14:paraId="670C84AE">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B124AE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Protocolo de Cifrado:</w:t>
      </w:r>
      <w:r>
        <w:rPr>
          <w:rFonts w:hint="default" w:ascii="Times New Roman" w:hAnsi="Times New Roman" w:eastAsia="sans-serif" w:cs="Times New Roman"/>
          <w:sz w:val="22"/>
          <w:szCs w:val="22"/>
        </w:rPr>
        <w:t xml:space="preserve"> </w:t>
      </w:r>
      <w:r>
        <w:rPr>
          <w:rFonts w:hint="default" w:ascii="Times New Roman" w:hAnsi="Times New Roman" w:eastAsia="sans-serif" w:cs="Times New Roman"/>
          <w:b/>
          <w:bCs/>
          <w:sz w:val="22"/>
          <w:szCs w:val="22"/>
        </w:rPr>
        <w:t>AES-256 (Advanced Encryption Standard)</w:t>
      </w:r>
      <w:r>
        <w:rPr>
          <w:rFonts w:hint="default" w:ascii="Times New Roman" w:hAnsi="Times New Roman" w:eastAsia="sans-serif" w:cs="Times New Roman"/>
          <w:sz w:val="22"/>
          <w:szCs w:val="22"/>
        </w:rPr>
        <w:t>, garantizando un nivel de encriptación de grado militar para la carga útil de los datos.</w:t>
      </w:r>
    </w:p>
    <w:p w14:paraId="57DEE5FD">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D83E54A">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AC8554C">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Algoritmo de Hash (Integridad):</w:t>
      </w:r>
      <w:r>
        <w:rPr>
          <w:rFonts w:hint="default" w:ascii="Times New Roman" w:hAnsi="Times New Roman" w:eastAsia="sans-serif" w:cs="Times New Roman"/>
          <w:sz w:val="22"/>
          <w:szCs w:val="22"/>
        </w:rPr>
        <w:t xml:space="preserve"> </w:t>
      </w:r>
      <w:r>
        <w:rPr>
          <w:rFonts w:hint="default" w:ascii="Times New Roman" w:hAnsi="Times New Roman" w:eastAsia="sans-serif" w:cs="Times New Roman"/>
          <w:b/>
          <w:bCs/>
          <w:sz w:val="22"/>
          <w:szCs w:val="22"/>
        </w:rPr>
        <w:t>SHA-256</w:t>
      </w:r>
      <w:r>
        <w:rPr>
          <w:rFonts w:hint="default" w:ascii="Times New Roman" w:hAnsi="Times New Roman" w:eastAsia="sans-serif" w:cs="Times New Roman"/>
          <w:sz w:val="22"/>
          <w:szCs w:val="22"/>
        </w:rPr>
        <w:t>, asegurando que los paquetes de datos no sean alterados o manipulados en el tránsito a través de la WAN.</w:t>
      </w:r>
    </w:p>
    <w:p w14:paraId="7267C239">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6CD1CA3">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30EB696">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Mecanismo de Autenticación:</w:t>
      </w:r>
      <w:r>
        <w:rPr>
          <w:rFonts w:hint="default" w:ascii="Times New Roman" w:hAnsi="Times New Roman" w:eastAsia="sans-serif" w:cs="Times New Roman"/>
          <w:sz w:val="22"/>
          <w:szCs w:val="22"/>
        </w:rPr>
        <w:t xml:space="preserve"> Intercambio de claves compartidas (Pre-Shared Key - PSK) de alta complejidad, complementado con el protocolo </w:t>
      </w:r>
      <w:r>
        <w:rPr>
          <w:rFonts w:hint="default" w:ascii="Times New Roman" w:hAnsi="Times New Roman" w:eastAsia="sans-serif" w:cs="Times New Roman"/>
          <w:b/>
          <w:bCs/>
          <w:sz w:val="22"/>
          <w:szCs w:val="22"/>
        </w:rPr>
        <w:t>Diffie-Hellman (Grupo 14 o superior)</w:t>
      </w:r>
      <w:r>
        <w:rPr>
          <w:rFonts w:hint="default" w:ascii="Times New Roman" w:hAnsi="Times New Roman" w:eastAsia="sans-serif" w:cs="Times New Roman"/>
          <w:sz w:val="22"/>
          <w:szCs w:val="22"/>
        </w:rPr>
        <w:t xml:space="preserve"> para la generación segura de claves de sesión efímeras.</w:t>
      </w:r>
    </w:p>
    <w:p w14:paraId="6FC3133F">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BCD2114">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7E382DA">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Modo de Operación:</w:t>
      </w:r>
      <w:r>
        <w:rPr>
          <w:rFonts w:hint="default" w:ascii="Times New Roman" w:hAnsi="Times New Roman" w:eastAsia="sans-serif" w:cs="Times New Roman"/>
          <w:sz w:val="22"/>
          <w:szCs w:val="22"/>
        </w:rPr>
        <w:t xml:space="preserve"> </w:t>
      </w:r>
      <w:r>
        <w:rPr>
          <w:rFonts w:hint="default" w:ascii="Times New Roman" w:hAnsi="Times New Roman" w:eastAsia="sans-serif" w:cs="Times New Roman"/>
          <w:b/>
          <w:bCs/>
          <w:sz w:val="22"/>
          <w:szCs w:val="22"/>
        </w:rPr>
        <w:t>Modo Túnel</w:t>
      </w:r>
      <w:r>
        <w:rPr>
          <w:rFonts w:hint="default" w:ascii="Times New Roman" w:hAnsi="Times New Roman" w:eastAsia="sans-serif" w:cs="Times New Roman"/>
          <w:sz w:val="22"/>
          <w:szCs w:val="22"/>
        </w:rPr>
        <w:t>, donde la totalidad del paquete IP original (incluyendo la cabecera) se cifra y se encapsula dentro de un nuevo paquete IP de transporte.</w:t>
      </w:r>
    </w:p>
    <w:p w14:paraId="26962B58">
      <w:pPr>
        <w:keepNext w:val="0"/>
        <w:keepLines w:val="0"/>
        <w:widowControl/>
        <w:numPr>
          <w:ilvl w:val="0"/>
          <w:numId w:val="4"/>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487B643">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5. Monitoreo de Red en Tiempo Real</w:t>
      </w:r>
    </w:p>
    <w:p w14:paraId="5965F13B">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Arquitectura de Supervisión (NMS)</w:t>
      </w:r>
    </w:p>
    <w:p w14:paraId="2C1FA950">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El monitoreo centralizado se gestionará desde el Servidor de Monitoreo (VLAN 50) utilizando principalmente el protocolo </w:t>
      </w:r>
      <w:r>
        <w:rPr>
          <w:rFonts w:hint="default" w:ascii="Times New Roman" w:hAnsi="Times New Roman" w:eastAsia="sans-serif" w:cs="Times New Roman"/>
          <w:b/>
          <w:bCs/>
          <w:sz w:val="22"/>
          <w:szCs w:val="22"/>
        </w:rPr>
        <w:t>SNMPv3 (Simple Network Management Protocol)</w:t>
      </w:r>
      <w:r>
        <w:rPr>
          <w:rFonts w:hint="default" w:ascii="Times New Roman" w:hAnsi="Times New Roman" w:eastAsia="sans-serif" w:cs="Times New Roman"/>
          <w:sz w:val="22"/>
          <w:szCs w:val="22"/>
        </w:rPr>
        <w:t>, debido a sus capacidades nativas de cifrado y autenticación de usuarios.</w:t>
      </w:r>
    </w:p>
    <w:p w14:paraId="4F3F0160">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Herramientas Seleccionadas y Casos de Uso</w:t>
      </w:r>
    </w:p>
    <w:p w14:paraId="3CB0F7D1">
      <w:pPr>
        <w:keepNext w:val="0"/>
        <w:keepLines w:val="0"/>
        <w:widowControl/>
        <w:numPr>
          <w:ilvl w:val="0"/>
          <w:numId w:val="5"/>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580A6C8">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Zabbix / Nagios:</w:t>
      </w:r>
      <w:r>
        <w:rPr>
          <w:rFonts w:hint="default" w:ascii="Times New Roman" w:hAnsi="Times New Roman" w:eastAsia="sans-serif" w:cs="Times New Roman"/>
          <w:sz w:val="22"/>
          <w:szCs w:val="22"/>
        </w:rPr>
        <w:t xml:space="preserve"> Plataformas principales para la supervisión de la disponibilidad de hosts, estado de servicios críticos (HTTP, DNS, Active Directory), consumo de memoria RAM y porcentaje de uso de CPU en los servidores y routers.</w:t>
      </w:r>
    </w:p>
    <w:p w14:paraId="3EA2688F">
      <w:pPr>
        <w:keepNext w:val="0"/>
        <w:keepLines w:val="0"/>
        <w:widowControl/>
        <w:numPr>
          <w:ilvl w:val="0"/>
          <w:numId w:val="5"/>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F01DFA4">
      <w:pPr>
        <w:keepNext w:val="0"/>
        <w:keepLines w:val="0"/>
        <w:widowControl/>
        <w:numPr>
          <w:ilvl w:val="0"/>
          <w:numId w:val="5"/>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42254F1">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PRTG Network Monitor:</w:t>
      </w:r>
      <w:r>
        <w:rPr>
          <w:rFonts w:hint="default" w:ascii="Times New Roman" w:hAnsi="Times New Roman" w:eastAsia="sans-serif" w:cs="Times New Roman"/>
          <w:sz w:val="22"/>
          <w:szCs w:val="22"/>
        </w:rPr>
        <w:t xml:space="preserve"> Utilizado para la supervisión analítica del ancho de banda mediante la lectura de sensores de tráfico en las interfaces físicas de los switches y enlaces WAN.</w:t>
      </w:r>
    </w:p>
    <w:p w14:paraId="50AD9915">
      <w:pPr>
        <w:keepNext w:val="0"/>
        <w:keepLines w:val="0"/>
        <w:widowControl/>
        <w:numPr>
          <w:ilvl w:val="0"/>
          <w:numId w:val="5"/>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DB2369C">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Matriz de Umbrales y Acciones Automatizadas de Alerta</w:t>
      </w:r>
    </w:p>
    <w:p w14:paraId="72EF6F05">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La plataforma se configurará para despachar alertas proactivas ante anomalías en la infraestructura antes de que afecten la continuidad del servicio:</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3"/>
        <w:gridCol w:w="2530"/>
        <w:gridCol w:w="1362"/>
        <w:gridCol w:w="2956"/>
      </w:tblGrid>
      <w:tr w14:paraId="22ABB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6F233A">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Dispositivo / Servicio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4E0680">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Evento Gatillo (Trigger)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4AB63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Severidad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688ACA">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Acción Automatizada inmediata</w:t>
            </w:r>
          </w:p>
        </w:tc>
      </w:tr>
      <w:tr w14:paraId="76DDB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214E2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Servidor Crítico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50689F">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Pérdida de 3 paquetes ICMP consecutivos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5C132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Crítica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87342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Envío de alerta push y correo electrónico inmediato al equipo de TI.</w:t>
            </w:r>
          </w:p>
        </w:tc>
      </w:tr>
      <w:tr w14:paraId="7EF2E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25135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Switches de Distribución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188A1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Uso de ancho de banda superior al 85% por más de 5 min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3F89A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Alta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0F262E">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Notificación en el panel central de TI; registro del puerto saturado.</w:t>
            </w:r>
          </w:p>
        </w:tc>
      </w:tr>
      <w:tr w14:paraId="62AC7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FAFD0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Router Principal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1F1BF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Consumo de CPU de borde $&gt; 90\%$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A686BE">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Alta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62438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Registro de procesos activos en Syslog; alerta vía bot institucional.</w:t>
            </w:r>
          </w:p>
        </w:tc>
      </w:tr>
      <w:tr w14:paraId="3209A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2BBDC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Túnel VPN IPSec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CE2FB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 xml:space="preserve">Estado de la interfaz virtual en </w:t>
            </w:r>
            <w:r>
              <w:rPr>
                <w:rStyle w:val="7"/>
                <w:rFonts w:hint="default" w:ascii="Times New Roman" w:hAnsi="Times New Roman" w:eastAsia="sans-serif" w:cs="Times New Roman"/>
                <w:kern w:val="0"/>
                <w:sz w:val="22"/>
                <w:szCs w:val="22"/>
                <w:bdr w:val="none" w:color="auto" w:sz="0" w:space="0"/>
                <w:lang w:val="en-US" w:eastAsia="zh-CN" w:bidi="ar"/>
              </w:rPr>
              <w:t>DOWN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A86454">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Crítica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88D59E">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Generación de ticket de soporte prioritario L3; alerta de contingencia.</w:t>
            </w:r>
          </w:p>
        </w:tc>
      </w:tr>
    </w:tbl>
    <w:p w14:paraId="41351554">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6. Política y Plan Estratégico de Copias de Seguridad (Backups)</w:t>
      </w:r>
    </w:p>
    <w:p w14:paraId="6C7C507F">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Plan General de Respaldo Técnico</w:t>
      </w:r>
    </w:p>
    <w:p w14:paraId="441E418F">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Se establece una directiva estricta de respaldos para blindar la configuración de los componentes de hardware y la persistencia de los datos frente a ataques informáticos (como Ransomware) o fallos críticos del hardware.</w:t>
      </w:r>
    </w:p>
    <w:p w14:paraId="44C738E4">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Matriz de Frecuencia y Retención</w:t>
      </w:r>
    </w:p>
    <w:p w14:paraId="47098ED8">
      <w:pPr>
        <w:keepNext w:val="0"/>
        <w:keepLines w:val="0"/>
        <w:widowControl/>
        <w:numPr>
          <w:ilvl w:val="0"/>
          <w:numId w:val="6"/>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93C963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Sistemas Operativos y Bases de Datos (Servidores):</w:t>
      </w:r>
      <w:r>
        <w:rPr>
          <w:rFonts w:hint="default" w:ascii="Times New Roman" w:hAnsi="Times New Roman" w:eastAsia="sans-serif" w:cs="Times New Roman"/>
          <w:sz w:val="22"/>
          <w:szCs w:val="22"/>
        </w:rPr>
        <w:t xml:space="preserve"> Respaldo </w:t>
      </w:r>
      <w:r>
        <w:rPr>
          <w:rFonts w:hint="default" w:ascii="Times New Roman" w:hAnsi="Times New Roman" w:eastAsia="sans-serif" w:cs="Times New Roman"/>
          <w:b/>
          <w:bCs/>
          <w:sz w:val="22"/>
          <w:szCs w:val="22"/>
        </w:rPr>
        <w:t>Diario Incremental</w:t>
      </w:r>
      <w:r>
        <w:rPr>
          <w:rFonts w:hint="default" w:ascii="Times New Roman" w:hAnsi="Times New Roman" w:eastAsia="sans-serif" w:cs="Times New Roman"/>
          <w:sz w:val="22"/>
          <w:szCs w:val="22"/>
        </w:rPr>
        <w:t xml:space="preserve"> en horas de bajo tráfico operativo (01:00 AM) y un respaldo </w:t>
      </w:r>
      <w:r>
        <w:rPr>
          <w:rFonts w:hint="default" w:ascii="Times New Roman" w:hAnsi="Times New Roman" w:eastAsia="sans-serif" w:cs="Times New Roman"/>
          <w:b/>
          <w:bCs/>
          <w:sz w:val="22"/>
          <w:szCs w:val="22"/>
        </w:rPr>
        <w:t>Semanal Completo</w:t>
      </w:r>
      <w:r>
        <w:rPr>
          <w:rFonts w:hint="default" w:ascii="Times New Roman" w:hAnsi="Times New Roman" w:eastAsia="sans-serif" w:cs="Times New Roman"/>
          <w:sz w:val="22"/>
          <w:szCs w:val="22"/>
        </w:rPr>
        <w:t xml:space="preserve"> los días sábado. Se mantendrá un histórico de retención de 30 días.</w:t>
      </w:r>
    </w:p>
    <w:p w14:paraId="0A3D1C3D">
      <w:pPr>
        <w:keepNext w:val="0"/>
        <w:keepLines w:val="0"/>
        <w:widowControl/>
        <w:numPr>
          <w:ilvl w:val="0"/>
          <w:numId w:val="6"/>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462321A">
      <w:pPr>
        <w:keepNext w:val="0"/>
        <w:keepLines w:val="0"/>
        <w:widowControl/>
        <w:numPr>
          <w:ilvl w:val="0"/>
          <w:numId w:val="6"/>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3F755F1">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Dispositivos Activos de Red (Routers, Switches, Firewalls):</w:t>
      </w:r>
      <w:r>
        <w:rPr>
          <w:rFonts w:hint="default" w:ascii="Times New Roman" w:hAnsi="Times New Roman" w:eastAsia="sans-serif" w:cs="Times New Roman"/>
          <w:sz w:val="22"/>
          <w:szCs w:val="22"/>
        </w:rPr>
        <w:t xml:space="preserve"> Respaldo </w:t>
      </w:r>
      <w:r>
        <w:rPr>
          <w:rFonts w:hint="default" w:ascii="Times New Roman" w:hAnsi="Times New Roman" w:eastAsia="sans-serif" w:cs="Times New Roman"/>
          <w:b/>
          <w:bCs/>
          <w:sz w:val="22"/>
          <w:szCs w:val="22"/>
        </w:rPr>
        <w:t>Semanal Completo</w:t>
      </w:r>
      <w:r>
        <w:rPr>
          <w:rFonts w:hint="default" w:ascii="Times New Roman" w:hAnsi="Times New Roman" w:eastAsia="sans-serif" w:cs="Times New Roman"/>
          <w:sz w:val="22"/>
          <w:szCs w:val="22"/>
        </w:rPr>
        <w:t xml:space="preserve"> de los archivos de configuración de arranque (</w:t>
      </w:r>
      <w:r>
        <w:rPr>
          <w:rStyle w:val="7"/>
          <w:rFonts w:hint="default" w:ascii="Times New Roman" w:hAnsi="Times New Roman" w:eastAsia="sans-serif" w:cs="Times New Roman"/>
          <w:sz w:val="22"/>
          <w:szCs w:val="22"/>
        </w:rPr>
        <w:t>startup-config</w:t>
      </w:r>
      <w:r>
        <w:rPr>
          <w:rFonts w:hint="default" w:ascii="Times New Roman" w:hAnsi="Times New Roman" w:eastAsia="sans-serif" w:cs="Times New Roman"/>
          <w:sz w:val="22"/>
          <w:szCs w:val="22"/>
        </w:rPr>
        <w:t>). Adicionalmente, se forzará un respaldo inmediato automatizado cada vez que un administrador aplique un cambio en las líneas de comandos (CLI).</w:t>
      </w:r>
    </w:p>
    <w:p w14:paraId="7BBBFCDB">
      <w:pPr>
        <w:keepNext w:val="0"/>
        <w:keepLines w:val="0"/>
        <w:widowControl/>
        <w:numPr>
          <w:ilvl w:val="0"/>
          <w:numId w:val="6"/>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01EA7A0">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Estrategia de Almacenamiento Segura (Regla 3-2-1)</w:t>
      </w:r>
    </w:p>
    <w:p w14:paraId="76679EAB">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Para garantizar la recuperabilidad ante desastres físicos en la sucursal, la política de almacenamiento se regirá estrictamente bajo la regla internacional de seguridad:</w:t>
      </w:r>
    </w:p>
    <w:p w14:paraId="659680D5">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28889B2">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Conservar 3 copias de los datos:</w:t>
      </w:r>
      <w:r>
        <w:rPr>
          <w:rFonts w:hint="default" w:ascii="Times New Roman" w:hAnsi="Times New Roman" w:eastAsia="sans-serif" w:cs="Times New Roman"/>
          <w:sz w:val="22"/>
          <w:szCs w:val="22"/>
        </w:rPr>
        <w:t xml:space="preserve"> La copia de producción en uso, un respaldo local y un respaldo externo.</w:t>
      </w:r>
    </w:p>
    <w:p w14:paraId="2946E0AB">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F64FB00">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237EBCE">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Utilizar 2 medios de almacenamiento distintos:</w:t>
      </w:r>
      <w:r>
        <w:rPr>
          <w:rFonts w:hint="default" w:ascii="Times New Roman" w:hAnsi="Times New Roman" w:eastAsia="sans-serif" w:cs="Times New Roman"/>
          <w:sz w:val="22"/>
          <w:szCs w:val="22"/>
        </w:rPr>
        <w:t xml:space="preserve"> Almacenamiento primario en una unidad de red NAS (Network Attached Storage) dedicada dentro de la sucursal y un disco duro externo cifrado fuera de línea.</w:t>
      </w:r>
    </w:p>
    <w:p w14:paraId="1D05B3A6">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2205477">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FC4AF2B">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Mantener 1 copia fuera de las instalaciones (Offsite):</w:t>
      </w:r>
      <w:r>
        <w:rPr>
          <w:rFonts w:hint="default" w:ascii="Times New Roman" w:hAnsi="Times New Roman" w:eastAsia="sans-serif" w:cs="Times New Roman"/>
          <w:sz w:val="22"/>
          <w:szCs w:val="22"/>
        </w:rPr>
        <w:t xml:space="preserve"> Réplica automatizada cifrada de los respaldos semanales hacia un repositorio seguro en la nube o hacia el centro de datos de la Sede Principal a través del túnel VPN.</w:t>
      </w:r>
    </w:p>
    <w:p w14:paraId="167780BF">
      <w:pPr>
        <w:keepNext w:val="0"/>
        <w:keepLines w:val="0"/>
        <w:widowControl/>
        <w:numPr>
          <w:ilvl w:val="0"/>
          <w:numId w:val="7"/>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FDE159E">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7. Presupuesto Financiero Unificado (Consolidado Fase 1 y Fase 2)</w:t>
      </w:r>
    </w:p>
    <w:p w14:paraId="300D0788">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i/>
          <w:iCs/>
          <w:sz w:val="22"/>
          <w:szCs w:val="22"/>
        </w:rPr>
        <w:t>Nota de ingeniería: Para evitar discrepancias presupuestales con el proyecto presentado en la Fase 1 (donde las estaciones de trabajo y servidores ya sumaban $50.600.000 COP), este presupuesto integra los componentes básicos de la Fase 1 junto con el hardware avanzado de seguridad, UPS y licenciamiento requeridos para la Fase 2, consolidando el valor real del despliegue tecnológico completo de la sucursal.</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3"/>
        <w:gridCol w:w="902"/>
        <w:gridCol w:w="1301"/>
        <w:gridCol w:w="1760"/>
        <w:gridCol w:w="2035"/>
      </w:tblGrid>
      <w:tr w14:paraId="40565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BAB10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Componente Tecnológico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BF07F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Fase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97E3D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Cantidad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900980">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Valor Unitario (COP)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174717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Style w:val="8"/>
                <w:rFonts w:hint="default" w:ascii="Times New Roman" w:hAnsi="Times New Roman" w:eastAsia="sans-serif" w:cs="Times New Roman"/>
                <w:kern w:val="0"/>
                <w:sz w:val="22"/>
                <w:szCs w:val="22"/>
                <w:bdr w:val="none" w:color="auto" w:sz="0" w:space="0"/>
                <w:lang w:val="en-US" w:eastAsia="zh-CN" w:bidi="ar"/>
              </w:rPr>
              <w:t>Total Componente (COP)</w:t>
            </w:r>
          </w:p>
        </w:tc>
      </w:tr>
      <w:tr w14:paraId="64A04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B85D6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Computadores de Escritorio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41C88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2B96B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A21355">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$2.000.000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90449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$40.000.000</w:t>
            </w:r>
          </w:p>
        </w:tc>
      </w:tr>
      <w:tr w14:paraId="4D798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EAD01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Servidor Rackeable Principal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114E5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0717F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5500D4">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$4.000.000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D5042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$4.000.000</w:t>
            </w:r>
          </w:p>
        </w:tc>
      </w:tr>
      <w:tr w14:paraId="1DC8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13BE4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Firewall NGFW de Borde Empresarial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C01739">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Fase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64D0A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2C74A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$3.500.000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8ABEAF">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$3.500.000</w:t>
            </w:r>
          </w:p>
        </w:tc>
      </w:tr>
      <w:tr w14:paraId="3C45E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F1FDF3">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Switches Administrables Capa 2/3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871C1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9FB69F">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E11FB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$850.000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398E6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$1.700.000</w:t>
            </w:r>
          </w:p>
        </w:tc>
      </w:tr>
      <w:tr w14:paraId="7E2B2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78B79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Access Points Wi-Fi Corporativos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9FE59F">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2E4F68">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F9D16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$350.000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8D88F8">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$1.400.000</w:t>
            </w:r>
          </w:p>
        </w:tc>
      </w:tr>
      <w:tr w14:paraId="1BC7D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2F552A">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Impresoras de Red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0DB324">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D850B0">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F0B9F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$700.000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CD4D4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$1.400.000</w:t>
            </w:r>
          </w:p>
        </w:tc>
      </w:tr>
      <w:tr w14:paraId="26E2E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00110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Router de Borde Empresarial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D0BC8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DE965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8CAB14">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$1.200.000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B2894A">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$1.200.000</w:t>
            </w:r>
          </w:p>
        </w:tc>
      </w:tr>
      <w:tr w14:paraId="47E1A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221470">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Licenciamiento de Monitoreo NMS / Server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DF3A16">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Fase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BD1DBB">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ED76C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$2.000.000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B1672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$2.000.000</w:t>
            </w:r>
          </w:p>
        </w:tc>
      </w:tr>
      <w:tr w14:paraId="6B8C2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A58E82">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Unidades de Respaldo de Energía (UPS)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D193D4">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Fase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FDFB6D">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BF2ED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$700.000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724A01">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$1.400.000</w:t>
            </w:r>
          </w:p>
        </w:tc>
      </w:tr>
      <w:tr w14:paraId="3EE7A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931015">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Lote de Cableado Estructurado Cat 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F01BB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Fase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34D12C">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8483FC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$900.000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AD7700">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bdr w:val="none" w:color="auto" w:sz="0" w:space="0"/>
                <w:lang w:val="en-US" w:eastAsia="zh-CN" w:bidi="ar"/>
              </w:rPr>
              <w:t>$900.000</w:t>
            </w:r>
          </w:p>
        </w:tc>
      </w:tr>
      <w:tr w14:paraId="01C98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CF2B37">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VALOR INVERSIÓN TOTAL PROYECTO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7EEB66F">
            <w:pPr>
              <w:rPr>
                <w:rFonts w:hint="default" w:ascii="Times New Roman" w:hAnsi="Times New Roman" w:eastAsia="sans-serif" w:cs="Times New Roman"/>
                <w:sz w:val="22"/>
                <w:szCs w:val="22"/>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3DB241">
            <w:pPr>
              <w:rPr>
                <w:rFonts w:hint="default" w:ascii="Times New Roman" w:hAnsi="Times New Roman" w:eastAsia="sans-serif" w:cs="Times New Roman"/>
                <w:sz w:val="22"/>
                <w:szCs w:val="22"/>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9816F98">
            <w:pPr>
              <w:rPr>
                <w:rFonts w:hint="default" w:ascii="Times New Roman" w:hAnsi="Times New Roman" w:eastAsia="sans-serif" w:cs="Times New Roman"/>
                <w:sz w:val="22"/>
                <w:szCs w:val="22"/>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C972D8">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b/>
                <w:bCs/>
                <w:kern w:val="0"/>
                <w:sz w:val="22"/>
                <w:szCs w:val="22"/>
                <w:bdr w:val="none" w:color="auto" w:sz="0" w:space="0"/>
                <w:lang w:val="en-US" w:eastAsia="zh-CN" w:bidi="ar"/>
              </w:rPr>
              <w:t>$57.500.000 COP</w:t>
            </w:r>
          </w:p>
        </w:tc>
      </w:tr>
    </w:tbl>
    <w:p w14:paraId="5B5A1731">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8. Cronograma de Implementación GANTT (Despliegue Técnico)</w:t>
      </w:r>
    </w:p>
    <w:p w14:paraId="7AB6A707">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El proyecto completo contempla una duración total estimada de </w:t>
      </w:r>
      <w:r>
        <w:rPr>
          <w:rFonts w:hint="default" w:ascii="Times New Roman" w:hAnsi="Times New Roman" w:eastAsia="sans-serif" w:cs="Times New Roman"/>
          <w:b/>
          <w:bCs/>
          <w:sz w:val="22"/>
          <w:szCs w:val="22"/>
        </w:rPr>
        <w:t>4 semanas físicas</w:t>
      </w:r>
      <w:r>
        <w:rPr>
          <w:rFonts w:hint="default" w:ascii="Times New Roman" w:hAnsi="Times New Roman" w:eastAsia="sans-serif" w:cs="Times New Roman"/>
          <w:sz w:val="22"/>
          <w:szCs w:val="22"/>
        </w:rPr>
        <w:t>, distribuidas de manera secuencial a través de las siguientes fases de ingeniería:</w:t>
      </w:r>
    </w:p>
    <w:p w14:paraId="0C501E7A">
      <w:pPr>
        <w:keepNext w:val="0"/>
        <w:keepLines w:val="0"/>
        <w:widowControl/>
        <w:suppressLineNumbers w:val="0"/>
        <w:spacing w:before="0" w:beforeAutospacing="0" w:line="17"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Plaintext</w:t>
      </w:r>
    </w:p>
    <w:p w14:paraId="7AF40E1D">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1: Planeación y Diseño Técnico [████████] (Semana 1)</w:t>
      </w:r>
    </w:p>
    <w:p w14:paraId="18DDA118">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2: Canalización e Instalación Física [        ████████] (Semana 2)</w:t>
      </w:r>
    </w:p>
    <w:p w14:paraId="756ED226">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3: Configuración Lógica (VLANs/IP)   [                 ████] (Semana 3 - Inicio)</w:t>
      </w:r>
    </w:p>
    <w:p w14:paraId="47FED372">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4: Despliegue Firewall y Túnel VPN  [                     █████] (Semana 3 - Fin)</w:t>
      </w:r>
    </w:p>
    <w:p w14:paraId="7D421CB1">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5: Montaje NMS e Instrumentación    [                          ████] (Semana 4 - Inicio)</w:t>
      </w:r>
    </w:p>
    <w:p w14:paraId="7519969A">
      <w:pPr>
        <w:pStyle w:val="9"/>
        <w:keepNext w:val="0"/>
        <w:keepLines w:val="0"/>
        <w:widowControl/>
        <w:suppressLineNumbers w:val="0"/>
        <w:spacing w:before="0" w:beforeAutospacing="0" w:line="17" w:lineRule="atLeast"/>
        <w:rPr>
          <w:rStyle w:val="7"/>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6: Auditoría, Pentesting y Pruebas   [                              ████] (Semana 4 - Medio)</w:t>
      </w:r>
    </w:p>
    <w:p w14:paraId="1CBD7588">
      <w:pPr>
        <w:pStyle w:val="9"/>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Style w:val="7"/>
          <w:rFonts w:hint="default" w:ascii="Times New Roman" w:hAnsi="Times New Roman" w:eastAsia="sans-serif" w:cs="Times New Roman"/>
          <w:sz w:val="22"/>
          <w:szCs w:val="22"/>
        </w:rPr>
        <w:t>Fase 7: Cierre, Documentación y Entrega   [                                  ██] (Semana 4 - Fin)</w:t>
      </w:r>
    </w:p>
    <w:p w14:paraId="32CB1DE1">
      <w:pPr>
        <w:pStyle w:val="4"/>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Detalle Cronológico por Fases</w:t>
      </w:r>
    </w:p>
    <w:p w14:paraId="02892F97">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AEB3019">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1 (Días 1 a 5):</w:t>
      </w:r>
      <w:r>
        <w:rPr>
          <w:rFonts w:hint="default" w:ascii="Times New Roman" w:hAnsi="Times New Roman" w:eastAsia="sans-serif" w:cs="Times New Roman"/>
          <w:sz w:val="22"/>
          <w:szCs w:val="22"/>
        </w:rPr>
        <w:t xml:space="preserve"> Levantamiento de requerimientos, diseño de topologías, definición del direccionamiento IP y adquisición de hardware.</w:t>
      </w:r>
    </w:p>
    <w:p w14:paraId="48B6BC5A">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7868CCC">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398C021">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2 (Días 6 a 10):</w:t>
      </w:r>
      <w:r>
        <w:rPr>
          <w:rFonts w:hint="default" w:ascii="Times New Roman" w:hAnsi="Times New Roman" w:eastAsia="sans-serif" w:cs="Times New Roman"/>
          <w:sz w:val="22"/>
          <w:szCs w:val="22"/>
        </w:rPr>
        <w:t xml:space="preserve"> Tendido del cableado estructurado categoría 6, montaje de equipos en el Rack de telecomunicaciones, peinado de cables y etiquetado normativo.</w:t>
      </w:r>
    </w:p>
    <w:p w14:paraId="0C3D4915">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E1F2BEE">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4FE297F">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3 (Días 11 a 13):</w:t>
      </w:r>
      <w:r>
        <w:rPr>
          <w:rFonts w:hint="default" w:ascii="Times New Roman" w:hAnsi="Times New Roman" w:eastAsia="sans-serif" w:cs="Times New Roman"/>
          <w:sz w:val="22"/>
          <w:szCs w:val="22"/>
        </w:rPr>
        <w:t xml:space="preserve"> Creación y etiquetado de las VLANs en los switches administrables, configuración del direccionamiento en subinterfaces del router e implementación de DHCP Snooping.</w:t>
      </w:r>
    </w:p>
    <w:p w14:paraId="580253E9">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C4EE5D8">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BC1071B">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4 (Días 14 a 18):</w:t>
      </w:r>
      <w:r>
        <w:rPr>
          <w:rFonts w:hint="default" w:ascii="Times New Roman" w:hAnsi="Times New Roman" w:eastAsia="sans-serif" w:cs="Times New Roman"/>
          <w:sz w:val="22"/>
          <w:szCs w:val="22"/>
        </w:rPr>
        <w:t xml:space="preserve"> Montaje físico del Firewall, definición de políticas de filtrado (Capa 7) y configuración del túnel IPSec Site-to-Site hacia la sede central.</w:t>
      </w:r>
    </w:p>
    <w:p w14:paraId="1160E63F">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E1AF1AF">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07731FB8">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5 (Días 19 a 21):</w:t>
      </w:r>
      <w:r>
        <w:rPr>
          <w:rFonts w:hint="default" w:ascii="Times New Roman" w:hAnsi="Times New Roman" w:eastAsia="sans-serif" w:cs="Times New Roman"/>
          <w:sz w:val="22"/>
          <w:szCs w:val="22"/>
        </w:rPr>
        <w:t xml:space="preserve"> Instalación del software NMS en el servidor, activación de comunidades SNMPv3 en routers y switches, y validación de triggers de correo electrónico.</w:t>
      </w:r>
    </w:p>
    <w:p w14:paraId="3A7ED8A1">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DD133FD">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4D136993">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6 (Días 22 a 24):</w:t>
      </w:r>
      <w:r>
        <w:rPr>
          <w:rFonts w:hint="default" w:ascii="Times New Roman" w:hAnsi="Times New Roman" w:eastAsia="sans-serif" w:cs="Times New Roman"/>
          <w:sz w:val="22"/>
          <w:szCs w:val="22"/>
        </w:rPr>
        <w:t xml:space="preserve"> Simulación controlada de fallas de enlaces, caídas intencionales de servidores para verificar alertas, y pruebas de restauración de configuraciones desde backups.</w:t>
      </w:r>
    </w:p>
    <w:p w14:paraId="56E6CC47">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BB3F100">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C5666F2">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Fase 7 (Días 25 a 26):</w:t>
      </w:r>
      <w:r>
        <w:rPr>
          <w:rFonts w:hint="default" w:ascii="Times New Roman" w:hAnsi="Times New Roman" w:eastAsia="sans-serif" w:cs="Times New Roman"/>
          <w:sz w:val="22"/>
          <w:szCs w:val="22"/>
        </w:rPr>
        <w:t xml:space="preserve"> Firma de actas de conformidad técnica, entrega de memorias del direccionamiento IP y capacitación al equipo de soporte de la sucursal.</w:t>
      </w:r>
    </w:p>
    <w:p w14:paraId="13A5FA3C">
      <w:pPr>
        <w:keepNext w:val="0"/>
        <w:keepLines w:val="0"/>
        <w:widowControl/>
        <w:numPr>
          <w:ilvl w:val="0"/>
          <w:numId w:val="8"/>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78DC7AAA">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9. Conclusión</w:t>
      </w:r>
    </w:p>
    <w:p w14:paraId="485B7E1A">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El despliegue de la Fase 2 del proyecto tecnológico </w:t>
      </w:r>
      <w:r>
        <w:rPr>
          <w:rFonts w:hint="default" w:ascii="Times New Roman" w:hAnsi="Times New Roman" w:eastAsia="sans-serif" w:cs="Times New Roman"/>
          <w:b/>
          <w:bCs/>
          <w:sz w:val="22"/>
          <w:szCs w:val="22"/>
        </w:rPr>
        <w:t>MasterNet</w:t>
      </w:r>
      <w:r>
        <w:rPr>
          <w:rFonts w:hint="default" w:ascii="Times New Roman" w:hAnsi="Times New Roman" w:eastAsia="sans-serif" w:cs="Times New Roman"/>
          <w:sz w:val="22"/>
          <w:szCs w:val="22"/>
        </w:rPr>
        <w:t xml:space="preserve"> transforma el diseño teórico inicial en una infraestructura robusta de nivel corporativo, con tolerancia a fallas y alta disponibilidad. La adición de capas críticas de seguridad perimetral a través de firewalls de próxima generación (NGFW) y el cifrado de datos extremo a extremo mediante túneles IPSec blindan los activos informáticos de la sucursal ante las amenazas externas.</w:t>
      </w:r>
    </w:p>
    <w:p w14:paraId="00A393B1">
      <w:pPr>
        <w:pStyle w:val="10"/>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Asimismo, la implementación de plataformas de monitoreo proactivo en tiempo real y la estructuración rígida de una política de respaldos bajo la regla internacional 3-2-1 garantizan un tiempo mínimo de recuperación ante contingencias, asegurando una plataforma de red teleinformática escalable, eficiente y alineada con los estándares de la industria tecnológica actual.</w:t>
      </w:r>
    </w:p>
    <w:p w14:paraId="3C43D7A8">
      <w:pPr>
        <w:pStyle w:val="3"/>
        <w:keepNext w:val="0"/>
        <w:keepLines w:val="0"/>
        <w:widowControl/>
        <w:suppressLineNumbers w:val="0"/>
        <w:spacing w:before="0" w:beforeAutospacing="0" w:line="17"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10. Referentes Bibliográficos</w:t>
      </w:r>
    </w:p>
    <w:p w14:paraId="6B56C369">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3E833E39">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Cisco Systems Inc. (2023). </w:t>
      </w:r>
      <w:r>
        <w:rPr>
          <w:rFonts w:hint="default" w:ascii="Times New Roman" w:hAnsi="Times New Roman" w:eastAsia="sans-serif" w:cs="Times New Roman"/>
          <w:i/>
          <w:iCs/>
          <w:sz w:val="22"/>
          <w:szCs w:val="22"/>
        </w:rPr>
        <w:t>Cisco ASA and Firepower Next-Generation Firewalls Configuration Guide</w:t>
      </w:r>
      <w:r>
        <w:rPr>
          <w:rFonts w:hint="default" w:ascii="Times New Roman" w:hAnsi="Times New Roman" w:eastAsia="sans-serif" w:cs="Times New Roman"/>
          <w:sz w:val="22"/>
          <w:szCs w:val="22"/>
        </w:rPr>
        <w:t>. Cisco Press.</w:t>
      </w:r>
    </w:p>
    <w:p w14:paraId="23852195">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4807E9C">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2C87B4CE">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Stallings, W. (2021). </w:t>
      </w:r>
      <w:r>
        <w:rPr>
          <w:rFonts w:hint="default" w:ascii="Times New Roman" w:hAnsi="Times New Roman" w:eastAsia="sans-serif" w:cs="Times New Roman"/>
          <w:i/>
          <w:iCs/>
          <w:sz w:val="22"/>
          <w:szCs w:val="22"/>
        </w:rPr>
        <w:t>Computer Security: Principles and Practice</w:t>
      </w:r>
      <w:r>
        <w:rPr>
          <w:rFonts w:hint="default" w:ascii="Times New Roman" w:hAnsi="Times New Roman" w:eastAsia="sans-serif" w:cs="Times New Roman"/>
          <w:sz w:val="22"/>
          <w:szCs w:val="22"/>
        </w:rPr>
        <w:t xml:space="preserve"> (5th ed.). Pearson.</w:t>
      </w:r>
    </w:p>
    <w:p w14:paraId="5102A049">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79DB995">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1CDB8DBC">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Zabbix LLC. (2024). </w:t>
      </w:r>
      <w:r>
        <w:rPr>
          <w:rFonts w:hint="default" w:ascii="Times New Roman" w:hAnsi="Times New Roman" w:eastAsia="sans-serif" w:cs="Times New Roman"/>
          <w:i/>
          <w:iCs/>
          <w:sz w:val="22"/>
          <w:szCs w:val="22"/>
        </w:rPr>
        <w:t>Zabbix Core Appliance and SNMPv3 Monitoring Documentation</w:t>
      </w:r>
      <w:r>
        <w:rPr>
          <w:rFonts w:hint="default" w:ascii="Times New Roman" w:hAnsi="Times New Roman" w:eastAsia="sans-serif" w:cs="Times New Roman"/>
          <w:sz w:val="22"/>
          <w:szCs w:val="22"/>
        </w:rPr>
        <w:t>.</w:t>
      </w:r>
    </w:p>
    <w:p w14:paraId="37690BB6">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519611A">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5F2D91F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IEEE Computer Society. (2021). </w:t>
      </w:r>
      <w:r>
        <w:rPr>
          <w:rFonts w:hint="default" w:ascii="Times New Roman" w:hAnsi="Times New Roman" w:eastAsia="sans-serif" w:cs="Times New Roman"/>
          <w:i/>
          <w:iCs/>
          <w:sz w:val="22"/>
          <w:szCs w:val="22"/>
        </w:rPr>
        <w:t>IEEE Standard for Local and Metropolitan Area Networks: Media Access Control (MAC) Bridges and Virtual Bridged Local Area Networks (IEEE Std 802.1Q)</w:t>
      </w:r>
      <w:r>
        <w:rPr>
          <w:rFonts w:hint="default" w:ascii="Times New Roman" w:hAnsi="Times New Roman" w:eastAsia="sans-serif" w:cs="Times New Roman"/>
          <w:sz w:val="22"/>
          <w:szCs w:val="22"/>
        </w:rPr>
        <w:t>.</w:t>
      </w:r>
    </w:p>
    <w:p w14:paraId="26BAED5F">
      <w:pPr>
        <w:keepNext w:val="0"/>
        <w:keepLines w:val="0"/>
        <w:widowControl/>
        <w:numPr>
          <w:ilvl w:val="0"/>
          <w:numId w:val="9"/>
        </w:numPr>
        <w:suppressLineNumbers w:val="0"/>
        <w:spacing w:before="0" w:beforeAutospacing="0" w:after="0" w:afterAutospacing="1" w:line="17" w:lineRule="atLeast"/>
        <w:ind w:left="1440" w:hanging="360"/>
        <w:rPr>
          <w:rFonts w:hint="default" w:ascii="Times New Roman" w:hAnsi="Times New Roman" w:eastAsia="sans-serif" w:cs="Times New Roman"/>
          <w:sz w:val="22"/>
          <w:szCs w:val="22"/>
        </w:rPr>
      </w:pPr>
    </w:p>
    <w:p w14:paraId="6C4728E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F692"/>
    <w:multiLevelType w:val="multilevel"/>
    <w:tmpl w:val="825EF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852F29"/>
    <w:multiLevelType w:val="multilevel"/>
    <w:tmpl w:val="8A852F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6C3281"/>
    <w:multiLevelType w:val="multilevel"/>
    <w:tmpl w:val="C46C32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1987331"/>
    <w:multiLevelType w:val="multilevel"/>
    <w:tmpl w:val="F19873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CBB1C4"/>
    <w:multiLevelType w:val="multilevel"/>
    <w:tmpl w:val="36CBB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3ED0D1C"/>
    <w:multiLevelType w:val="multilevel"/>
    <w:tmpl w:val="53ED0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06D0A21"/>
    <w:multiLevelType w:val="multilevel"/>
    <w:tmpl w:val="706D0A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06F7BDB"/>
    <w:multiLevelType w:val="multilevel"/>
    <w:tmpl w:val="706F7B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3C9A6D7"/>
    <w:multiLevelType w:val="multilevel"/>
    <w:tmpl w:val="73C9A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1"/>
  </w:num>
  <w:num w:numId="4">
    <w:abstractNumId w:val="2"/>
  </w:num>
  <w:num w:numId="5">
    <w:abstractNumId w:val="7"/>
  </w:num>
  <w:num w:numId="6">
    <w:abstractNumId w:val="0"/>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6B560E"/>
    <w:rsid w:val="736B5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2026-05-23T02:45:00Z</dcterms:created>
  <dc:creator>Johan Daniel Soler Contreras 8B</dc:creator>
  <cp:lastModifiedBy>Johan Daniel Soler Contreras 8B</cp:lastModifiedBy>
  <dcterms:modified xsi:type="dcterms:W3CDTF">2026-05-23T03:16:06Z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5A592CF1B1024C3C9AF3511F59421CC0_11</vt:lpwstr>
  </property>
  <property fmtid="{D5CDD505-2E9C-101B-9397-08002B2CF9AE}" pid="4" name="KSOTemplateDocerSaveRecord">
    <vt:lpwstr>eyJoZGlkIjoiODcxMDBlOWU0YjdhZjgyODczNDVlZGZkNWE3MzMwOGYiLCJ1c2VySWQiOiIxNjY3MTAxMDcyNjE1In0=</vt:lpwstr>
  </property>
</Properties>
</file>