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68C039">
      <w:pPr>
        <w:pStyle w:val="2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INFORME TÉCNICO: INFRAESTRUCTURA Y DISEÑO BASE DE RED — NUEVA SUCURSAL (FASE 1)</w:t>
      </w:r>
    </w:p>
    <w:p w14:paraId="754C74C1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1. Introducción</w:t>
      </w:r>
    </w:p>
    <w:p w14:paraId="03D84D93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En esta actividad se desarrolla el diseño de la infraestructura tecnológica para una nueva sucursal empresarial. El objetivo principal es crear una red organizada, segura y escalable que permita el correcto funcionamiento de los servicios de comunicación, acceso a internet y administración de recursos tecnológicos de la compañía.</w:t>
      </w:r>
    </w:p>
    <w:p w14:paraId="72FF3263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La propuesta abarca el diseño detallado de la topología física y lógica, una segmentación estructurada mediante redes virtuales (VLANs) que optimice el tráfico, el establecimiento de políticas perimetrales y locales de seguridad, y un análisis presupuestal de costos y licenciamiento para los equipos necesarios.</w:t>
      </w:r>
    </w:p>
    <w:p w14:paraId="7565167B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2. Objetivos</w:t>
      </w:r>
    </w:p>
    <w:p w14:paraId="2901F67C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Objetivo General</w:t>
      </w:r>
    </w:p>
    <w:p w14:paraId="7A3EBADC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Diseñar una infraestructura de red eficiente, escalable y segura para la nueva sucursal empresarial, garantizando la alta disponibilidad y la confidencialidad de la información.</w:t>
      </w:r>
    </w:p>
    <w:p w14:paraId="46C8E7A5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Objetivos Específicos</w:t>
      </w:r>
    </w:p>
    <w:p w14:paraId="1715B687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Diseñar las topologías física y lógica bajo estándares de cableado estructurado.</w:t>
      </w:r>
    </w:p>
    <w:p w14:paraId="4B901407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Implementar segmentación lógica mediante VLANs para el aislamiento de funciones y optimización del dominio de broadcast.</w:t>
      </w:r>
    </w:p>
    <w:p w14:paraId="4EDD6671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Definir políticas robustas de seguridad informática a nivel de accesos, infraestructura y redes inalámbricas.</w:t>
      </w:r>
    </w:p>
    <w:p w14:paraId="28630AC1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Seleccionar el equipamiento de hardware y software idóneo según los requerimientos de la sucursal.</w:t>
      </w:r>
    </w:p>
    <w:p w14:paraId="6B00A9CF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Estructurar el análisis financiero de costos y el esquema de licenciamiento requerido para el despliegue.</w:t>
      </w:r>
    </w:p>
    <w:p w14:paraId="27CF01D3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3. Topología Física de la Red</w:t>
      </w:r>
    </w:p>
    <w:p w14:paraId="71069838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Descripción</w:t>
      </w:r>
    </w:p>
    <w:p w14:paraId="36F7FA48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La infraestructura física de la sucursal estará constituida por los siguientes componentes, interconectados mediante cableado estructurado Categoría 6, garantizando velocidades de hasta 1 Gbps:</w:t>
      </w:r>
    </w:p>
    <w:p w14:paraId="3AD880EC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1 Router principal (borde de red)</w:t>
      </w:r>
    </w:p>
    <w:p w14:paraId="7E2E5274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2 Switches administrables de capa 2/3 (distribución).</w:t>
      </w:r>
    </w:p>
    <w:p w14:paraId="1F9D024D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1 Servidor físico local.</w:t>
      </w:r>
    </w:p>
    <w:p w14:paraId="1C0A5164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20 Computadores (estaciones de trabajo</w:t>
      </w:r>
    </w:p>
    <w:p w14:paraId="6BBB4B2B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4 Access Points Wi-Fi corporativos.</w:t>
      </w:r>
    </w:p>
    <w:p w14:paraId="21B354D4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2 Impresoras de red.</w:t>
      </w:r>
      <w:bookmarkStart w:id="0" w:name="_GoBack"/>
      <w:bookmarkEnd w:id="0"/>
    </w:p>
    <w:p w14:paraId="3BA8F136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Diagrama Físico (Texto Base)</w:t>
      </w:r>
    </w:p>
    <w:p w14:paraId="4ECDEB36">
      <w:pPr>
        <w:keepNext w:val="0"/>
        <w:keepLines w:val="0"/>
        <w:widowControl/>
        <w:suppressLineNumbers w:val="0"/>
        <w:spacing w:before="0" w:beforeAutospacing="0" w:line="17" w:lineRule="atLeast"/>
        <w:jc w:val="lef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kern w:val="0"/>
          <w:sz w:val="22"/>
          <w:szCs w:val="22"/>
          <w:lang w:val="en-US" w:eastAsia="zh-CN" w:bidi="ar"/>
        </w:rPr>
        <w:t>Plaintext</w:t>
      </w:r>
    </w:p>
    <w:p w14:paraId="28A77A37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    INTERNET</w:t>
      </w:r>
    </w:p>
    <w:p w14:paraId="0C14807E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        |</w:t>
      </w:r>
    </w:p>
    <w:p w14:paraId="592FEAC8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 [ Router Principal ]</w:t>
      </w:r>
    </w:p>
    <w:p w14:paraId="2F3CC42F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        |</w:t>
      </w:r>
    </w:p>
    <w:p w14:paraId="5B208269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 [ Firewall Básico ]</w:t>
      </w:r>
    </w:p>
    <w:p w14:paraId="7122FA06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        |</w:t>
      </w:r>
    </w:p>
    <w:p w14:paraId="7D526253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[ Switch Principal ]</w:t>
      </w:r>
    </w:p>
    <w:p w14:paraId="4742CF3E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       /               \</w:t>
      </w:r>
    </w:p>
    <w:p w14:paraId="5308F9BF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[Switch Área A]     [Switch Área B]</w:t>
      </w:r>
    </w:p>
    <w:p w14:paraId="67F2AC5A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Style w:val="7"/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   /   |   \             /   |   \</w:t>
      </w:r>
    </w:p>
    <w:p w14:paraId="5AC4880F">
      <w:pPr>
        <w:pStyle w:val="9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 xml:space="preserve">       PCs  Voz WiFi         PCs  Impresoras</w:t>
      </w:r>
    </w:p>
    <w:p w14:paraId="6BEDAF77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4. Matriz Unificada de Direccionamiento IP y Segmentación (VLANs)</w:t>
      </w:r>
    </w:p>
    <w:p w14:paraId="1F409797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Para maximizar el rendimiento de la red, mitigar tormentas de broadcast y aislar los entornos lógicos, se implementará el protocolo </w:t>
      </w: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IEEE 802.1Q (VLAN Trunking)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. La distribución del direccionamiento privado bajo la máscara </w:t>
      </w:r>
      <w:r>
        <w:rPr>
          <w:rStyle w:val="7"/>
          <w:rFonts w:hint="default" w:ascii="Times New Roman" w:hAnsi="Times New Roman" w:eastAsia="sans-serif" w:cs="Times New Roman"/>
          <w:sz w:val="22"/>
          <w:szCs w:val="22"/>
        </w:rPr>
        <w:t>/24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se detalla en la siguiente matriz de ingeniería: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4"/>
        <w:gridCol w:w="1340"/>
        <w:gridCol w:w="1333"/>
        <w:gridCol w:w="1386"/>
        <w:gridCol w:w="1197"/>
        <w:gridCol w:w="1345"/>
        <w:gridCol w:w="1286"/>
      </w:tblGrid>
      <w:tr w14:paraId="3B9EAE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1DE54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VLAN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C70F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Nombre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D46E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Función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CC996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Red / Máscara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6ACC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Gateway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11321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Rango de IPs Útiles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640AE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Máscara de Subred</w:t>
            </w:r>
          </w:p>
        </w:tc>
      </w:tr>
      <w:tr w14:paraId="3BCD4D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304A7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9880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Administración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C6CD3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Equipos administrativos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5F873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192.168.10.0/24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822B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B67E25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192.168.10.2 - 192.168.10.254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6A4D62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255.255.255.0</w:t>
            </w:r>
          </w:p>
        </w:tc>
      </w:tr>
      <w:tr w14:paraId="7EF8C2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525A0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F47A2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Datos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1C7E3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Usuarios generales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53B56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192.168.20.0/24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9B77B0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192.168.20.1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452C3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192.168.20.2 - 192.168.20.254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1DBE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255.255.255.0</w:t>
            </w:r>
          </w:p>
        </w:tc>
      </w:tr>
      <w:tr w14:paraId="3AE885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57F6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30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EA8D18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Voz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74CB6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Telefonía IP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AC6BF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192.168.30.0/24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36CC0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192.168.30.1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7519E3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192.168.30.2 - 192.168.30.254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98C2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255.255.255.0</w:t>
            </w:r>
          </w:p>
        </w:tc>
      </w:tr>
      <w:tr w14:paraId="730441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68B1D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6F92B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Invitados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D5E5A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Acceso Wi-Fi visitantes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E3A52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192.168.40.0/24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7EBB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192.168.40.1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2BD46F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192.168.40.2 - 192.168.40.254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FAA48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255.255.255.0</w:t>
            </w:r>
          </w:p>
        </w:tc>
      </w:tr>
      <w:tr w14:paraId="67D01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C6961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50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297A7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Servidores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5881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Recursos críticos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0342A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192.168.50.0/24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5EE6C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192.168.50.1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C0998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192.168.50.2 - 192.168.50.254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27F96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255.255.255.0</w:t>
            </w:r>
          </w:p>
        </w:tc>
      </w:tr>
    </w:tbl>
    <w:p w14:paraId="0AB202F4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Nota: La comunicación inter-VLAN permitida se gestionará en el Router Principal mediante subinterfaces lógicas utilizando el esquema Router-on-a-stick.</w:t>
      </w:r>
    </w:p>
    <w:p w14:paraId="1478594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5. Políticas de Seguridad Informática</w:t>
      </w:r>
    </w:p>
    <w:p w14:paraId="0E9D873A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Seguridad de Acceso</w:t>
      </w:r>
    </w:p>
    <w:p w14:paraId="7657F1B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7540FA94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Políticas de Autenticación: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Implementación de contraseñas complejas (mínimo 12 caracteres, alfanuméricas y con símbolos) con cambio periódico obligatorio cada 90 días.</w:t>
      </w:r>
    </w:p>
    <w:p w14:paraId="7816AAA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2DF1DF9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743D93C3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Control de Privilegios: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Restricción absoluta al acceso administrativo de los equipos de red. Las consolas de comandos (CLI) solo admitirán conexiones cifradas mediante SSHv2, deshabilitando Telnet.</w:t>
      </w:r>
    </w:p>
    <w:p w14:paraId="694CFA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7F53778F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Seguridad de Red (Infraestructura)</w:t>
      </w:r>
    </w:p>
    <w:p w14:paraId="037FB1A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19F08CAF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Seguridad de Puertos (Port Security):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En los switches de distribución, se limitará el acceso por puerto a una única dirección MAC conocida. Si se detecta un dispositivo intruso o desconocido, el puerto cambiará automáticamente a estado de apagado de seguridad (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shutdown</w:t>
      </w:r>
      <w:r>
        <w:rPr>
          <w:rFonts w:hint="default" w:ascii="Times New Roman" w:hAnsi="Times New Roman" w:eastAsia="sans-serif" w:cs="Times New Roman"/>
          <w:sz w:val="22"/>
          <w:szCs w:val="22"/>
        </w:rPr>
        <w:t>).</w:t>
      </w:r>
    </w:p>
    <w:p w14:paraId="65FBFD2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7F192B2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4E9B2580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Control de Perímetro: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Firewall perimetral con inspección activa de paquetes (SPI) y políticas estrictas de denegación por defecto (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Deny All</w:t>
      </w:r>
      <w:r>
        <w:rPr>
          <w:rFonts w:hint="default" w:ascii="Times New Roman" w:hAnsi="Times New Roman" w:eastAsia="sans-serif" w:cs="Times New Roman"/>
          <w:sz w:val="22"/>
          <w:szCs w:val="22"/>
        </w:rPr>
        <w:t>), abriendo únicamente los puertos esenciales para la operación.</w:t>
      </w:r>
    </w:p>
    <w:p w14:paraId="3011360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6A1FA8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4DCE485A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Mitigación de Amenazas: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Bloqueo físico y lógico de todos los puertos de los switches que no se encuentren en uso asignándolos a una VLAN muerta (VLAN de no uso), e implementación de 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DHCP Snooping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para evitar servidores DHCP no autorizados (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Rogue DHCP</w:t>
      </w:r>
      <w:r>
        <w:rPr>
          <w:rFonts w:hint="default" w:ascii="Times New Roman" w:hAnsi="Times New Roman" w:eastAsia="sans-serif" w:cs="Times New Roman"/>
          <w:sz w:val="22"/>
          <w:szCs w:val="22"/>
        </w:rPr>
        <w:t>).</w:t>
      </w:r>
    </w:p>
    <w:p w14:paraId="6F52FC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67AF7302">
      <w:pPr>
        <w:pStyle w:val="4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Seguridad Inalámbrica</w:t>
      </w:r>
    </w:p>
    <w:p w14:paraId="65B619D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007E677B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Cifrado Avanzado: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Implementación de protocolos WPA2/WPA3 Enterprise para la red corporativa y WPA2-PSK para el entorno de visitas.</w:t>
      </w:r>
    </w:p>
    <w:p w14:paraId="42808F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19D9F46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0EF279F3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Aislamiento de Red (AP Isolation):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En la </w:t>
      </w: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VLAN 40 (Invitados)</w:t>
      </w:r>
      <w:r>
        <w:rPr>
          <w:rFonts w:hint="default" w:ascii="Times New Roman" w:hAnsi="Times New Roman" w:eastAsia="sans-serif" w:cs="Times New Roman"/>
          <w:sz w:val="22"/>
          <w:szCs w:val="22"/>
        </w:rPr>
        <w:t>, los Access Points mantendrán activa la función de aislamiento de cliente, impidiendo que los usuarios externos escaneen la red o ataquen otros dispositivos conectados.</w:t>
      </w:r>
    </w:p>
    <w:p w14:paraId="46AF2966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0BB71D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622D6A3F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Ocultamiento de SSID: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La red inalámbrica destinada a la administración e infraestructura crítica no transmitirá su nombre de manera pública (SSID Oculto).</w:t>
      </w:r>
    </w:p>
    <w:p w14:paraId="1103920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76FBF128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6. Equipos Seleccionados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48"/>
        <w:gridCol w:w="1301"/>
        <w:gridCol w:w="4992"/>
      </w:tblGrid>
      <w:tr w14:paraId="5B70D6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5C66B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Equipo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58AD4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Cantidad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CF22B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Función Tecnológica</w:t>
            </w:r>
          </w:p>
        </w:tc>
      </w:tr>
      <w:tr w14:paraId="4BB827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D1842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Router Empresarial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D4A21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EFA9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Enrutamiento inter-VLAN, traducción de direcciones (NAT) y borde de red.</w:t>
            </w:r>
          </w:p>
        </w:tc>
      </w:tr>
      <w:tr w14:paraId="7DEEC3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6D112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Switch Administrable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5D087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D5749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Distribución de capas 2/3, conmutación de paquetes de alta velocidad y soporte 802.1Q.</w:t>
            </w:r>
          </w:p>
        </w:tc>
      </w:tr>
      <w:tr w14:paraId="29D2E5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7C71F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Access Point Corporativo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20AD9E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ECBBB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Despliegue de conectividad Wi-Fi de alta densidad y segmentación de SSIDs.</w:t>
            </w:r>
          </w:p>
        </w:tc>
      </w:tr>
      <w:tr w14:paraId="37E7C2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2D678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Servidor Rackeable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F2FD2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34185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Alojamiento de servicios críticos de directorio, bases de datos y archivos locales.</w:t>
            </w:r>
          </w:p>
        </w:tc>
      </w:tr>
      <w:tr w14:paraId="76EAE3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FF2FB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Computadores de Escritorio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B0B7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7ED10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Estaciones de trabajo asignadas al personal operativo y administrativo.</w:t>
            </w:r>
          </w:p>
        </w:tc>
      </w:tr>
      <w:tr w14:paraId="3119A7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21F31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Impresoras de Red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69DC44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E0509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Recursos de impresión centralizada compartidos mediante direccionamiento estático.</w:t>
            </w:r>
          </w:p>
        </w:tc>
      </w:tr>
    </w:tbl>
    <w:p w14:paraId="0B02B5A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7. Licenciamiento de Software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0"/>
        <w:gridCol w:w="2923"/>
        <w:gridCol w:w="3938"/>
      </w:tblGrid>
      <w:tr w14:paraId="3DF2EE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ED521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Software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52A55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Tipo de Licencia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1CE40C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Propósito Operativo</w:t>
            </w:r>
          </w:p>
        </w:tc>
      </w:tr>
      <w:tr w14:paraId="09FF5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36DEAC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Server 2022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BF2A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Licencia Empresarial (SaaS/Volumen)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8964E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Sistema operativo de red para la gestión de políticas y recursos.</w:t>
            </w:r>
          </w:p>
        </w:tc>
      </w:tr>
      <w:tr w14:paraId="6778D7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E9ADB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Windows 11 Pro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7A0DD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OEM (Original Equipment Manufacturer)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8D84D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Sistema operativo base para las terminales de los usuarios.</w:t>
            </w:r>
          </w:p>
        </w:tc>
      </w:tr>
      <w:tr w14:paraId="026172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B9691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Microsoft 365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037792A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Suscripción mensual / anual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D2936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Suite ofimática corporativa y herramientas de colaboración en la nube.</w:t>
            </w:r>
          </w:p>
        </w:tc>
      </w:tr>
      <w:tr w14:paraId="104AD1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578D6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Cisco Packet Tracer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D4619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Freeware / Educativa (NetAcad)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ABA57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Entorno de software educativo para simulaciones y pruebas lógicas.</w:t>
            </w:r>
          </w:p>
        </w:tc>
      </w:tr>
      <w:tr w14:paraId="6A666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0C222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Ubuntu Server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D3051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Libre / Open Source (GPL)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67EC5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Sistema operativo de soporte para herramientas de código abierto.</w:t>
            </w:r>
          </w:p>
        </w:tc>
      </w:tr>
    </w:tbl>
    <w:p w14:paraId="5D64842E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8. Análisis de Costos Aproximados (Presupuesto Base)</w:t>
      </w:r>
    </w:p>
    <w:tbl>
      <w:tblPr>
        <w:tblW w:w="0" w:type="auto"/>
        <w:tblCellSpacing w:w="15" w:type="dxa"/>
        <w:tblInd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10"/>
        <w:gridCol w:w="1301"/>
        <w:gridCol w:w="2340"/>
        <w:gridCol w:w="1990"/>
      </w:tblGrid>
      <w:tr w14:paraId="2FF66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C4269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Elemento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F2D312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Cantidad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8D53B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Valor Unitario (COP)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F1680F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Style w:val="8"/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Total (COP)</w:t>
            </w:r>
          </w:p>
        </w:tc>
      </w:tr>
      <w:tr w14:paraId="284567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AC2DF43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Router Empresarial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102C6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321A36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$1.200.000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B45E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$1.200.000</w:t>
            </w:r>
          </w:p>
        </w:tc>
      </w:tr>
      <w:tr w14:paraId="6BEE3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0E0CE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Switch Administrable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C7A92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AE096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$850.000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778D8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$1.700.000</w:t>
            </w:r>
          </w:p>
        </w:tc>
      </w:tr>
      <w:tr w14:paraId="57986A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AD07E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Access Point Corporativo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CEED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7EEDB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$350.000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2914FE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$1.400.000</w:t>
            </w:r>
          </w:p>
        </w:tc>
      </w:tr>
      <w:tr w14:paraId="5E712E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7C507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Cableado Estructurado Cat 6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1896E0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 lote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C564C0B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$900.000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B82037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$900.000</w:t>
            </w:r>
          </w:p>
        </w:tc>
      </w:tr>
      <w:tr w14:paraId="2D625F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1C5DC7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Servidor Rackeable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0A9180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F94F55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$4.000.000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51CE7D8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$4.000.000</w:t>
            </w:r>
          </w:p>
        </w:tc>
      </w:tr>
      <w:tr w14:paraId="3C886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1BEC2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Computadores de Escritorio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91E05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6C8C9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$2.000.000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1A1AC1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$40.000.000</w:t>
            </w:r>
          </w:p>
        </w:tc>
      </w:tr>
      <w:tr w14:paraId="2541B5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52152DD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Impresoras de Red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3030B6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661E64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$700.000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C7F602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$1.400.000</w:t>
            </w:r>
          </w:p>
        </w:tc>
      </w:tr>
      <w:tr w14:paraId="06493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2BC66B9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VALOR TOTAL ESTIMADO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7FEF264">
            <w:pPr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89B3218">
            <w:pPr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shd w:val="clear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4058051">
            <w:pPr>
              <w:keepNext w:val="0"/>
              <w:keepLines w:val="0"/>
              <w:widowControl/>
              <w:suppressLineNumbers w:val="0"/>
              <w:spacing w:before="0" w:beforeAutospacing="0" w:line="17" w:lineRule="atLeast"/>
              <w:jc w:val="left"/>
              <w:rPr>
                <w:rFonts w:hint="default" w:ascii="Times New Roman" w:hAnsi="Times New Roman" w:eastAsia="sans-serif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eastAsia="sans-serif" w:cs="Times New Roman"/>
                <w:b/>
                <w:bCs/>
                <w:kern w:val="0"/>
                <w:sz w:val="22"/>
                <w:szCs w:val="22"/>
                <w:bdr w:val="none" w:color="auto" w:sz="0" w:space="0"/>
                <w:lang w:val="en-US" w:eastAsia="zh-CN" w:bidi="ar"/>
              </w:rPr>
              <w:t>$50.600.000 COP</w:t>
            </w:r>
          </w:p>
        </w:tc>
      </w:tr>
    </w:tbl>
    <w:p w14:paraId="30232BB5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9. Beneficios del Diseño Implemented</w:t>
      </w:r>
    </w:p>
    <w:p w14:paraId="13E69F7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60CF41F2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Mitigación de Riesgos de Seguridad: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El aislamiento estricto de los servidores y de la administración respecto al Wi-Fi de invitados impide intrusiones y fugas de datos.</w:t>
      </w:r>
    </w:p>
    <w:p w14:paraId="14CFAB4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7891A49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7D64B6EC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Rendimiento Óptimo de Conectividad: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La separación de los canales de Voz sobre IP (VLAN 30) y Datos (VLAN 20) previene la latencia y la pérdida de paquetes en llamadas telefónicas.</w:t>
      </w:r>
    </w:p>
    <w:p w14:paraId="522ADEE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217E79E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4102526B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Escalabilidad Estructurada: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La arquitectura permite agregar nuevos switches, computadores o subredes en el futuro sin alterar la estructura central ni el direccionamiento ya configurado.</w:t>
      </w:r>
    </w:p>
    <w:p w14:paraId="2E7C6B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4434C7A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040041DF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b/>
          <w:bCs/>
          <w:sz w:val="22"/>
          <w:szCs w:val="22"/>
        </w:rPr>
        <w:t>Administración Centralizada:</w:t>
      </w: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 El uso de hardware gestionable facilita el diagnóstico remoto de fallas a través del mapeo de puertos.</w:t>
      </w:r>
    </w:p>
    <w:p w14:paraId="59687A7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3E8B8D74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10. Conclusión</w:t>
      </w:r>
    </w:p>
    <w:p w14:paraId="6BBA5077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La implementación de una infraestructura segmentada mediante VLANs mejora considerablemente la seguridad perimetral y el rendimiento global de la red en la nueva sucursal. El despliegue de políticas de seguridad locales a nivel de switch (como 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Port Security</w:t>
      </w:r>
      <w:r>
        <w:rPr>
          <w:rFonts w:hint="default" w:ascii="Times New Roman" w:hAnsi="Times New Roman" w:eastAsia="sans-serif" w:cs="Times New Roman"/>
          <w:sz w:val="22"/>
          <w:szCs w:val="22"/>
        </w:rPr>
        <w:t>) y las configuraciones inalámbricas avanzadas garantizan un control absoluto sobre el tráfico de red. Este diseño proporciona una arquitectura estricta e ideal que sirve de cimiento para la Fase 2, donde se integrarán los esquemas de monitoreo, firewalls dedicados y túneles VPN corporativos.</w:t>
      </w:r>
    </w:p>
    <w:p w14:paraId="0F2B99B2">
      <w:pPr>
        <w:pStyle w:val="3"/>
        <w:keepNext w:val="0"/>
        <w:keepLines w:val="0"/>
        <w:widowControl/>
        <w:suppressLineNumbers w:val="0"/>
        <w:spacing w:before="0" w:beforeAutospacing="0" w:line="17" w:lineRule="atLeast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>11. Bibliografía</w:t>
      </w:r>
    </w:p>
    <w:p w14:paraId="15D947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60DB0380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Cisco Networking Academy. (2023). 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CCNA: Introduction to Networks &amp; Switching, Routing, and Wireless Essentials</w:t>
      </w:r>
      <w:r>
        <w:rPr>
          <w:rFonts w:hint="default" w:ascii="Times New Roman" w:hAnsi="Times New Roman" w:eastAsia="sans-serif" w:cs="Times New Roman"/>
          <w:sz w:val="22"/>
          <w:szCs w:val="22"/>
        </w:rPr>
        <w:t>.</w:t>
      </w:r>
    </w:p>
    <w:p w14:paraId="2F9851E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47D7D92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11A5FA2A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Microsoft Learn. (2024). 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Windows Server Deployment and Network Architecture Documentation</w:t>
      </w:r>
      <w:r>
        <w:rPr>
          <w:rFonts w:hint="default" w:ascii="Times New Roman" w:hAnsi="Times New Roman" w:eastAsia="sans-serif" w:cs="Times New Roman"/>
          <w:sz w:val="22"/>
          <w:szCs w:val="22"/>
        </w:rPr>
        <w:t>.</w:t>
      </w:r>
    </w:p>
    <w:p w14:paraId="790E668C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5C8AE1D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1664C73C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IEEE Standards Association. (2020). 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IEEE 802.1Q: Bridges and Bridged Networks - Virtual Bridged Local Area Networks</w:t>
      </w:r>
      <w:r>
        <w:rPr>
          <w:rFonts w:hint="default" w:ascii="Times New Roman" w:hAnsi="Times New Roman" w:eastAsia="sans-serif" w:cs="Times New Roman"/>
          <w:sz w:val="22"/>
          <w:szCs w:val="22"/>
        </w:rPr>
        <w:t>.</w:t>
      </w:r>
    </w:p>
    <w:p w14:paraId="76AA67F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13965B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Times New Roman" w:hAnsi="Times New Roman" w:eastAsia="sans-serif" w:cs="Times New Roman"/>
          <w:sz w:val="22"/>
          <w:szCs w:val="22"/>
        </w:rPr>
      </w:pPr>
    </w:p>
    <w:p w14:paraId="3FE75796">
      <w:pPr>
        <w:pStyle w:val="10"/>
        <w:keepNext w:val="0"/>
        <w:keepLines w:val="0"/>
        <w:widowControl/>
        <w:suppressLineNumbers w:val="0"/>
        <w:spacing w:before="0" w:beforeAutospacing="0" w:line="17" w:lineRule="atLeast"/>
        <w:ind w:left="720"/>
        <w:rPr>
          <w:rFonts w:hint="default" w:ascii="Times New Roman" w:hAnsi="Times New Roman" w:eastAsia="sans-serif" w:cs="Times New Roman"/>
          <w:sz w:val="22"/>
          <w:szCs w:val="22"/>
        </w:rPr>
      </w:pPr>
      <w:r>
        <w:rPr>
          <w:rFonts w:hint="default" w:ascii="Times New Roman" w:hAnsi="Times New Roman" w:eastAsia="sans-serif" w:cs="Times New Roman"/>
          <w:sz w:val="22"/>
          <w:szCs w:val="22"/>
        </w:rPr>
        <w:t xml:space="preserve">Documentación Oficial de Ubuntu Server. (2024). </w:t>
      </w:r>
      <w:r>
        <w:rPr>
          <w:rFonts w:hint="default" w:ascii="Times New Roman" w:hAnsi="Times New Roman" w:eastAsia="sans-serif" w:cs="Times New Roman"/>
          <w:i/>
          <w:iCs/>
          <w:sz w:val="22"/>
          <w:szCs w:val="22"/>
        </w:rPr>
        <w:t>Network Configuration Guide</w:t>
      </w:r>
      <w:r>
        <w:rPr>
          <w:rFonts w:hint="default" w:ascii="Times New Roman" w:hAnsi="Times New Roman" w:eastAsia="sans-serif" w:cs="Times New Roman"/>
          <w:sz w:val="22"/>
          <w:szCs w:val="22"/>
        </w:rPr>
        <w:t>.</w:t>
      </w:r>
    </w:p>
    <w:p w14:paraId="3CDA5F9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0" w:after="0" w:afterAutospacing="1" w:line="17" w:lineRule="atLeast"/>
        <w:ind w:left="1440" w:hanging="360"/>
        <w:rPr>
          <w:rFonts w:hint="default" w:ascii="sans-serif" w:hAnsi="sans-serif" w:eastAsia="sans-serif" w:cs="sans-serif"/>
        </w:rPr>
      </w:pPr>
    </w:p>
    <w:p w14:paraId="6CC4975F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2BB142"/>
    <w:multiLevelType w:val="multilevel"/>
    <w:tmpl w:val="9A2BB14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6779566"/>
    <w:multiLevelType w:val="multilevel"/>
    <w:tmpl w:val="C67795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19B6C93"/>
    <w:multiLevelType w:val="multilevel"/>
    <w:tmpl w:val="F19B6C9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7B9F46"/>
    <w:multiLevelType w:val="multilevel"/>
    <w:tmpl w:val="187B9F4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7F52EFA2"/>
    <w:multiLevelType w:val="multilevel"/>
    <w:tmpl w:val="7F52EF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F330FA"/>
    <w:rsid w:val="30F33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character" w:styleId="8">
    <w:name w:val="Strong"/>
    <w:basedOn w:val="5"/>
    <w:qFormat/>
    <w:uiPriority w:val="0"/>
    <w:rPr>
      <w:b/>
      <w:bCs/>
    </w:rPr>
  </w:style>
  <w:style w:type="paragraph" w:styleId="9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10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1168</Words>
  <Characters>7256</Characters>
  <Lines>0</Lines>
  <Paragraphs>0</Paragraphs>
  <TotalTime>1</TotalTime>
  <ScaleCrop>false</ScaleCrop>
  <LinksUpToDate>false</LinksUpToDate>
  <CharactersWithSpaces>8476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2026-05-23T02:15:00Z</dcterms:created>
  <dc:creator>Johan Daniel Soler Contreras 8B</dc:creator>
  <cp:lastModifiedBy>Johan Daniel Soler Contreras 8B</cp:lastModifiedBy>
  <dcterms:modified xsi:type="dcterms:W3CDTF">2026-05-23T02:17:31Z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2058-12.1.0.26372</vt:lpwstr>
  </property>
  <property fmtid="{D5CDD505-2E9C-101B-9397-08002B2CF9AE}" pid="3" name="ICV">
    <vt:lpwstr>6F0309C5B9974B2DB9E48F4FB3CA4028_11</vt:lpwstr>
  </property>
  <property fmtid="{D5CDD505-2E9C-101B-9397-08002B2CF9AE}" pid="4" name="KSOTemplateDocerSaveRecord">
    <vt:lpwstr>eyJoZGlkIjoiODcxMDBlOWU0YjdhZjgyODczNDVlZGZkNWE3MzMwOGYiLCJ1c2VySWQiOiIxNjY3MTAxMDcyNjE1In0=</vt:lpwstr>
  </property>
</Properties>
</file>