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3864"/>
          <w:sz w:val="44"/>
          <w:szCs w:val="44"/>
        </w:rPr>
        <w:t xml:space="preserve">INVENTARIO DE ACTIVOS TECNOLÓGICOS</w:t>
      </w:r>
    </w:p>
    <w:p>
      <w:pPr>
        <w:spacing w:after="200"/>
        <w:jc w:val="center"/>
      </w:pPr>
      <w:r>
        <w:rPr>
          <w:rFonts w:ascii="Arial" w:cs="Arial" w:eastAsia="Arial" w:hAnsi="Arial"/>
          <w:color w:val="333333"/>
          <w:sz w:val="26"/>
          <w:szCs w:val="26"/>
        </w:rPr>
        <w:t xml:space="preserve">Empresa: TechSoluciones S.A. de C.V.</w:t>
      </w:r>
    </w:p>
    <w:p>
      <w:pPr>
        <w:pBdr>
          <w:bottom w:val="single" w:color="2E75B6" w:sz="6" w:space="1"/>
        </w:pBdr>
        <w:spacing w:after="160" w:before="80"/>
      </w:pPr>
    </w:p>
    <w:p>
      <w:pPr>
        <w:spacing w:after="80"/>
      </w:pPr>
      <w:r>
        <w:t xml:space="preserve"/>
      </w:r>
    </w:p>
    <w:p>
      <w:pPr>
        <w:spacing w:after="120"/>
        <w:jc w:val="center"/>
      </w:pPr>
      <w:r>
        <w:rPr>
          <w:rFonts w:ascii="Arial" w:cs="Arial" w:eastAsia="Arial" w:hAnsi="Arial"/>
          <w:sz w:val="22"/>
          <w:szCs w:val="22"/>
        </w:rPr>
        <w:t xml:space="preserve">Elaborado por: Departamento de Tecnología de la Información</w:t>
      </w:r>
    </w:p>
    <w:p>
      <w:pPr>
        <w:spacing w:after="120"/>
        <w:jc w:val="center"/>
      </w:pPr>
      <w:r>
        <w:rPr>
          <w:rFonts w:ascii="Arial" w:cs="Arial" w:eastAsia="Arial" w:hAnsi="Arial"/>
          <w:sz w:val="22"/>
          <w:szCs w:val="22"/>
        </w:rPr>
        <w:t xml:space="preserve">Revisado por: Dirección General</w:t>
      </w:r>
    </w:p>
    <w:p>
      <w:pPr>
        <w:spacing w:after="120"/>
        <w:jc w:val="center"/>
      </w:pPr>
      <w:r>
        <w:rPr>
          <w:rFonts w:ascii="Arial" w:cs="Arial" w:eastAsia="Arial" w:hAnsi="Arial"/>
          <w:sz w:val="22"/>
          <w:szCs w:val="22"/>
        </w:rPr>
        <w:t xml:space="preserve">Versión: 1.0</w:t>
      </w:r>
    </w:p>
    <w:p>
      <w:pPr>
        <w:spacing w:after="120"/>
        <w:jc w:val="center"/>
      </w:pPr>
      <w:r>
        <w:rPr>
          <w:rFonts w:ascii="Arial" w:cs="Arial" w:eastAsia="Arial" w:hAnsi="Arial"/>
          <w:sz w:val="22"/>
          <w:szCs w:val="22"/>
        </w:rPr>
        <w:t xml:space="preserve">Fecha: Junio de 2025</w:t>
      </w:r>
    </w:p>
    <w:p/>
    <w:p>
      <w:pPr>
        <w:pStyle w:val="Heading1"/>
        <w:spacing w:after="200" w:before="360"/>
      </w:pPr>
      <w:r>
        <w:rPr>
          <w:rFonts w:ascii="Arial" w:cs="Arial" w:eastAsia="Arial" w:hAnsi="Arial"/>
          <w:b/>
          <w:bCs/>
          <w:color w:val="2E75B6"/>
          <w:sz w:val="28"/>
          <w:szCs w:val="28"/>
        </w:rPr>
        <w:t xml:space="preserve">1. Resumen Ejecutivo</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El presente documento constituye el registro formal y actualizado del inventario de activos tecnológicos de TechSoluciones S.A. de C.V. Su propósito es proporcionar una visión integral del patrimonio tecnológico de la organización, facilitando la gestión, el mantenimiento y la toma de decisiones estratégicas en materia de infraestructura tecnológica.</w:t>
      </w:r>
    </w:p>
    <w:p>
      <w:pPr>
        <w:spacing w:after="160" w:before="0" w:line="360" w:lineRule="auto"/>
        <w:jc w:val="left"/>
      </w:pPr>
      <w:r>
        <w:rPr>
          <w:rFonts w:ascii="Arial" w:cs="Arial" w:eastAsia="Arial" w:hAnsi="Arial"/>
          <w:b w:val="false"/>
          <w:bCs w:val="false"/>
          <w:color w:val="000000"/>
          <w:sz w:val="22"/>
          <w:szCs w:val="22"/>
        </w:rPr>
        <w:t xml:space="preserve">El inventario abarca cuatro categorías principales de activos: equipos de cómputo, dispositivos de red, licencias de software y periféricos. La información registrada incluye identificadores únicos, especificaciones técnicas, estado operativo, asignación departamental y valor de adquisición, conforme a las mejores prácticas de gestión de activos de TI (ITAM, por sus siglas en inglés).</w:t>
      </w:r>
    </w:p>
    <w:p>
      <w:pPr>
        <w:spacing w:after="80"/>
      </w:pPr>
      <w:r>
        <w:t xml:space="preserve"/>
      </w:r>
    </w:p>
    <w:p>
      <w:pPr>
        <w:pStyle w:val="Heading2"/>
        <w:spacing w:after="160" w:before="280"/>
      </w:pPr>
      <w:r>
        <w:rPr>
          <w:rFonts w:ascii="Arial" w:cs="Arial" w:eastAsia="Arial" w:hAnsi="Arial"/>
          <w:b/>
          <w:bCs/>
          <w:color w:val="1F3864"/>
          <w:sz w:val="24"/>
          <w:szCs w:val="24"/>
        </w:rPr>
        <w:t xml:space="preserve">1.1 Tabla Resumen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Categoría</w:t>
            </w:r>
          </w:p>
        </w:tc>
        <w:tc>
          <w:tcPr>
            <w:tcW w:type="dxa" w:w="2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Cantidad</w:t>
            </w:r>
          </w:p>
        </w:tc>
        <w:tc>
          <w:tcPr>
            <w:tcW w:type="dxa" w:w="2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Estado general</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Valor aprox. (USD)</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Equipos de cómputo</w:t>
            </w:r>
          </w:p>
        </w:tc>
        <w:tc>
          <w:tcPr>
            <w:tcW w:type="dxa" w:w="2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8</w:t>
            </w:r>
          </w:p>
        </w:tc>
        <w:tc>
          <w:tcPr>
            <w:tcW w:type="dxa" w:w="2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7 operativos / 1 en reparación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right"/>
            </w:pPr>
            <w:r>
              <w:rPr>
                <w:rFonts w:ascii="Arial" w:cs="Arial" w:eastAsia="Arial" w:hAnsi="Arial"/>
                <w:b w:val="false"/>
                <w:bCs w:val="false"/>
                <w:sz w:val="18"/>
                <w:szCs w:val="18"/>
              </w:rPr>
              <w:t xml:space="preserve">$11,749.00</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Dispositivos de red</w:t>
            </w:r>
          </w:p>
        </w:tc>
        <w:tc>
          <w:tcPr>
            <w:tcW w:type="dxa" w:w="2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7</w:t>
            </w:r>
          </w:p>
        </w:tc>
        <w:tc>
          <w:tcPr>
            <w:tcW w:type="dxa" w:w="2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7 operativos</w:t>
            </w:r>
          </w:p>
        </w:tc>
        <w:tc>
          <w:tcPr>
            <w:tcW w:type="dxa" w:w="2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right"/>
            </w:pPr>
            <w:r>
              <w:rPr>
                <w:rFonts w:ascii="Arial" w:cs="Arial" w:eastAsia="Arial" w:hAnsi="Arial"/>
                <w:b w:val="false"/>
                <w:bCs w:val="false"/>
                <w:sz w:val="18"/>
                <w:szCs w:val="18"/>
              </w:rPr>
              <w:t xml:space="preserv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Licencias de software</w:t>
            </w:r>
          </w:p>
        </w:tc>
        <w:tc>
          <w:tcPr>
            <w:tcW w:type="dxa" w:w="2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8</w:t>
            </w:r>
          </w:p>
        </w:tc>
        <w:tc>
          <w:tcPr>
            <w:tcW w:type="dxa" w:w="2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8 activas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right"/>
            </w:pPr>
            <w:r>
              <w:rPr>
                <w:rFonts w:ascii="Arial" w:cs="Arial" w:eastAsia="Arial" w:hAnsi="Arial"/>
                <w:b w:val="false"/>
                <w:bCs w:val="false"/>
                <w:sz w:val="18"/>
                <w:szCs w:val="18"/>
              </w:rPr>
              <w:t xml:space="preserv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Periféricos y otros</w:t>
            </w:r>
          </w:p>
        </w:tc>
        <w:tc>
          <w:tcPr>
            <w:tcW w:type="dxa" w:w="2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7</w:t>
            </w:r>
          </w:p>
        </w:tc>
        <w:tc>
          <w:tcPr>
            <w:tcW w:type="dxa" w:w="2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sz w:val="18"/>
                <w:szCs w:val="18"/>
              </w:rPr>
              <w:t xml:space="preserve">7 operativos</w:t>
            </w:r>
          </w:p>
        </w:tc>
        <w:tc>
          <w:tcPr>
            <w:tcW w:type="dxa" w:w="2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right"/>
            </w:pPr>
            <w:r>
              <w:rPr>
                <w:rFonts w:ascii="Arial" w:cs="Arial" w:eastAsia="Arial" w:hAnsi="Arial"/>
                <w:b w:val="false"/>
                <w:bCs w:val="false"/>
                <w:sz w:val="18"/>
                <w:szCs w:val="18"/>
              </w:rPr>
              <w:t xml:space="preserve">—</w:t>
            </w:r>
          </w:p>
        </w:tc>
      </w:tr>
      <w:tr>
        <w:tc>
          <w:tcPr>
            <w:tcW w:type="dxa" w:w="312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pPr>
              <w:jc w:val="left"/>
            </w:pPr>
            <w:r>
              <w:rPr>
                <w:rFonts w:ascii="Arial" w:cs="Arial" w:eastAsia="Arial" w:hAnsi="Arial"/>
                <w:b/>
                <w:bCs/>
                <w:sz w:val="18"/>
                <w:szCs w:val="18"/>
              </w:rPr>
              <w:t xml:space="preserve">TOTAL</w:t>
            </w:r>
          </w:p>
        </w:tc>
        <w:tc>
          <w:tcPr>
            <w:tcW w:type="dxa" w:w="212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pPr>
              <w:jc w:val="left"/>
            </w:pPr>
            <w:r>
              <w:rPr>
                <w:rFonts w:ascii="Arial" w:cs="Arial" w:eastAsia="Arial" w:hAnsi="Arial"/>
                <w:b/>
                <w:bCs/>
                <w:sz w:val="18"/>
                <w:szCs w:val="18"/>
              </w:rPr>
              <w:t xml:space="preserve">30</w:t>
            </w:r>
          </w:p>
        </w:tc>
        <w:tc>
          <w:tcPr>
            <w:tcW w:type="dxa" w:w="212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pPr>
              <w:jc w:val="left"/>
            </w:pPr>
            <w:r>
              <w:rPr>
                <w:rFonts w:ascii="Arial" w:cs="Arial" w:eastAsia="Arial" w:hAnsi="Arial"/>
                <w:b/>
                <w:bCs/>
                <w:sz w:val="18"/>
                <w:szCs w:val="18"/>
              </w:rPr>
              <w:t xml:space="preserve">29 operativos / 1 en reparación</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pPr>
              <w:jc w:val="right"/>
            </w:pPr>
            <w:r>
              <w:rPr>
                <w:rFonts w:ascii="Arial" w:cs="Arial" w:eastAsia="Arial" w:hAnsi="Arial"/>
                <w:b/>
                <w:bCs/>
                <w:sz w:val="18"/>
                <w:szCs w:val="18"/>
              </w:rPr>
              <w:t xml:space="preserve">—</w:t>
            </w:r>
          </w:p>
        </w:tc>
      </w:tr>
    </w:tbl>
    <w:p>
      <w:pPr>
        <w:spacing w:after="200" w:before="80"/>
        <w:jc w:val="center"/>
      </w:pPr>
      <w:r>
        <w:rPr>
          <w:rFonts w:ascii="Arial" w:cs="Arial" w:eastAsia="Arial" w:hAnsi="Arial"/>
          <w:color w:val="444444"/>
          <w:sz w:val="18"/>
          <w:szCs w:val="18"/>
        </w:rPr>
        <w:t xml:space="preserve">Tabla 1. Resumen de activos tecnológicos por categoría. Elaboración propia (2025).</w:t>
      </w:r>
    </w:p>
    <w:p/>
    <w:p>
      <w:pPr>
        <w:pStyle w:val="Heading1"/>
        <w:spacing w:after="200" w:before="360"/>
      </w:pPr>
      <w:r>
        <w:rPr>
          <w:rFonts w:ascii="Arial" w:cs="Arial" w:eastAsia="Arial" w:hAnsi="Arial"/>
          <w:b/>
          <w:bCs/>
          <w:color w:val="2E75B6"/>
          <w:sz w:val="28"/>
          <w:szCs w:val="28"/>
        </w:rPr>
        <w:t xml:space="preserve">2. Introducción</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La gestión eficiente de los activos tecnológicos representa un pilar fundamental en la administración moderna de las organizaciones. De acuerdo con la norma ISO/IEC 19770-1 (2017), la gestión de activos de software debe integrarse con los procesos generales de gestión de activos de TI para garantizar el control, la visibilidad y el cumplimiento normativo.</w:t>
      </w:r>
    </w:p>
    <w:p>
      <w:pPr>
        <w:spacing w:after="160" w:before="0" w:line="360" w:lineRule="auto"/>
        <w:jc w:val="left"/>
      </w:pPr>
      <w:r>
        <w:rPr>
          <w:rFonts w:ascii="Arial" w:cs="Arial" w:eastAsia="Arial" w:hAnsi="Arial"/>
          <w:b w:val="false"/>
          <w:bCs w:val="false"/>
          <w:color w:val="000000"/>
          <w:sz w:val="22"/>
          <w:szCs w:val="22"/>
        </w:rPr>
        <w:t xml:space="preserve">El presente inventario se ha elaborado siguiendo los lineamientos establecidos por el ITAM Institute (2023) y las directrices internas de la organización, con el objetivo de mantener un control preciso y actualizado de los recursos tecnológicos disponibles.</w:t>
      </w:r>
    </w:p>
    <w:p>
      <w:pPr>
        <w:pStyle w:val="Heading2"/>
        <w:spacing w:after="160" w:before="280"/>
      </w:pPr>
      <w:r>
        <w:rPr>
          <w:rFonts w:ascii="Arial" w:cs="Arial" w:eastAsia="Arial" w:hAnsi="Arial"/>
          <w:b/>
          <w:bCs/>
          <w:color w:val="1F3864"/>
          <w:sz w:val="24"/>
          <w:szCs w:val="24"/>
        </w:rPr>
        <w:t xml:space="preserve">2.1 Objetivos</w:t>
      </w:r>
    </w:p>
    <w:p>
      <w:pPr>
        <w:pStyle w:val="ListParagraph"/>
        <w:numPr>
          <w:ilvl w:val="0"/>
          <w:numId w:val="2"/>
        </w:numPr>
        <w:spacing w:after="120"/>
      </w:pPr>
      <w:r>
        <w:rPr>
          <w:rFonts w:ascii="Arial" w:cs="Arial" w:eastAsia="Arial" w:hAnsi="Arial"/>
          <w:sz w:val="22"/>
          <w:szCs w:val="22"/>
        </w:rPr>
        <w:t xml:space="preserve">Registrar y clasificar todos los activos tecnológicos de la empresa.</w:t>
      </w:r>
    </w:p>
    <w:p>
      <w:pPr>
        <w:pStyle w:val="ListParagraph"/>
        <w:numPr>
          <w:ilvl w:val="0"/>
          <w:numId w:val="2"/>
        </w:numPr>
        <w:spacing w:after="120"/>
      </w:pPr>
      <w:r>
        <w:rPr>
          <w:rFonts w:ascii="Arial" w:cs="Arial" w:eastAsia="Arial" w:hAnsi="Arial"/>
          <w:sz w:val="22"/>
          <w:szCs w:val="22"/>
        </w:rPr>
        <w:t xml:space="preserve">Controlar el estado operativo y la asignación departamental de cada activo.</w:t>
      </w:r>
    </w:p>
    <w:p>
      <w:pPr>
        <w:pStyle w:val="ListParagraph"/>
        <w:numPr>
          <w:ilvl w:val="0"/>
          <w:numId w:val="2"/>
        </w:numPr>
        <w:spacing w:after="120"/>
      </w:pPr>
      <w:r>
        <w:rPr>
          <w:rFonts w:ascii="Arial" w:cs="Arial" w:eastAsia="Arial" w:hAnsi="Arial"/>
          <w:sz w:val="22"/>
          <w:szCs w:val="22"/>
        </w:rPr>
        <w:t xml:space="preserve">Apoyar la planificación presupuestaria y la renovación tecnológica.</w:t>
      </w:r>
    </w:p>
    <w:p>
      <w:pPr>
        <w:pStyle w:val="ListParagraph"/>
        <w:numPr>
          <w:ilvl w:val="0"/>
          <w:numId w:val="2"/>
        </w:numPr>
        <w:spacing w:after="120"/>
      </w:pPr>
      <w:r>
        <w:rPr>
          <w:rFonts w:ascii="Arial" w:cs="Arial" w:eastAsia="Arial" w:hAnsi="Arial"/>
          <w:sz w:val="22"/>
          <w:szCs w:val="22"/>
        </w:rPr>
        <w:t xml:space="preserve">Garantizar el cumplimiento de las licencias de software vigentes.</w:t>
      </w:r>
    </w:p>
    <w:p>
      <w:pPr>
        <w:pStyle w:val="ListParagraph"/>
        <w:numPr>
          <w:ilvl w:val="0"/>
          <w:numId w:val="2"/>
        </w:numPr>
        <w:spacing w:after="200"/>
      </w:pPr>
      <w:r>
        <w:rPr>
          <w:rFonts w:ascii="Arial" w:cs="Arial" w:eastAsia="Arial" w:hAnsi="Arial"/>
          <w:sz w:val="22"/>
          <w:szCs w:val="22"/>
        </w:rPr>
        <w:t xml:space="preserve">Facilitar la auditoría interna y externa de recursos tecnológicos.</w:t>
      </w:r>
    </w:p>
    <w:p>
      <w:pPr>
        <w:pStyle w:val="Heading2"/>
        <w:spacing w:after="160" w:before="280"/>
      </w:pPr>
      <w:r>
        <w:rPr>
          <w:rFonts w:ascii="Arial" w:cs="Arial" w:eastAsia="Arial" w:hAnsi="Arial"/>
          <w:b/>
          <w:bCs/>
          <w:color w:val="1F3864"/>
          <w:sz w:val="24"/>
          <w:szCs w:val="24"/>
        </w:rPr>
        <w:t xml:space="preserve">2.2 Alcance</w:t>
      </w:r>
    </w:p>
    <w:p>
      <w:pPr>
        <w:spacing w:after="160" w:before="0" w:line="360" w:lineRule="auto"/>
        <w:jc w:val="left"/>
      </w:pPr>
      <w:r>
        <w:rPr>
          <w:rFonts w:ascii="Arial" w:cs="Arial" w:eastAsia="Arial" w:hAnsi="Arial"/>
          <w:b w:val="false"/>
          <w:bCs w:val="false"/>
          <w:color w:val="000000"/>
          <w:sz w:val="22"/>
          <w:szCs w:val="22"/>
        </w:rPr>
        <w:t xml:space="preserve">El presente inventario comprende todos los activos tecnológicos activos al 30 de junio de 2025, incluyendo hardware, software, dispositivos de red y equipos periféricos ubicados en las instalaciones de TechSoluciones S.A. de C.V. No se incluyen activos dados de baja, en proceso de desincorporación o pertenecientes a terceros.</w:t>
      </w:r>
    </w:p>
    <w:p/>
    <w:p>
      <w:pPr>
        <w:pStyle w:val="Heading1"/>
        <w:spacing w:after="200" w:before="360"/>
      </w:pPr>
      <w:r>
        <w:rPr>
          <w:rFonts w:ascii="Arial" w:cs="Arial" w:eastAsia="Arial" w:hAnsi="Arial"/>
          <w:b/>
          <w:bCs/>
          <w:color w:val="2E75B6"/>
          <w:sz w:val="28"/>
          <w:szCs w:val="28"/>
        </w:rPr>
        <w:t xml:space="preserve">3. Inventario de Equipos de Cómputo</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Los equipos de cómputo constituyen la columna vertebral de la infraestructura tecnológica de la organización. Según Laudon y Laudon (2022), los sistemas de información empresariales dependen de manera crítica de la calidad y disponibilidad del hardware de cómputo. En la Tabla 2 se presenta el registro detallado de los equipos activos al cierre del periodo.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200"/>
        <w:gridCol w:w="1000"/>
        <w:gridCol w:w="1200"/>
        <w:gridCol w:w="1100"/>
        <w:gridCol w:w="96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ID</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Descripción</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Marca</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Especificaciones</w:t>
            </w:r>
          </w:p>
        </w:tc>
        <w:tc>
          <w:tcPr>
            <w:tcW w:type="dxa" w:w="10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Asignado a</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Estado</w:t>
            </w:r>
          </w:p>
        </w:tc>
        <w:tc>
          <w:tcPr>
            <w:tcW w:type="dxa" w:w="11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Año adq.</w:t>
            </w:r>
          </w:p>
        </w:tc>
        <w:tc>
          <w:tcPr>
            <w:tcW w:type="dxa" w:w="9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Valor (USD)</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001</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Laptop Dell Latitude 5540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Dell</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Core i7 / 16 GB RAM / SSD 512 GB</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TI-001</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c>
          <w:tcPr>
            <w:tcW w:type="dxa" w:w="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Arial" w:cs="Arial" w:eastAsia="Arial" w:hAnsi="Arial"/>
                <w:sz w:val="18"/>
                <w:szCs w:val="18"/>
              </w:rPr>
              <w:t xml:space="preserve">$1,850.00</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002</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Laptop HP EliteBook 840</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HP</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Core i5 / 8 GB RAM / SSD 256 GB</w:t>
            </w:r>
          </w:p>
        </w:tc>
        <w:tc>
          <w:tcPr>
            <w:tcW w:type="dxa" w:w="1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ADM-002</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c>
          <w:tcPr>
            <w:tcW w:type="dxa" w:w="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right"/>
            </w:pPr>
            <w:r>
              <w:rPr>
                <w:rFonts w:ascii="Arial" w:cs="Arial" w:eastAsia="Arial" w:hAnsi="Arial"/>
                <w:sz w:val="18"/>
                <w:szCs w:val="18"/>
              </w:rPr>
              <w:t xml:space="preserve">$1,400.00</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003</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Desktop HP ProDesk 400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HP</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Core i7 / 16 GB RAM / HDD 1 TB</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CONT-003</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2021</w:t>
            </w:r>
          </w:p>
        </w:tc>
        <w:tc>
          <w:tcPr>
            <w:tcW w:type="dxa" w:w="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Arial" w:cs="Arial" w:eastAsia="Arial" w:hAnsi="Arial"/>
                <w:sz w:val="18"/>
                <w:szCs w:val="18"/>
              </w:rPr>
              <w:t xml:space="preserve">$980.00</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004</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Laptop Lenovo ThinkPad X1</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Lenovo</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Core i7 / 32 GB RAM / SSD 1 TB</w:t>
            </w:r>
          </w:p>
        </w:tc>
        <w:tc>
          <w:tcPr>
            <w:tcW w:type="dxa" w:w="1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GER-004</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2024</w:t>
            </w:r>
          </w:p>
        </w:tc>
        <w:tc>
          <w:tcPr>
            <w:tcW w:type="dxa" w:w="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right"/>
            </w:pPr>
            <w:r>
              <w:rPr>
                <w:rFonts w:ascii="Arial" w:cs="Arial" w:eastAsia="Arial" w:hAnsi="Arial"/>
                <w:sz w:val="18"/>
                <w:szCs w:val="18"/>
              </w:rPr>
              <w:t xml:space="preserve">$2,200.00</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005</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MacBook Pro 14"</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Apple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M3 Pro / 18 GB RAM / SSD 512 GB</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DIS-005</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2024</w:t>
            </w:r>
          </w:p>
        </w:tc>
        <w:tc>
          <w:tcPr>
            <w:tcW w:type="dxa" w:w="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Arial" w:cs="Arial" w:eastAsia="Arial" w:hAnsi="Arial"/>
                <w:sz w:val="18"/>
                <w:szCs w:val="18"/>
              </w:rPr>
              <w:t xml:space="preserve">$2,499.00</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006</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Desktop Dell OptiPlex 7090</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Dell</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Core i5 / 8 GB RAM / SSD 256 GB</w:t>
            </w:r>
          </w:p>
        </w:tc>
        <w:tc>
          <w:tcPr>
            <w:tcW w:type="dxa" w:w="1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LOG-006</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En reparación</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2020</w:t>
            </w:r>
          </w:p>
        </w:tc>
        <w:tc>
          <w:tcPr>
            <w:tcW w:type="dxa" w:w="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right"/>
            </w:pPr>
            <w:r>
              <w:rPr>
                <w:rFonts w:ascii="Arial" w:cs="Arial" w:eastAsia="Arial" w:hAnsi="Arial"/>
                <w:sz w:val="18"/>
                <w:szCs w:val="18"/>
              </w:rPr>
              <w:t xml:space="preserve">$870.00</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007</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Laptop Asus ExpertBook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Asus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Core i5 / 8 GB RAM / SSD 256 GB</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VEN-007</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c>
          <w:tcPr>
            <w:tcW w:type="dxa" w:w="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right"/>
            </w:pPr>
            <w:r>
              <w:rPr>
                <w:rFonts w:ascii="Arial" w:cs="Arial" w:eastAsia="Arial" w:hAnsi="Arial"/>
                <w:sz w:val="18"/>
                <w:szCs w:val="18"/>
              </w:rPr>
              <w:t xml:space="preserve">$1,100.00</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008</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All-in-One HP 24</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HP</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Core i3 / 8 GB RAM / HDD 500 GB</w:t>
            </w:r>
          </w:p>
        </w:tc>
        <w:tc>
          <w:tcPr>
            <w:tcW w:type="dxa" w:w="1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REC-008</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c>
          <w:tcPr>
            <w:tcW w:type="dxa" w:w="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right"/>
            </w:pPr>
            <w:r>
              <w:rPr>
                <w:rFonts w:ascii="Arial" w:cs="Arial" w:eastAsia="Arial" w:hAnsi="Arial"/>
                <w:sz w:val="18"/>
                <w:szCs w:val="18"/>
              </w:rPr>
              <w:t xml:space="preserve">$850.00</w:t>
            </w:r>
          </w:p>
        </w:tc>
      </w:tr>
    </w:tbl>
    <w:p>
      <w:pPr>
        <w:spacing w:after="200" w:before="80"/>
        <w:jc w:val="center"/>
      </w:pPr>
      <w:r>
        <w:rPr>
          <w:rFonts w:ascii="Arial" w:cs="Arial" w:eastAsia="Arial" w:hAnsi="Arial"/>
          <w:color w:val="444444"/>
          <w:sz w:val="18"/>
          <w:szCs w:val="18"/>
        </w:rPr>
        <w:t xml:space="preserve">Tabla 2. Inventario de equipos de cómputo. Elaboración propia (2025).</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Nota. La columna «Asignado a» corresponde al código de empleado o departamento responsable del resguardo del equipo. El valor de adquisición está expresado en dólares estadounidenses (USD) al tipo de cambio vigente en la fecha de compra.</w:t>
      </w:r>
    </w:p>
    <w:p/>
    <w:p>
      <w:pPr>
        <w:pStyle w:val="Heading1"/>
        <w:spacing w:after="200" w:before="360"/>
      </w:pPr>
      <w:r>
        <w:rPr>
          <w:rFonts w:ascii="Arial" w:cs="Arial" w:eastAsia="Arial" w:hAnsi="Arial"/>
          <w:b/>
          <w:bCs/>
          <w:color w:val="2E75B6"/>
          <w:sz w:val="28"/>
          <w:szCs w:val="28"/>
        </w:rPr>
        <w:t xml:space="preserve">4. Inventario de Dispositivos de Red</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La infraestructura de red constituye el soporte de conectividad para todas las operaciones de la organización. De acuerdo con Tanenbaum y Wetherall (2021), la correcta gestión y documentación de los dispositivos de red es esencial para garantizar la disponibilidad, la seguridad y el rendimiento de los servicios digitales.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1200"/>
        <w:gridCol w:w="1160"/>
        <w:gridCol w:w="1200"/>
        <w:gridCol w:w="180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ID</w:t>
            </w:r>
          </w:p>
        </w:tc>
        <w:tc>
          <w:tcPr>
            <w:tcW w:type="dxa" w:w="17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Descripción</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Marca</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Características</w:t>
            </w:r>
          </w:p>
        </w:tc>
        <w:tc>
          <w:tcPr>
            <w:tcW w:type="dxa" w:w="11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Ubicación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Estado</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Año adq.</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R-001</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Switch Cisco Catalyst 2960</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Cisco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24 puertos / Gigabit</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Sala servidores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R-002</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Router MikroTik RB4011</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MikroTik</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10 puertos / 1 Gbps</w:t>
            </w:r>
          </w:p>
        </w:tc>
        <w:tc>
          <w:tcPr>
            <w:tcW w:type="dxa" w:w="1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Sala servidores</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R-003</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Access Point Ubiquiti UAP-AC</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Ubiquiti</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802.11ac / Dual Band</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Planta 1</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R-004</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Access Point Ubiquiti UAP-AC</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Ubiquiti</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802.11ac / Dual Band</w:t>
            </w:r>
          </w:p>
        </w:tc>
        <w:tc>
          <w:tcPr>
            <w:tcW w:type="dxa" w:w="1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Planta 2</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R-005</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Firewall FortiGate 60F</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Fortinet</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NGFW / VPN / IPS</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Sala servidores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R-006</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Switch TP-Link TL-SG1024</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TP-Link</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24 puertos / Gigabit</w:t>
            </w:r>
          </w:p>
        </w:tc>
        <w:tc>
          <w:tcPr>
            <w:tcW w:type="dxa" w:w="1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Recepción</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2021</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R-007</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Módem Óptico Fibra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ISP</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1 Gbps simétrico</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Sala servidores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r>
    </w:tbl>
    <w:p>
      <w:pPr>
        <w:spacing w:after="200" w:before="80"/>
        <w:jc w:val="center"/>
      </w:pPr>
      <w:r>
        <w:rPr>
          <w:rFonts w:ascii="Arial" w:cs="Arial" w:eastAsia="Arial" w:hAnsi="Arial"/>
          <w:color w:val="444444"/>
          <w:sz w:val="18"/>
          <w:szCs w:val="18"/>
        </w:rPr>
        <w:t xml:space="preserve">Tabla 3. Inventario de dispositivos de red. Elaboración propia (2025).</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Nota. Todos los dispositivos de red se encuentran ubicados en instalaciones protegidas con control de acceso físico y climatización adecuada, conforme a los estándares ANSI/TIA-942 para centros de datos.</w:t>
      </w:r>
    </w:p>
    <w:p/>
    <w:p>
      <w:pPr>
        <w:pStyle w:val="Heading1"/>
        <w:spacing w:after="200" w:before="360"/>
      </w:pPr>
      <w:r>
        <w:rPr>
          <w:rFonts w:ascii="Arial" w:cs="Arial" w:eastAsia="Arial" w:hAnsi="Arial"/>
          <w:b/>
          <w:bCs/>
          <w:color w:val="2E75B6"/>
          <w:sz w:val="28"/>
          <w:szCs w:val="28"/>
        </w:rPr>
        <w:t xml:space="preserve">5. Inventario de Software y Licencias</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La gestión de licencias de software es un componente crítico del gobierno de TI. El Software Alliance (BSA, 2023) señala que el uso de software sin licencia expone a las organizaciones a riesgos legales, financieros y de seguridad significativos. La Tabla 4 detalla las licencias activas de la empresa.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300"/>
        <w:gridCol w:w="1100"/>
        <w:gridCol w:w="1300"/>
        <w:gridCol w:w="1200"/>
        <w:gridCol w:w="186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ID</w:t>
            </w:r>
          </w:p>
        </w:tc>
        <w:tc>
          <w:tcPr>
            <w:tcW w:type="dxa" w:w="17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Software</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Proveedor</w:t>
            </w:r>
          </w:p>
        </w:tc>
        <w:tc>
          <w:tcPr>
            <w:tcW w:type="dxa" w:w="11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Tipo lic.</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Cantidad</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Vencimiento</w:t>
            </w:r>
          </w:p>
        </w:tc>
        <w:tc>
          <w:tcPr>
            <w:tcW w:type="dxa" w:w="18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Estado</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S-001</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Microsoft 365 Business</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Microsoft</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SaaS / Nube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15 licencias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2025-12-31</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S-002</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Adobe Creative Cloud</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Adobe</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SaaS / Nube</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3 licencias</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2025-08-31</w:t>
            </w:r>
          </w:p>
        </w:tc>
        <w:tc>
          <w:tcPr>
            <w:tcW w:type="dxa" w:w="18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S-003</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AutoCAD 2024</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Autodesk</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Perpetua</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 licencias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N/A</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S-004</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Windows 11 Pro</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Microsoft</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OEM</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8 licencias</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N/A</w:t>
            </w:r>
          </w:p>
        </w:tc>
        <w:tc>
          <w:tcPr>
            <w:tcW w:type="dxa" w:w="18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S-005</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Kaspersky Endpoint Security</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Kaspersky</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Anual</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15 licencias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2025-06-30</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S-006</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Slack Business+</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Slack</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SaaS / Nube</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 usuarios</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2025-10-15</w:t>
            </w:r>
          </w:p>
        </w:tc>
        <w:tc>
          <w:tcPr>
            <w:tcW w:type="dxa" w:w="18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S-007</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QuickBooks Enterprise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Intuit</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Anual</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3 licencias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2025-09-30</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S-008</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Zoom Business</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Zoom</w:t>
            </w:r>
          </w:p>
        </w:tc>
        <w:tc>
          <w:tcPr>
            <w:tcW w:type="dxa" w:w="11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SaaS / Nube</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10 usuarios</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2025-11-01</w:t>
            </w:r>
          </w:p>
        </w:tc>
        <w:tc>
          <w:tcPr>
            <w:tcW w:type="dxa" w:w="18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Activa</w:t>
            </w:r>
          </w:p>
        </w:tc>
      </w:tr>
    </w:tbl>
    <w:p>
      <w:pPr>
        <w:spacing w:after="200" w:before="80"/>
        <w:jc w:val="center"/>
      </w:pPr>
      <w:r>
        <w:rPr>
          <w:rFonts w:ascii="Arial" w:cs="Arial" w:eastAsia="Arial" w:hAnsi="Arial"/>
          <w:color w:val="444444"/>
          <w:sz w:val="18"/>
          <w:szCs w:val="18"/>
        </w:rPr>
        <w:t xml:space="preserve">Tabla 4. Inventario de licencias de software. Elaboración propia (2025).</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Nota. Las fechas de vencimiento corresponden al ciclo de renovación anual. Se recomienda iniciar los procesos de renovación con un mínimo de 30 días de anticipación para evitar interrupciones en el servicio.</w:t>
      </w:r>
    </w:p>
    <w:p/>
    <w:p>
      <w:pPr>
        <w:pStyle w:val="Heading1"/>
        <w:spacing w:after="200" w:before="360"/>
      </w:pPr>
      <w:r>
        <w:rPr>
          <w:rFonts w:ascii="Arial" w:cs="Arial" w:eastAsia="Arial" w:hAnsi="Arial"/>
          <w:b/>
          <w:bCs/>
          <w:color w:val="2E75B6"/>
          <w:sz w:val="28"/>
          <w:szCs w:val="28"/>
        </w:rPr>
        <w:t xml:space="preserve">6. Inventario de Periféricos y Otros Equipos</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Los dispositivos periféricos y equipos de apoyo complementan la infraestructura tecnológica principal de la organización. Su correcto registro y mantenimiento contribuye a la continuidad operativa y a la optimización de los recursos disponibles.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300"/>
        <w:gridCol w:w="1260"/>
        <w:gridCol w:w="1200"/>
        <w:gridCol w:w="1200"/>
        <w:gridCol w:w="1600"/>
      </w:tblGrid>
      <w:tr>
        <w:trPr>
          <w:tblHeader/>
        </w:trPr>
        <w:tc>
          <w:tcPr>
            <w:tcW w:type="dxa" w:w="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ID</w:t>
            </w:r>
          </w:p>
        </w:tc>
        <w:tc>
          <w:tcPr>
            <w:tcW w:type="dxa" w:w="1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Descripción</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Marca</w:t>
            </w:r>
          </w:p>
        </w:tc>
        <w:tc>
          <w:tcPr>
            <w:tcW w:type="dxa" w:w="12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Características</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Ubicación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Estado</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Año adq.</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P-001</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Impresora HP LaserJet Pro M428</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HP</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Láser monocromático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Administración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P-002</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Impresora Epson L6270</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Epson</w:t>
            </w:r>
          </w:p>
        </w:tc>
        <w:tc>
          <w:tcPr>
            <w:tcW w:type="dxa" w:w="12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Inyección de tinta / Color</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Gerencia</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P-003</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Proyector Epson PowerLite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Epson</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3LCD / 3600 lúmenes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Sala de reuniones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P-004</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Monitor LG 27" 4K</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LG</w:t>
            </w:r>
          </w:p>
        </w:tc>
        <w:tc>
          <w:tcPr>
            <w:tcW w:type="dxa" w:w="12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IPS / 4K UHD</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TI-001</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P-005</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UPS APC Smart-UPS 1500VA</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APC</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1500VA / 980W</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Sala servidores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2021</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P-006</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Escáner Fujitsu ScanSnap</w:t>
            </w:r>
          </w:p>
        </w:tc>
        <w:tc>
          <w:tcPr>
            <w:tcW w:type="dxa" w:w="13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Fujitsu</w:t>
            </w:r>
          </w:p>
        </w:tc>
        <w:tc>
          <w:tcPr>
            <w:tcW w:type="dxa" w:w="12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Color / 25 ppm</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Administración</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vAlign w:val="center"/>
          </w:tcPr>
          <w:p>
            <w:pPr>
              <w:jc w:val="left"/>
            </w:pPr>
            <w:r>
              <w:rPr>
                <w:rFonts w:ascii="Arial" w:cs="Arial" w:eastAsia="Arial" w:hAnsi="Arial"/>
                <w:sz w:val="18"/>
                <w:szCs w:val="18"/>
              </w:rPr>
              <w:t xml:space="preserve">2022</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P-007</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Cámara IP Hikvision DS-2CD</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Hikvision</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4 MP / PoE / H.265</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Entrada principal</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Operativo</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sz w:val="18"/>
                <w:szCs w:val="18"/>
              </w:rPr>
              <w:t xml:space="preserve">2023</w:t>
            </w:r>
          </w:p>
        </w:tc>
      </w:tr>
    </w:tbl>
    <w:p>
      <w:pPr>
        <w:spacing w:after="200" w:before="80"/>
        <w:jc w:val="center"/>
      </w:pPr>
      <w:r>
        <w:rPr>
          <w:rFonts w:ascii="Arial" w:cs="Arial" w:eastAsia="Arial" w:hAnsi="Arial"/>
          <w:color w:val="444444"/>
          <w:sz w:val="18"/>
          <w:szCs w:val="18"/>
        </w:rPr>
        <w:t xml:space="preserve">Tabla 5. Inventario de periféricos y equipos de apoyo. Elaboración propia (2025).</w:t>
      </w:r>
    </w:p>
    <w:p/>
    <w:p>
      <w:pPr>
        <w:pStyle w:val="Heading1"/>
        <w:spacing w:after="200" w:before="360"/>
      </w:pPr>
      <w:r>
        <w:rPr>
          <w:rFonts w:ascii="Arial" w:cs="Arial" w:eastAsia="Arial" w:hAnsi="Arial"/>
          <w:b/>
          <w:bCs/>
          <w:color w:val="2E75B6"/>
          <w:sz w:val="28"/>
          <w:szCs w:val="28"/>
        </w:rPr>
        <w:t xml:space="preserve">7. Análisis y Recomendaciones</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Con base en el inventario presentado y siguiendo los principios del Marco de Gestión de Activos de TI (IAITAM, 2023), se emiten las siguientes recomendaciones:</w:t>
      </w:r>
    </w:p>
    <w:p>
      <w:pPr>
        <w:pStyle w:val="Heading2"/>
        <w:spacing w:after="160" w:before="280"/>
      </w:pPr>
      <w:r>
        <w:rPr>
          <w:rFonts w:ascii="Arial" w:cs="Arial" w:eastAsia="Arial" w:hAnsi="Arial"/>
          <w:b/>
          <w:bCs/>
          <w:color w:val="1F3864"/>
          <w:sz w:val="24"/>
          <w:szCs w:val="24"/>
        </w:rPr>
        <w:t xml:space="preserve">7.1 Renovación de Equipos</w:t>
      </w:r>
    </w:p>
    <w:p>
      <w:pPr>
        <w:spacing w:after="160" w:before="0" w:line="360" w:lineRule="auto"/>
        <w:jc w:val="left"/>
      </w:pPr>
      <w:r>
        <w:rPr>
          <w:rFonts w:ascii="Arial" w:cs="Arial" w:eastAsia="Arial" w:hAnsi="Arial"/>
          <w:b w:val="false"/>
          <w:bCs w:val="false"/>
          <w:color w:val="000000"/>
          <w:sz w:val="22"/>
          <w:szCs w:val="22"/>
        </w:rPr>
        <w:t xml:space="preserve">El equipo Desktop Dell OptiPlex 7090 (ID: 006, año 2020) se encuentra actualmente en reparación y supera el ciclo de vida útil recomendado de cinco años para equipos de cómputo de escritorio. Se recomienda evaluar su sustitución en el próximo ejercicio presupuestal.</w:t>
      </w:r>
    </w:p>
    <w:p>
      <w:pPr>
        <w:pStyle w:val="Heading2"/>
        <w:spacing w:after="160" w:before="280"/>
      </w:pPr>
      <w:r>
        <w:rPr>
          <w:rFonts w:ascii="Arial" w:cs="Arial" w:eastAsia="Arial" w:hAnsi="Arial"/>
          <w:b/>
          <w:bCs/>
          <w:color w:val="1F3864"/>
          <w:sz w:val="24"/>
          <w:szCs w:val="24"/>
        </w:rPr>
        <w:t xml:space="preserve">7.2 Vencimiento de Licencias</w:t>
      </w:r>
    </w:p>
    <w:p>
      <w:pPr>
        <w:spacing w:after="160" w:before="0" w:line="360" w:lineRule="auto"/>
        <w:jc w:val="left"/>
      </w:pPr>
      <w:r>
        <w:rPr>
          <w:rFonts w:ascii="Arial" w:cs="Arial" w:eastAsia="Arial" w:hAnsi="Arial"/>
          <w:b w:val="false"/>
          <w:bCs w:val="false"/>
          <w:color w:val="000000"/>
          <w:sz w:val="22"/>
          <w:szCs w:val="22"/>
        </w:rPr>
        <w:t xml:space="preserve">La licencia de Kaspersky Endpoint Security (ID: S-005) vence el 30 de junio de 2025. Se requiere acción inmediata para su renovación, dado que la protección antivirus es crítica para la seguridad operativa de la organización.</w:t>
      </w:r>
    </w:p>
    <w:p>
      <w:pPr>
        <w:pStyle w:val="Heading2"/>
        <w:spacing w:after="160" w:before="280"/>
      </w:pPr>
      <w:r>
        <w:rPr>
          <w:rFonts w:ascii="Arial" w:cs="Arial" w:eastAsia="Arial" w:hAnsi="Arial"/>
          <w:b/>
          <w:bCs/>
          <w:color w:val="1F3864"/>
          <w:sz w:val="24"/>
          <w:szCs w:val="24"/>
        </w:rPr>
        <w:t xml:space="preserve">7.3 Actualización del Inventario</w:t>
      </w:r>
    </w:p>
    <w:p>
      <w:pPr>
        <w:spacing w:after="160" w:before="0" w:line="360" w:lineRule="auto"/>
        <w:jc w:val="left"/>
      </w:pPr>
      <w:r>
        <w:rPr>
          <w:rFonts w:ascii="Arial" w:cs="Arial" w:eastAsia="Arial" w:hAnsi="Arial"/>
          <w:b w:val="false"/>
          <w:bCs w:val="false"/>
          <w:color w:val="000000"/>
          <w:sz w:val="22"/>
          <w:szCs w:val="22"/>
        </w:rPr>
        <w:t xml:space="preserve">Se recomienda establecer un proceso de revisión trimestral del inventario para mantener la información actualizada y reflejar con precisión el estado real de los activos. Asimismo, se sugiere implementar una herramienta de gestión de activos (ITAM tool) para automatizar el proceso de auditoría.</w:t>
      </w:r>
    </w:p>
    <w:p>
      <w:pPr>
        <w:pStyle w:val="Heading2"/>
        <w:spacing w:after="160" w:before="280"/>
      </w:pPr>
      <w:r>
        <w:rPr>
          <w:rFonts w:ascii="Arial" w:cs="Arial" w:eastAsia="Arial" w:hAnsi="Arial"/>
          <w:b/>
          <w:bCs/>
          <w:color w:val="1F3864"/>
          <w:sz w:val="24"/>
          <w:szCs w:val="24"/>
        </w:rPr>
        <w:t xml:space="preserve">7.4 Política de Ciclo de Vida</w:t>
      </w:r>
    </w:p>
    <w:p>
      <w:pPr>
        <w:spacing w:after="160" w:before="0" w:line="360" w:lineRule="auto"/>
        <w:jc w:val="left"/>
      </w:pPr>
      <w:r>
        <w:rPr>
          <w:rFonts w:ascii="Arial" w:cs="Arial" w:eastAsia="Arial" w:hAnsi="Arial"/>
          <w:b w:val="false"/>
          <w:bCs w:val="false"/>
          <w:color w:val="000000"/>
          <w:sz w:val="22"/>
          <w:szCs w:val="22"/>
        </w:rPr>
        <w:t xml:space="preserve">Conforme a las mejores prácticas documentadas por Gartner (2024), se sugiere formalizar una política de ciclo de vida tecnológico que establezca los periodos máximos de uso, los criterios de baja y los procesos de disposición segura de activos tecnológicos.</w:t>
      </w:r>
    </w:p>
    <w:p/>
    <w:p>
      <w:pPr>
        <w:pStyle w:val="Heading1"/>
        <w:spacing w:after="200" w:before="360"/>
      </w:pPr>
      <w:r>
        <w:rPr>
          <w:rFonts w:ascii="Arial" w:cs="Arial" w:eastAsia="Arial" w:hAnsi="Arial"/>
          <w:b/>
          <w:bCs/>
          <w:color w:val="2E75B6"/>
          <w:sz w:val="28"/>
          <w:szCs w:val="28"/>
        </w:rPr>
        <w:t xml:space="preserve">8. Referencias</w:t>
      </w:r>
    </w:p>
    <w:p>
      <w:pPr>
        <w:pBdr>
          <w:bottom w:val="single" w:color="2E75B6" w:sz="6" w:space="1"/>
        </w:pBdr>
        <w:spacing w:after="160" w:before="80"/>
      </w:pPr>
    </w:p>
    <w:p>
      <w:pPr>
        <w:spacing w:after="160" w:before="80" w:line="360" w:lineRule="auto"/>
        <w:jc w:val="left"/>
      </w:pPr>
      <w:r>
        <w:rPr>
          <w:rFonts w:ascii="Arial" w:cs="Arial" w:eastAsia="Arial" w:hAnsi="Arial"/>
          <w:b w:val="false"/>
          <w:bCs w:val="false"/>
          <w:color w:val="000000"/>
          <w:sz w:val="22"/>
          <w:szCs w:val="22"/>
        </w:rPr>
        <w:t xml:space="preserve">Business Software Alliance. (2023). </w:t>
      </w:r>
    </w:p>
    <w:p>
      <w:pPr>
        <w:spacing w:after="160" w:before="0" w:line="360" w:lineRule="auto"/>
        <w:jc w:val="left"/>
      </w:pPr>
      <w:r>
        <w:rPr>
          <w:rFonts w:ascii="Arial" w:cs="Arial" w:eastAsia="Arial" w:hAnsi="Arial"/>
          <w:b w:val="false"/>
          <w:bCs w:val="false"/>
          <w:color w:val="000000"/>
          <w:sz w:val="22"/>
          <w:szCs w:val="22"/>
        </w:rPr>
        <w:t xml:space="preserve">BSA. (2023). Software management: Security imperative, business opportunity. BSA | The Software Alliance. https://www.bsa.org/reports/software-management-security-imperative-business-opportunity</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Gartner. (2024). IT asset management (ITAM). Gartner Glossary. https://www.gartner.com/en/information-technology/glossary/it-asset-management</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IAITAM. (2023). IT asset management body of knowledge (ITAM BoK) (3.a ed.). International Association of Information Technology Asset Managers.</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International Organization for Standardization. (2017). ISO/IEC 19770-1:2017 — Information technology — IT asset management — Part 1: IT asset management systems requirements. ISO. https://www.iso.org/standard/68531.html</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Laudon, K. C., y Laudon, J. P. (2022). Management information systems: Managing the digital firm (16.a ed.). Pearson.</w:t>
      </w:r>
    </w:p>
    <w:p>
      <w:pPr>
        <w:spacing w:after="80"/>
      </w:pPr>
      <w:r>
        <w:t xml:space="preserve"/>
      </w:r>
    </w:p>
    <w:p>
      <w:pPr>
        <w:spacing w:after="160" w:before="0" w:line="360" w:lineRule="auto"/>
        <w:jc w:val="left"/>
      </w:pPr>
      <w:r>
        <w:rPr>
          <w:rFonts w:ascii="Arial" w:cs="Arial" w:eastAsia="Arial" w:hAnsi="Arial"/>
          <w:b w:val="false"/>
          <w:bCs w:val="false"/>
          <w:color w:val="000000"/>
          <w:sz w:val="22"/>
          <w:szCs w:val="22"/>
        </w:rPr>
        <w:t xml:space="preserve">Tanenbaum, A. S., y Wetherall, D. (2021). Computer networks (6.a ed.). Pearson Prentice Hall.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jc w:val="center"/>
    </w:pPr>
    <w:r>
      <w:rPr>
        <w:rFonts w:ascii="Arial" w:cs="Arial" w:eastAsia="Arial" w:hAnsi="Arial"/>
        <w:color w:val="777777"/>
        <w:sz w:val="16"/>
        <w:szCs w:val="16"/>
      </w:rPr>
      <w:t xml:space="preserve">Documento confidencial — Uso interno</w:t>
    </w:r>
    <w:r>
      <w:rPr>
        <w:rFonts w:ascii="Arial" w:cs="Arial" w:eastAsia="Arial" w:hAnsi="Arial"/>
        <w:color w:val="777777"/>
        <w:sz w:val="16"/>
        <w:szCs w:val="16"/>
      </w:rPr>
      <w:t xml:space="preserve">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555555"/>
        <w:sz w:val="16"/>
        <w:szCs w:val="16"/>
      </w:rPr>
      <w:t xml:space="preserve">INVENTARIO DE ACTIVOS TECNOLÓGICOS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2026-06-05T20:10:34.583Z</dcterms:created>
  <dcterms:modified xsi:type="dcterms:W3CDTF">2026-06-05T20:10:34.584Z</dcterms:modified>
</cp:coreProperties>
</file>

<file path=docProps/custom.xml><?xml version="1.0" encoding="utf-8"?>
<Properties xmlns="http://schemas.openxmlformats.org/officeDocument/2006/custom-properties" xmlns:vt="http://schemas.openxmlformats.org/officeDocument/2006/docPropsVTypes"/>
</file>