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C74634"/>
          <w:sz w:val="22"/>
          <w:szCs w:val="22"/>
        </w:rPr>
        <w:t xml:space="preserve">PROYECTO ORACLE</w:t>
      </w:r>
    </w:p>
    <w:p>
      <w:pPr>
        <w:spacing w:after="100" w:before="200"/>
        <w:jc w:val="center"/>
      </w:pPr>
      <w:r>
        <w:rPr>
          <w:b/>
          <w:bCs/>
          <w:color w:val="1A1A1A"/>
          <w:sz w:val="44"/>
          <w:szCs w:val="44"/>
        </w:rPr>
        <w:t xml:space="preserve">Ubicación de Patch Panels y Racks</w:t>
      </w:r>
    </w:p>
    <w:p>
      <w:pPr>
        <w:spacing w:after="400"/>
        <w:jc w:val="center"/>
      </w:pPr>
      <w:r>
        <w:rPr>
          <w:color w:val="555555"/>
          <w:sz w:val="28"/>
          <w:szCs w:val="28"/>
        </w:rPr>
        <w:t xml:space="preserve">Infraestructura física de cableado</w:t>
      </w:r>
    </w:p>
    <w:p>
      <w:pPr>
        <w:jc w:val="center"/>
      </w:pPr>
      <w:r>
        <w:rPr>
          <w:i/>
          <w:iCs/>
          <w:color w:val="777777"/>
          <w:sz w:val="20"/>
          <w:szCs w:val="20"/>
        </w:rPr>
        <w:t xml:space="preserve">Documento técnico de referencia</w:t>
      </w:r>
    </w:p>
    <w:p>
      <w:r>
        <w:br w:type="page"/>
      </w:r>
    </w:p>
    <w:p>
      <w:pPr>
        <w:pStyle w:val="Heading1"/>
        <w:spacing w:after="150" w:before="300"/>
      </w:pPr>
      <w:r>
        <w:t xml:space="preserve">1. Introducción</w:t>
      </w:r>
    </w:p>
    <w:p>
      <w:pPr>
        <w:pBdr>
          <w:bottom w:val="single" w:color="C74634" w:sz="6"/>
        </w:pBdr>
        <w:spacing w:after="200"/>
      </w:pPr>
    </w:p>
    <w:p>
      <w:pPr>
        <w:spacing w:after="150"/>
      </w:pPr>
      <w:r>
        <w:rPr>
          <w:sz w:val="22"/>
          <w:szCs w:val="22"/>
        </w:rPr>
        <w:t xml:space="preserve">Este documento define la ubicación de racks y patch panels para el Proyecto Oracle, estableciendo criterios de instalación que garanticen orden, ventilación y facilidad de mantenimiento del cableado estructurado.</w:t>
      </w:r>
    </w:p>
    <w:p>
      <w:pPr>
        <w:pStyle w:val="Heading1"/>
        <w:spacing w:after="150" w:before="300"/>
      </w:pPr>
      <w:r>
        <w:t xml:space="preserve">2. Racks</w:t>
      </w:r>
    </w:p>
    <w:p>
      <w:pPr>
        <w:pBdr>
          <w:bottom w:val="single" w:color="C74634" w:sz="6"/>
        </w:pBdr>
        <w:spacing w:after="200"/>
      </w:pPr>
    </w:p>
    <w:p>
      <w:pPr>
        <w:spacing w:after="150"/>
      </w:pPr>
      <w:r>
        <w:rPr>
          <w:sz w:val="22"/>
          <w:szCs w:val="22"/>
        </w:rPr>
        <w:t xml:space="preserve">Gabinetes que alojan switches, servidores, patch panels y equipos de conectividad. Su ubicación determina el rendimiento térmico y la facilidad de operación de la 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C74634" w:val="clear"/>
            <w:tcMar>
              <w:top w:type="dxa" w:w="80"/>
              <w:left w:type="dxa" w:w="100"/>
              <w:bottom w:type="dxa" w:w="80"/>
              <w:right w:type="dxa" w:w="100"/>
            </w:tcMar>
          </w:tcPr>
          <w:p>
            <w:r>
              <w:rPr>
                <w:b/>
                <w:bCs/>
                <w:color w:val="FFFFFF"/>
                <w:sz w:val="20"/>
                <w:szCs w:val="20"/>
              </w:rPr>
              <w:t xml:space="preserve">Característica</w:t>
            </w:r>
          </w:p>
        </w:tc>
        <w:tc>
          <w:tcPr>
            <w:tcW w:type="dxa" w:w="6350"/>
            <w:shd w:fill="C74634" w:val="clear"/>
            <w:tcMar>
              <w:top w:type="dxa" w:w="80"/>
              <w:left w:type="dxa" w:w="100"/>
              <w:bottom w:type="dxa" w:w="80"/>
              <w:right w:type="dxa" w:w="100"/>
            </w:tcMar>
          </w:tcPr>
          <w:p>
            <w:r>
              <w:rPr>
                <w:b/>
                <w:bCs/>
                <w:color w:val="FFFFFF"/>
                <w:sz w:val="20"/>
                <w:szCs w:val="20"/>
              </w:rPr>
              <w:t xml:space="preserve">Descripción</w:t>
            </w:r>
          </w:p>
        </w:tc>
      </w:tr>
      <w:tr>
        <w:tc>
          <w:tcPr>
            <w:tcW w:type="dxa" w:w="3000"/>
            <w:shd w:fill="F5F0EC" w:val="clear"/>
            <w:tcMar>
              <w:top w:type="dxa" w:w="80"/>
              <w:left w:type="dxa" w:w="100"/>
              <w:bottom w:type="dxa" w:w="80"/>
              <w:right w:type="dxa" w:w="100"/>
            </w:tcMar>
          </w:tcPr>
          <w:p>
            <w:r>
              <w:rPr>
                <w:b/>
                <w:bCs/>
                <w:color w:val="1A1A1A"/>
                <w:sz w:val="20"/>
                <w:szCs w:val="20"/>
              </w:rPr>
              <w:t xml:space="preserve">Ubicación principal</w:t>
            </w:r>
          </w:p>
        </w:tc>
        <w:tc>
          <w:tcPr>
            <w:tcW w:type="dxa" w:w="6350"/>
            <w:shd w:fill="FFFFFF" w:val="clear"/>
            <w:tcMar>
              <w:top w:type="dxa" w:w="80"/>
              <w:left w:type="dxa" w:w="100"/>
              <w:bottom w:type="dxa" w:w="80"/>
              <w:right w:type="dxa" w:w="100"/>
            </w:tcMar>
          </w:tcPr>
          <w:p>
            <w:r>
              <w:rPr>
                <w:b w:val="false"/>
                <w:bCs w:val="false"/>
                <w:color w:val="1A1A1A"/>
                <w:sz w:val="20"/>
                <w:szCs w:val="20"/>
              </w:rPr>
              <w:t xml:space="preserve">Cuarto de telecomunicaciones / datacenter (MDF)</w:t>
            </w:r>
          </w:p>
        </w:tc>
      </w:tr>
      <w:tr>
        <w:tc>
          <w:tcPr>
            <w:tcW w:type="dxa" w:w="3000"/>
            <w:shd w:fill="F5F0EC" w:val="clear"/>
            <w:tcMar>
              <w:top w:type="dxa" w:w="80"/>
              <w:left w:type="dxa" w:w="100"/>
              <w:bottom w:type="dxa" w:w="80"/>
              <w:right w:type="dxa" w:w="100"/>
            </w:tcMar>
          </w:tcPr>
          <w:p>
            <w:r>
              <w:rPr>
                <w:b/>
                <w:bCs/>
                <w:color w:val="1A1A1A"/>
                <w:sz w:val="20"/>
                <w:szCs w:val="20"/>
              </w:rPr>
              <w:t xml:space="preserve">Ubicación secundaria</w:t>
            </w:r>
          </w:p>
        </w:tc>
        <w:tc>
          <w:tcPr>
            <w:tcW w:type="dxa" w:w="6350"/>
            <w:shd w:fill="FFFFFF" w:val="clear"/>
            <w:tcMar>
              <w:top w:type="dxa" w:w="80"/>
              <w:left w:type="dxa" w:w="100"/>
              <w:bottom w:type="dxa" w:w="80"/>
              <w:right w:type="dxa" w:w="100"/>
            </w:tcMar>
          </w:tcPr>
          <w:p>
            <w:r>
              <w:rPr>
                <w:b w:val="false"/>
                <w:bCs w:val="false"/>
                <w:color w:val="1A1A1A"/>
                <w:sz w:val="20"/>
                <w:szCs w:val="20"/>
              </w:rPr>
              <w:t xml:space="preserve">Cuartos de distribución por piso (IDF)</w:t>
            </w:r>
          </w:p>
        </w:tc>
      </w:tr>
      <w:tr>
        <w:tc>
          <w:tcPr>
            <w:tcW w:type="dxa" w:w="3000"/>
            <w:shd w:fill="F5F0EC" w:val="clear"/>
            <w:tcMar>
              <w:top w:type="dxa" w:w="80"/>
              <w:left w:type="dxa" w:w="100"/>
              <w:bottom w:type="dxa" w:w="80"/>
              <w:right w:type="dxa" w:w="100"/>
            </w:tcMar>
          </w:tcPr>
          <w:p>
            <w:r>
              <w:rPr>
                <w:b/>
                <w:bCs/>
                <w:color w:val="1A1A1A"/>
                <w:sz w:val="20"/>
                <w:szCs w:val="20"/>
              </w:rPr>
              <w:t xml:space="preserve">Espaciado recomendado</w:t>
            </w:r>
          </w:p>
        </w:tc>
        <w:tc>
          <w:tcPr>
            <w:tcW w:type="dxa" w:w="6350"/>
            <w:shd w:fill="FFFFFF" w:val="clear"/>
            <w:tcMar>
              <w:top w:type="dxa" w:w="80"/>
              <w:left w:type="dxa" w:w="100"/>
              <w:bottom w:type="dxa" w:w="80"/>
              <w:right w:type="dxa" w:w="100"/>
            </w:tcMar>
          </w:tcPr>
          <w:p>
            <w:r>
              <w:rPr>
                <w:b w:val="false"/>
                <w:bCs w:val="false"/>
                <w:color w:val="1A1A1A"/>
                <w:sz w:val="20"/>
                <w:szCs w:val="20"/>
              </w:rPr>
              <w:t xml:space="preserve">Mínimo 1 m al frente y detrás para mantenimiento</w:t>
            </w:r>
          </w:p>
        </w:tc>
      </w:tr>
      <w:tr>
        <w:tc>
          <w:tcPr>
            <w:tcW w:type="dxa" w:w="3000"/>
            <w:shd w:fill="F5F0EC" w:val="clear"/>
            <w:tcMar>
              <w:top w:type="dxa" w:w="80"/>
              <w:left w:type="dxa" w:w="100"/>
              <w:bottom w:type="dxa" w:w="80"/>
              <w:right w:type="dxa" w:w="100"/>
            </w:tcMar>
          </w:tcPr>
          <w:p>
            <w:r>
              <w:rPr>
                <w:b/>
                <w:bCs/>
                <w:color w:val="1A1A1A"/>
                <w:sz w:val="20"/>
                <w:szCs w:val="20"/>
              </w:rPr>
              <w:t xml:space="preserve">Condiciones del entorno</w:t>
            </w:r>
          </w:p>
        </w:tc>
        <w:tc>
          <w:tcPr>
            <w:tcW w:type="dxa" w:w="6350"/>
            <w:shd w:fill="FFFFFF" w:val="clear"/>
            <w:tcMar>
              <w:top w:type="dxa" w:w="80"/>
              <w:left w:type="dxa" w:w="100"/>
              <w:bottom w:type="dxa" w:w="80"/>
              <w:right w:type="dxa" w:w="100"/>
            </w:tcMar>
          </w:tcPr>
          <w:p>
            <w:r>
              <w:rPr>
                <w:b w:val="false"/>
                <w:bCs w:val="false"/>
                <w:color w:val="1A1A1A"/>
                <w:sz w:val="20"/>
                <w:szCs w:val="20"/>
              </w:rPr>
              <w:t xml:space="preserve">Climatización, piso técnico o antiestático, UPS cercano</w:t>
            </w:r>
          </w:p>
        </w:tc>
      </w:tr>
    </w:tbl>
    <w:p>
      <w:pPr>
        <w:spacing w:after="200"/>
      </w:pPr>
    </w:p>
    <w:p>
      <w:pPr>
        <w:pStyle w:val="ListParagraph"/>
        <w:numPr>
          <w:ilvl w:val="0"/>
          <w:numId w:val="2"/>
        </w:numPr>
        <w:spacing w:after="80"/>
      </w:pPr>
      <w:r>
        <w:rPr>
          <w:sz w:val="22"/>
          <w:szCs w:val="22"/>
        </w:rPr>
        <w:t xml:space="preserve">El MDF (Main Distribution Frame) centraliza la conexión hacia el datacenter.</w:t>
      </w:r>
    </w:p>
    <w:p>
      <w:pPr>
        <w:pStyle w:val="ListParagraph"/>
        <w:numPr>
          <w:ilvl w:val="0"/>
          <w:numId w:val="2"/>
        </w:numPr>
        <w:spacing w:after="80"/>
      </w:pPr>
      <w:r>
        <w:rPr>
          <w:sz w:val="22"/>
          <w:szCs w:val="22"/>
        </w:rPr>
        <w:t xml:space="preserve">Los IDF (Intermediate Distribution Frame) se ubican por piso o área, cerca de los puntos de red.</w:t>
      </w:r>
    </w:p>
    <w:p>
      <w:pPr>
        <w:pStyle w:val="ListParagraph"/>
        <w:numPr>
          <w:ilvl w:val="0"/>
          <w:numId w:val="2"/>
        </w:numPr>
        <w:spacing w:after="80"/>
      </w:pPr>
      <w:r>
        <w:rPr>
          <w:sz w:val="22"/>
          <w:szCs w:val="22"/>
        </w:rPr>
        <w:t xml:space="preserve">Distancia máxima recomendada IDF–puesto de trabajo: 90 metros de cableado horizontal.</w:t>
      </w:r>
    </w:p>
    <w:p>
      <w:pPr>
        <w:pStyle w:val="Heading1"/>
        <w:spacing w:after="150" w:before="300"/>
      </w:pPr>
      <w:r>
        <w:t xml:space="preserve">3. Patch Panels</w:t>
      </w:r>
    </w:p>
    <w:p>
      <w:pPr>
        <w:pBdr>
          <w:bottom w:val="single" w:color="C74634" w:sz="6"/>
        </w:pBdr>
        <w:spacing w:after="200"/>
      </w:pPr>
    </w:p>
    <w:p>
      <w:pPr>
        <w:spacing w:after="150"/>
      </w:pPr>
      <w:r>
        <w:rPr>
          <w:sz w:val="22"/>
          <w:szCs w:val="22"/>
        </w:rPr>
        <w:t xml:space="preserve">Paneles de conexión que terminan el cableado horizontal proveniente de los puntos de red y permiten la interconexión ordenada hacia los switches mediante patch cords.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C74634" w:val="clear"/>
            <w:tcMar>
              <w:top w:type="dxa" w:w="80"/>
              <w:left w:type="dxa" w:w="100"/>
              <w:bottom w:type="dxa" w:w="80"/>
              <w:right w:type="dxa" w:w="100"/>
            </w:tcMar>
          </w:tcPr>
          <w:p>
            <w:r>
              <w:rPr>
                <w:b/>
                <w:bCs/>
                <w:color w:val="FFFFFF"/>
                <w:sz w:val="20"/>
                <w:szCs w:val="20"/>
              </w:rPr>
              <w:t xml:space="preserve">Característica</w:t>
            </w:r>
          </w:p>
        </w:tc>
        <w:tc>
          <w:tcPr>
            <w:tcW w:type="dxa" w:w="6350"/>
            <w:shd w:fill="C74634" w:val="clear"/>
            <w:tcMar>
              <w:top w:type="dxa" w:w="80"/>
              <w:left w:type="dxa" w:w="100"/>
              <w:bottom w:type="dxa" w:w="80"/>
              <w:right w:type="dxa" w:w="100"/>
            </w:tcMar>
          </w:tcPr>
          <w:p>
            <w:r>
              <w:rPr>
                <w:b/>
                <w:bCs/>
                <w:color w:val="FFFFFF"/>
                <w:sz w:val="20"/>
                <w:szCs w:val="20"/>
              </w:rPr>
              <w:t xml:space="preserve">Descripción</w:t>
            </w:r>
          </w:p>
        </w:tc>
      </w:tr>
      <w:tr>
        <w:tc>
          <w:tcPr>
            <w:tcW w:type="dxa" w:w="3000"/>
            <w:shd w:fill="F5F0EC" w:val="clear"/>
            <w:tcMar>
              <w:top w:type="dxa" w:w="80"/>
              <w:left w:type="dxa" w:w="100"/>
              <w:bottom w:type="dxa" w:w="80"/>
              <w:right w:type="dxa" w:w="100"/>
            </w:tcMar>
          </w:tcPr>
          <w:p>
            <w:r>
              <w:rPr>
                <w:b/>
                <w:bCs/>
                <w:color w:val="1A1A1A"/>
                <w:sz w:val="20"/>
                <w:szCs w:val="20"/>
              </w:rPr>
              <w:t xml:space="preserve">Ubicación</w:t>
            </w:r>
          </w:p>
        </w:tc>
        <w:tc>
          <w:tcPr>
            <w:tcW w:type="dxa" w:w="6350"/>
            <w:shd w:fill="FFFFFF" w:val="clear"/>
            <w:tcMar>
              <w:top w:type="dxa" w:w="80"/>
              <w:left w:type="dxa" w:w="100"/>
              <w:bottom w:type="dxa" w:w="80"/>
              <w:right w:type="dxa" w:w="100"/>
            </w:tcMar>
          </w:tcPr>
          <w:p>
            <w:r>
              <w:rPr>
                <w:b w:val="false"/>
                <w:bCs w:val="false"/>
                <w:color w:val="1A1A1A"/>
                <w:sz w:val="20"/>
                <w:szCs w:val="20"/>
              </w:rPr>
              <w:t xml:space="preserve">Parte superior del rack, sobre los switches</w:t>
            </w:r>
          </w:p>
        </w:tc>
      </w:tr>
      <w:tr>
        <w:tc>
          <w:tcPr>
            <w:tcW w:type="dxa" w:w="3000"/>
            <w:shd w:fill="F5F0EC" w:val="clear"/>
            <w:tcMar>
              <w:top w:type="dxa" w:w="80"/>
              <w:left w:type="dxa" w:w="100"/>
              <w:bottom w:type="dxa" w:w="80"/>
              <w:right w:type="dxa" w:w="100"/>
            </w:tcMar>
          </w:tcPr>
          <w:p>
            <w:r>
              <w:rPr>
                <w:b/>
                <w:bCs/>
                <w:color w:val="1A1A1A"/>
                <w:sz w:val="20"/>
                <w:szCs w:val="20"/>
              </w:rPr>
              <w:t xml:space="preserve">Organización</w:t>
            </w:r>
          </w:p>
        </w:tc>
        <w:tc>
          <w:tcPr>
            <w:tcW w:type="dxa" w:w="6350"/>
            <w:shd w:fill="FFFFFF" w:val="clear"/>
            <w:tcMar>
              <w:top w:type="dxa" w:w="80"/>
              <w:left w:type="dxa" w:w="100"/>
              <w:bottom w:type="dxa" w:w="80"/>
              <w:right w:type="dxa" w:w="100"/>
            </w:tcMar>
          </w:tcPr>
          <w:p>
            <w:r>
              <w:rPr>
                <w:b w:val="false"/>
                <w:bCs w:val="false"/>
                <w:color w:val="1A1A1A"/>
                <w:sz w:val="20"/>
                <w:szCs w:val="20"/>
              </w:rPr>
              <w:t xml:space="preserve">Un patch panel por cada 24/48 puertos de switch</w:t>
            </w:r>
          </w:p>
        </w:tc>
      </w:tr>
      <w:tr>
        <w:tc>
          <w:tcPr>
            <w:tcW w:type="dxa" w:w="3000"/>
            <w:shd w:fill="F5F0EC" w:val="clear"/>
            <w:tcMar>
              <w:top w:type="dxa" w:w="80"/>
              <w:left w:type="dxa" w:w="100"/>
              <w:bottom w:type="dxa" w:w="80"/>
              <w:right w:type="dxa" w:w="100"/>
            </w:tcMar>
          </w:tcPr>
          <w:p>
            <w:r>
              <w:rPr>
                <w:b/>
                <w:bCs/>
                <w:color w:val="1A1A1A"/>
                <w:sz w:val="20"/>
                <w:szCs w:val="20"/>
              </w:rPr>
              <w:t xml:space="preserve">Identificación</w:t>
            </w:r>
          </w:p>
        </w:tc>
        <w:tc>
          <w:tcPr>
            <w:tcW w:type="dxa" w:w="6350"/>
            <w:shd w:fill="FFFFFF" w:val="clear"/>
            <w:tcMar>
              <w:top w:type="dxa" w:w="80"/>
              <w:left w:type="dxa" w:w="100"/>
              <w:bottom w:type="dxa" w:w="80"/>
              <w:right w:type="dxa" w:w="100"/>
            </w:tcMar>
          </w:tcPr>
          <w:p>
            <w:r>
              <w:rPr>
                <w:b w:val="false"/>
                <w:bCs w:val="false"/>
                <w:color w:val="1A1A1A"/>
                <w:sz w:val="20"/>
                <w:szCs w:val="20"/>
              </w:rPr>
              <w:t xml:space="preserve">Rotulado de cada puerto según punto de red de origen</w:t>
            </w:r>
          </w:p>
        </w:tc>
      </w:tr>
      <w:tr>
        <w:tc>
          <w:tcPr>
            <w:tcW w:type="dxa" w:w="3000"/>
            <w:shd w:fill="F5F0EC" w:val="clear"/>
            <w:tcMar>
              <w:top w:type="dxa" w:w="80"/>
              <w:left w:type="dxa" w:w="100"/>
              <w:bottom w:type="dxa" w:w="80"/>
              <w:right w:type="dxa" w:w="100"/>
            </w:tcMar>
          </w:tcPr>
          <w:p>
            <w:r>
              <w:rPr>
                <w:b/>
                <w:bCs/>
                <w:color w:val="1A1A1A"/>
                <w:sz w:val="20"/>
                <w:szCs w:val="20"/>
              </w:rPr>
              <w:t xml:space="preserve">Gestión de cables</w:t>
            </w:r>
          </w:p>
        </w:tc>
        <w:tc>
          <w:tcPr>
            <w:tcW w:type="dxa" w:w="6350"/>
            <w:shd w:fill="FFFFFF" w:val="clear"/>
            <w:tcMar>
              <w:top w:type="dxa" w:w="80"/>
              <w:left w:type="dxa" w:w="100"/>
              <w:bottom w:type="dxa" w:w="80"/>
              <w:right w:type="dxa" w:w="100"/>
            </w:tcMar>
          </w:tcPr>
          <w:p>
            <w:r>
              <w:rPr>
                <w:b w:val="false"/>
                <w:bCs w:val="false"/>
                <w:color w:val="1A1A1A"/>
                <w:sz w:val="20"/>
                <w:szCs w:val="20"/>
              </w:rPr>
              <w:t xml:space="preserve">Organizador horizontal entre patch panel y switch</w:t>
            </w:r>
          </w:p>
        </w:tc>
      </w:tr>
    </w:tbl>
    <w:p>
      <w:pPr>
        <w:spacing w:after="200"/>
      </w:pPr>
    </w:p>
    <w:p>
      <w:pPr>
        <w:pStyle w:val="ListParagraph"/>
        <w:numPr>
          <w:ilvl w:val="0"/>
          <w:numId w:val="2"/>
        </w:numPr>
        <w:spacing w:after="80"/>
      </w:pPr>
      <w:r>
        <w:rPr>
          <w:sz w:val="22"/>
          <w:szCs w:val="22"/>
        </w:rPr>
        <w:t xml:space="preserve">Se instalan por encima del switch correspondiente para minimizar longitud de patch cord.</w:t>
      </w:r>
    </w:p>
    <w:p>
      <w:pPr>
        <w:pStyle w:val="ListParagraph"/>
        <w:numPr>
          <w:ilvl w:val="0"/>
          <w:numId w:val="2"/>
        </w:numPr>
        <w:spacing w:after="80"/>
      </w:pPr>
      <w:r>
        <w:rPr>
          <w:sz w:val="22"/>
          <w:szCs w:val="22"/>
        </w:rPr>
        <w:t xml:space="preserve">El etiquetado debe coincidir con la numeración de la roseta o punto de red.</w:t>
      </w:r>
    </w:p>
    <w:p>
      <w:pPr>
        <w:pStyle w:val="ListParagraph"/>
        <w:numPr>
          <w:ilvl w:val="0"/>
          <w:numId w:val="2"/>
        </w:numPr>
        <w:spacing w:after="80"/>
      </w:pPr>
      <w:r>
        <w:rPr>
          <w:sz w:val="22"/>
          <w:szCs w:val="22"/>
        </w:rPr>
        <w:t xml:space="preserve">Separar patch panels de datos y de voz si aplica, para facilitar la operación.</w:t>
      </w:r>
    </w:p>
    <w:p>
      <w:pPr>
        <w:pStyle w:val="Heading1"/>
        <w:spacing w:after="150" w:before="300"/>
      </w:pPr>
      <w:r>
        <w:t xml:space="preserve">4. Recomendación para el Proyecto</w:t>
      </w:r>
    </w:p>
    <w:p>
      <w:pPr>
        <w:pBdr>
          <w:bottom w:val="single" w:color="C74634" w:sz="6"/>
        </w:pBdr>
        <w:spacing w:after="200"/>
      </w:pPr>
    </w:p>
    <w:p>
      <w:pPr>
        <w:spacing w:after="150"/>
      </w:pPr>
      <w:r>
        <w:rPr>
          <w:sz w:val="22"/>
          <w:szCs w:val="22"/>
        </w:rPr>
        <w:t xml:space="preserve">El rack principal (MDF) se ubica en el datacenter, donde residen los servidores Oracle y el core de red. Los racks secundarios (IDF) se ubican en cuartos de telecomunicaciones por piso, conectados al MDF mediante fibra óptica de backbone. Los patch panels de cada rack deben quedar rotulados y con holgura de cableado suficiente para mantenimiento.</w:t>
      </w:r>
    </w:p>
    <w:p>
      <w:pPr>
        <w:pStyle w:val="Heading1"/>
        <w:spacing w:after="150" w:before="300"/>
      </w:pPr>
      <w:r>
        <w:t xml:space="preserve">5. Resumen comparativo</w:t>
      </w:r>
    </w:p>
    <w:p>
      <w:pPr>
        <w:pBdr>
          <w:bottom w:val="single" w:color="C74634" w:sz="6"/>
        </w:pBd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50"/>
      </w:tblGrid>
      <w:tr>
        <w:tc>
          <w:tcPr>
            <w:tcW w:type="dxa" w:w="2200"/>
            <w:shd w:fill="C74634" w:val="clear"/>
            <w:tcMar>
              <w:top w:type="dxa" w:w="80"/>
              <w:left w:type="dxa" w:w="100"/>
              <w:bottom w:type="dxa" w:w="80"/>
              <w:right w:type="dxa" w:w="100"/>
            </w:tcMar>
          </w:tcPr>
          <w:p>
            <w:r>
              <w:rPr>
                <w:b/>
                <w:bCs/>
                <w:color w:val="FFFFFF"/>
                <w:sz w:val="20"/>
                <w:szCs w:val="20"/>
              </w:rPr>
              <w:t xml:space="preserve">Elemento</w:t>
            </w:r>
          </w:p>
        </w:tc>
        <w:tc>
          <w:tcPr>
            <w:tcW w:type="dxa" w:w="3600"/>
            <w:shd w:fill="C74634" w:val="clear"/>
            <w:tcMar>
              <w:top w:type="dxa" w:w="80"/>
              <w:left w:type="dxa" w:w="100"/>
              <w:bottom w:type="dxa" w:w="80"/>
              <w:right w:type="dxa" w:w="100"/>
            </w:tcMar>
          </w:tcPr>
          <w:p>
            <w:r>
              <w:rPr>
                <w:b/>
                <w:bCs/>
                <w:color w:val="FFFFFF"/>
                <w:sz w:val="20"/>
                <w:szCs w:val="20"/>
              </w:rPr>
              <w:t xml:space="preserve">Ubicación</w:t>
            </w:r>
          </w:p>
        </w:tc>
        <w:tc>
          <w:tcPr>
            <w:tcW w:type="dxa" w:w="3550"/>
            <w:shd w:fill="C74634" w:val="clear"/>
            <w:tcMar>
              <w:top w:type="dxa" w:w="80"/>
              <w:left w:type="dxa" w:w="100"/>
              <w:bottom w:type="dxa" w:w="80"/>
              <w:right w:type="dxa" w:w="100"/>
            </w:tcMar>
          </w:tcPr>
          <w:p>
            <w:r>
              <w:rPr>
                <w:b/>
                <w:bCs/>
                <w:color w:val="FFFFFF"/>
                <w:sz w:val="20"/>
                <w:szCs w:val="20"/>
              </w:rPr>
              <w:t xml:space="preserve">Función</w:t>
            </w:r>
          </w:p>
        </w:tc>
      </w:tr>
      <w:tr>
        <w:tc>
          <w:tcPr>
            <w:tcW w:type="dxa" w:w="2200"/>
            <w:shd w:fill="F5F0EC" w:val="clear"/>
            <w:tcMar>
              <w:top w:type="dxa" w:w="80"/>
              <w:left w:type="dxa" w:w="100"/>
              <w:bottom w:type="dxa" w:w="80"/>
              <w:right w:type="dxa" w:w="100"/>
            </w:tcMar>
          </w:tcPr>
          <w:p>
            <w:r>
              <w:rPr>
                <w:b/>
                <w:bCs/>
                <w:color w:val="1A1A1A"/>
                <w:sz w:val="20"/>
                <w:szCs w:val="20"/>
              </w:rPr>
              <w:t xml:space="preserve">Rack MDF</w:t>
            </w:r>
          </w:p>
        </w:tc>
        <w:tc>
          <w:tcPr>
            <w:tcW w:type="dxa" w:w="3600"/>
            <w:shd w:fill="FFFFFF" w:val="clear"/>
            <w:tcMar>
              <w:top w:type="dxa" w:w="80"/>
              <w:left w:type="dxa" w:w="100"/>
              <w:bottom w:type="dxa" w:w="80"/>
              <w:right w:type="dxa" w:w="100"/>
            </w:tcMar>
          </w:tcPr>
          <w:p>
            <w:r>
              <w:rPr>
                <w:b w:val="false"/>
                <w:bCs w:val="false"/>
                <w:color w:val="1A1A1A"/>
                <w:sz w:val="20"/>
                <w:szCs w:val="20"/>
              </w:rPr>
              <w:t xml:space="preserve">Datacenter</w:t>
            </w:r>
          </w:p>
        </w:tc>
        <w:tc>
          <w:tcPr>
            <w:tcW w:type="dxa" w:w="3550"/>
            <w:shd w:fill="FFFFFF" w:val="clear"/>
            <w:tcMar>
              <w:top w:type="dxa" w:w="80"/>
              <w:left w:type="dxa" w:w="100"/>
              <w:bottom w:type="dxa" w:w="80"/>
              <w:right w:type="dxa" w:w="100"/>
            </w:tcMar>
          </w:tcPr>
          <w:p>
            <w:r>
              <w:rPr>
                <w:b w:val="false"/>
                <w:bCs w:val="false"/>
                <w:color w:val="1A1A1A"/>
                <w:sz w:val="20"/>
                <w:szCs w:val="20"/>
              </w:rPr>
              <w:t xml:space="preserve">Distribución principal y core de red</w:t>
            </w:r>
          </w:p>
        </w:tc>
      </w:tr>
      <w:tr>
        <w:tc>
          <w:tcPr>
            <w:tcW w:type="dxa" w:w="2200"/>
            <w:shd w:fill="F5F0EC" w:val="clear"/>
            <w:tcMar>
              <w:top w:type="dxa" w:w="80"/>
              <w:left w:type="dxa" w:w="100"/>
              <w:bottom w:type="dxa" w:w="80"/>
              <w:right w:type="dxa" w:w="100"/>
            </w:tcMar>
          </w:tcPr>
          <w:p>
            <w:r>
              <w:rPr>
                <w:b/>
                <w:bCs/>
                <w:color w:val="1A1A1A"/>
                <w:sz w:val="20"/>
                <w:szCs w:val="20"/>
              </w:rPr>
              <w:t xml:space="preserve">Rack IDF</w:t>
            </w:r>
          </w:p>
        </w:tc>
        <w:tc>
          <w:tcPr>
            <w:tcW w:type="dxa" w:w="3600"/>
            <w:shd w:fill="FFFFFF" w:val="clear"/>
            <w:tcMar>
              <w:top w:type="dxa" w:w="80"/>
              <w:left w:type="dxa" w:w="100"/>
              <w:bottom w:type="dxa" w:w="80"/>
              <w:right w:type="dxa" w:w="100"/>
            </w:tcMar>
          </w:tcPr>
          <w:p>
            <w:r>
              <w:rPr>
                <w:b w:val="false"/>
                <w:bCs w:val="false"/>
                <w:color w:val="1A1A1A"/>
                <w:sz w:val="20"/>
                <w:szCs w:val="20"/>
              </w:rPr>
              <w:t xml:space="preserve">Cuarto de telecom. por piso</w:t>
            </w:r>
          </w:p>
        </w:tc>
        <w:tc>
          <w:tcPr>
            <w:tcW w:type="dxa" w:w="3550"/>
            <w:shd w:fill="FFFFFF" w:val="clear"/>
            <w:tcMar>
              <w:top w:type="dxa" w:w="80"/>
              <w:left w:type="dxa" w:w="100"/>
              <w:bottom w:type="dxa" w:w="80"/>
              <w:right w:type="dxa" w:w="100"/>
            </w:tcMar>
          </w:tcPr>
          <w:p>
            <w:r>
              <w:rPr>
                <w:b w:val="false"/>
                <w:bCs w:val="false"/>
                <w:color w:val="1A1A1A"/>
                <w:sz w:val="20"/>
                <w:szCs w:val="20"/>
              </w:rPr>
              <w:t xml:space="preserve">Distribución local hacia puestos de red</w:t>
            </w:r>
          </w:p>
        </w:tc>
      </w:tr>
      <w:tr>
        <w:tc>
          <w:tcPr>
            <w:tcW w:type="dxa" w:w="2200"/>
            <w:shd w:fill="F5F0EC" w:val="clear"/>
            <w:tcMar>
              <w:top w:type="dxa" w:w="80"/>
              <w:left w:type="dxa" w:w="100"/>
              <w:bottom w:type="dxa" w:w="80"/>
              <w:right w:type="dxa" w:w="100"/>
            </w:tcMar>
          </w:tcPr>
          <w:p>
            <w:r>
              <w:rPr>
                <w:b/>
                <w:bCs/>
                <w:color w:val="1A1A1A"/>
                <w:sz w:val="20"/>
                <w:szCs w:val="20"/>
              </w:rPr>
              <w:t xml:space="preserve">Patch Panel</w:t>
            </w:r>
          </w:p>
        </w:tc>
        <w:tc>
          <w:tcPr>
            <w:tcW w:type="dxa" w:w="3600"/>
            <w:shd w:fill="FFFFFF" w:val="clear"/>
            <w:tcMar>
              <w:top w:type="dxa" w:w="80"/>
              <w:left w:type="dxa" w:w="100"/>
              <w:bottom w:type="dxa" w:w="80"/>
              <w:right w:type="dxa" w:w="100"/>
            </w:tcMar>
          </w:tcPr>
          <w:p>
            <w:r>
              <w:rPr>
                <w:b w:val="false"/>
                <w:bCs w:val="false"/>
                <w:color w:val="1A1A1A"/>
                <w:sz w:val="20"/>
                <w:szCs w:val="20"/>
              </w:rPr>
              <w:t xml:space="preserve">Parte superior de cada rack</w:t>
            </w:r>
          </w:p>
        </w:tc>
        <w:tc>
          <w:tcPr>
            <w:tcW w:type="dxa" w:w="3550"/>
            <w:shd w:fill="FFFFFF" w:val="clear"/>
            <w:tcMar>
              <w:top w:type="dxa" w:w="80"/>
              <w:left w:type="dxa" w:w="100"/>
              <w:bottom w:type="dxa" w:w="80"/>
              <w:right w:type="dxa" w:w="100"/>
            </w:tcMar>
          </w:tcPr>
          <w:p>
            <w:r>
              <w:rPr>
                <w:b w:val="false"/>
                <w:bCs w:val="false"/>
                <w:color w:val="1A1A1A"/>
                <w:sz w:val="20"/>
                <w:szCs w:val="20"/>
              </w:rPr>
              <w:t xml:space="preserve">Terminación y organización del cableado</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2026-07-31T21:34:37.787Z</dcterms:created>
  <dcterms:modified xsi:type="dcterms:W3CDTF">2026-07-31T21:34:37.820Z</dcterms:modified>
</cp:coreProperties>
</file>

<file path=docProps/custom.xml><?xml version="1.0" encoding="utf-8"?>
<Properties xmlns="http://schemas.openxmlformats.org/officeDocument/2006/custom-properties" xmlns:vt="http://schemas.openxmlformats.org/officeDocument/2006/docPropsVTypes"/>
</file>