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Ticket Title:</w:t>
      </w:r>
      <w:r w:rsidDel="00000000" w:rsidR="00000000" w:rsidRPr="00000000">
        <w:rPr>
          <w:rtl w:val="0"/>
        </w:rPr>
        <w:t xml:space="preserve"> Nutrient ID Does Not Increment Correctly for New Entries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When adding a new nutrient element to the Nutrients Dashboard,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field is always set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, instead of incrementing for each new element. This results in all new nutrient entries having the same ID, leading to data conflicts and preventing proper identification of unique elements.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 in to the application and navigate to the Nutrients Dashboard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"Add Nutrient."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the nutrient details and save the nutrient.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another nutrient and repeat the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 that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value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 for all added elements, instead of incrementing for each new entry.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Behavior:</w:t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should automatically increment for each new nutrient element added to the system, ensuring unique identification for each entry.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Behavior:</w:t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is always set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, leading to duplicate IDs for all new entries.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