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RAG Design</w:t>
      </w:r>
    </w:p>
    <w:p>
      <w:r>
        <w:t>Traditional RAG pipelines rely on single-pass retrieval mechanisms.</w:t>
      </w:r>
    </w:p>
    <w:p>
      <w:pPr>
        <w:pStyle w:val="Heading2"/>
      </w:pPr>
      <w:r>
        <w:t>Adaptive Retrieval Planning</w:t>
      </w:r>
    </w:p>
    <w:p>
      <w:r>
        <w:t>Adaptive planners decompose complex queries into verifiable sub-goals.</w:t>
      </w:r>
    </w:p>
    <w:p>
      <w:pPr>
        <w:pStyle w:val="Heading2"/>
      </w:pPr>
      <w:r>
        <w:t>Fact Verification</w:t>
      </w:r>
    </w:p>
    <w:p>
      <w:r>
        <w:t>Extracted atomic claims must be supported by retrieved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RAG Design Note</dc:title>
  <dc:subject/>
  <dc:creator>System Researcher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