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John Mosquera</w:t>
      </w:r>
      <w:r w:rsidDel="00000000" w:rsidR="00000000" w:rsidRPr="00000000">
        <w:rPr>
          <w:b w:val="1"/>
          <w:rtl w:val="0"/>
        </w:rPr>
        <w:tab/>
        <w:t xml:space="preserve">        </w:t>
        <w:tab/>
        <w:tab/>
        <w:tab/>
        <w:t xml:space="preserve">   </w:t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tradexy@gmail.com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Experienced in the banking sector with wide ranging technical systems knowledge. Involved in large scale IT projects. Programming: HTML, CSS, JavaScript, PHP, Databases, React and Wordpress.</w:t>
      </w:r>
    </w:p>
    <w:p w:rsidR="00000000" w:rsidDel="00000000" w:rsidP="00000000" w:rsidRDefault="00000000" w:rsidRPr="00000000" w14:paraId="00000003">
      <w:pPr>
        <w:spacing w:after="0" w:lineRule="auto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Cloud: AWS Certified Cloud Practitioner. AWS architecture and products &amp; Azure usage.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bookmarkStart w:colFirst="0" w:colLast="0" w:name="2et92p0" w:id="2"/>
    <w:bookmarkEnd w:id="2"/>
    <w:bookmarkStart w:colFirst="0" w:colLast="0" w:name="3znysh7" w:id="3"/>
    <w:bookmarkEnd w:id="3"/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Aug 17 to today, Affine Global,</w:t>
      </w:r>
      <w:bookmarkStart w:colFirst="0" w:colLast="0" w:name="3dy6vkm" w:id="4"/>
      <w:bookmarkEnd w:id="4"/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Cloud Architect. Distributed software projects &amp; ICOs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Managing the company's AWS platform and applications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Developing products including iSDR, based on the Standard Drawing Rights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Creating price charts incorporating live foreign exchange feeds using Restful APIs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Review and testing of Blockchains: Hyperledger, Ethereum and EOSIO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Apr 15 to Mar 17, Vermilion Software</w:t>
      </w:r>
    </w:p>
    <w:p w:rsidR="00000000" w:rsidDel="00000000" w:rsidP="00000000" w:rsidRDefault="00000000" w:rsidRPr="00000000" w14:paraId="0000000E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EMEA Project Manager – Client Reporting software for Investment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Instigated new revenue generating client projects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Project managed implementation consultants’ work on and off client premises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Negotiated project terms including charges, rates and personnel</w:t>
      </w:r>
      <w:bookmarkStart w:colFirst="0" w:colLast="0" w:name="4d34og8" w:id="6"/>
      <w:bookmarkEnd w:id="6"/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Worked alongside developers to improve data flow and delivery in XML, HTML and FundsXML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Assisted marketing with the creation and review of a new corporate website using React.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Involved with regulatory projects, including KIIDS and KID PRIIPS</w:t>
      </w:r>
    </w:p>
    <w:p w:rsidR="00000000" w:rsidDel="00000000" w:rsidP="00000000" w:rsidRDefault="00000000" w:rsidRPr="00000000" w14:paraId="00000015">
      <w:pPr>
        <w:spacing w:after="0" w:lineRule="auto"/>
        <w:ind w:left="255" w:hanging="2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255" w:hanging="2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ind w:left="255" w:hanging="285"/>
        <w:rPr/>
      </w:pPr>
      <w:r w:rsidDel="00000000" w:rsidR="00000000" w:rsidRPr="00000000">
        <w:rPr>
          <w:rtl w:val="0"/>
        </w:rPr>
        <w:t xml:space="preserve">Mar 14 to Mar 15, Aviva Investors (1 yr. Contract), Client Relationship Manager – Insurance Clients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CRM to Life &amp; Pension Institutional clients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Salesforce implementation project – testing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Aladdin system’s integration – teaching colleagues how to use the pricing system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Modernising system that held antiquated Investment Management Agreements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Improving and establishing new business processes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Working with IT, risk and operational teams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Managing communications of new fund launches alongside the Product team</w:t>
      </w:r>
    </w:p>
    <w:p w:rsidR="00000000" w:rsidDel="00000000" w:rsidP="00000000" w:rsidRDefault="00000000" w:rsidRPr="00000000" w14:paraId="0000001F">
      <w:pPr>
        <w:spacing w:after="0" w:lineRule="auto"/>
        <w:ind w:left="255" w:hanging="2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255" w:hanging="2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ind w:left="255" w:hanging="285"/>
        <w:rPr/>
      </w:pPr>
      <w:r w:rsidDel="00000000" w:rsidR="00000000" w:rsidRPr="00000000">
        <w:rPr>
          <w:rtl w:val="0"/>
        </w:rPr>
        <w:t xml:space="preserve">May 13 to Feb 14, Twenty20 Investments, Product Consultant – Smart Beta Funds Start-up</w:t>
      </w:r>
    </w:p>
    <w:bookmarkStart w:colFirst="0" w:colLast="0" w:name="2s8eyo1" w:id="8"/>
    <w:bookmarkEnd w:id="8"/>
    <w:bookmarkStart w:colFirst="0" w:colLast="0" w:name="17dp8vu" w:id="9"/>
    <w:bookmarkEnd w:id="9"/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Managing ETF Portfolios tracking and re-balances using Bloomberg and restful APIs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Creation of website and social media campaign including Facebook, Twitter and Instagram</w:t>
      </w:r>
    </w:p>
    <w:p w:rsidR="00000000" w:rsidDel="00000000" w:rsidP="00000000" w:rsidRDefault="00000000" w:rsidRPr="00000000" w14:paraId="00000024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ind w:left="255" w:hanging="285"/>
        <w:rPr/>
      </w:pPr>
      <w:r w:rsidDel="00000000" w:rsidR="00000000" w:rsidRPr="00000000">
        <w:rPr>
          <w:rtl w:val="0"/>
        </w:rPr>
        <w:t xml:space="preserve">Sep 08 to Apr 13, iShares – Blackrock, Business Development – Intermediary Clients</w:t>
      </w:r>
    </w:p>
    <w:bookmarkStart w:colFirst="0" w:colLast="0" w:name="26in1rg" w:id="10"/>
    <w:bookmarkEnd w:id="10"/>
    <w:bookmarkStart w:colFirst="0" w:colLast="0" w:name="3rdcrjn" w:id="11"/>
    <w:bookmarkEnd w:id="11"/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Developed pricing reports with the use of advanced excel macros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Integrated Bloomberg  live priced feeds into the iShares ETF basket calculators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In charge of PCF (Portfolio Composition Files) and valuation metrics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Managed relations with stock exchanges, including work on iShares listings and costings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EIGER project – State Street. New custodian selection. Projection charges and revenues.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Trained new joiners on how to use iShares front and backend systems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lineRule="auto"/>
        <w:rPr/>
      </w:pPr>
      <w:r w:rsidDel="00000000" w:rsidR="00000000" w:rsidRPr="00000000">
        <w:rPr>
          <w:rtl w:val="0"/>
        </w:rPr>
        <w:t xml:space="preserve">Aug 05 to Aug 08, Union Bancaire Privée, Treasury Desk Associate – Fund of Hedge Funds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Cash management systems improvement; trading CDs, FXs and forwards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Developed and implemented with IT the banks’ FX forward hedge control system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Aligned the FX roll over on a quarterly basis, minimising risk to FX exposure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Incorporated FX hedging system in other European offices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Involved in the successful development of new innovative fund; TrendSquare, a hybrid of FoHF/CTA joint-venture with BlueCrest. Duties included portfolio analysis and construction </w:t>
      </w:r>
    </w:p>
    <w:p w:rsidR="00000000" w:rsidDel="00000000" w:rsidP="00000000" w:rsidRDefault="00000000" w:rsidRPr="00000000" w14:paraId="00000034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00" w:line="240" w:lineRule="auto"/>
        <w:ind w:left="-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Jun 05 to Aug 05, Pacific Continental Securities, Investment Adviser (Trainee)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lineRule="auto"/>
        <w:ind w:left="255" w:hanging="285"/>
        <w:rPr/>
      </w:pPr>
      <w:r w:rsidDel="00000000" w:rsidR="00000000" w:rsidRPr="00000000">
        <w:rPr>
          <w:rtl w:val="0"/>
        </w:rPr>
        <w:t xml:space="preserve">May 04 to Jun 05, Mellon Bank (contract), Fund administrator – OEICs, Life and Pensions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Daily pricing and administration of life funds, pension funds and unit trusts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Managing communications with custodians and external third parties</w:t>
      </w:r>
    </w:p>
    <w:p w:rsidR="00000000" w:rsidDel="00000000" w:rsidP="00000000" w:rsidRDefault="00000000" w:rsidRPr="00000000" w14:paraId="0000003A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lineRule="auto"/>
        <w:ind w:left="255" w:hanging="285"/>
        <w:rPr/>
      </w:pPr>
      <w:r w:rsidDel="00000000" w:rsidR="00000000" w:rsidRPr="00000000">
        <w:rPr>
          <w:rtl w:val="0"/>
        </w:rPr>
        <w:t xml:space="preserve">Dec 01 to Mar 04, CITCO Fund Services (Amsterdam), Hedge Fund accountant – Hedge Funds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Produced financial statements and Net Asset Value reports for Hedge Funds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Reviewed legal and product documentation to assist and deal with client queries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Full time 1 year MSc degree – ICMA Centre (see below)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0" w:lineRule="auto"/>
        <w:ind w:left="255" w:hanging="285"/>
        <w:rPr/>
      </w:pPr>
      <w:r w:rsidDel="00000000" w:rsidR="00000000" w:rsidRPr="00000000">
        <w:rPr>
          <w:rtl w:val="0"/>
        </w:rPr>
        <w:t xml:space="preserve">Mar 97 to Jul 00, AIB Govett, Investment Reporting – Mutual Funds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Created monthly performance attribution reports for the full range of investment funds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Seconded as an Emerging Markets Fund Manager’s assistant</w:t>
      </w:r>
    </w:p>
    <w:p w:rsidR="00000000" w:rsidDel="00000000" w:rsidP="00000000" w:rsidRDefault="00000000" w:rsidRPr="00000000" w14:paraId="00000045">
      <w:pPr>
        <w:spacing w:after="0" w:lineRule="auto"/>
        <w:ind w:left="-3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255" w:hanging="285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2007, Investment Management Certificate – IMC Certificate Number SIP9935592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2003, SI SFA Certificate in Securities &amp; Certificate in Regulations – Cert Number 249563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2001, ICMA Centre, University of Reading, MSc International Securities and Investment Banking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255" w:hanging="285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1996, University of Brighton- BA Honours, International Accounting and Finance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55" w:hanging="28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Development, Qualifications and Interests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Skills: HTML, CSS, JavaScript, React, PHP. Cloud; AWS and Azure.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Comfortable with the command line and version control including git and GitHub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Accustomed to using the command line, setup LAMP (apache &amp; nginx), Windows, Linux &amp; G-suite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Blockchain/Cryptocurrency/Bitcoin;  Ethereum Solidity EVM, EOSIO and Hyperledger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Systems: Microsoft Office including Excel (to VBA level), Visio, Word, PowerPoint, Bloomberg, FactSet, Reuters, Salesforce, DataStream and Aladdin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Developed, managed, implemented and enhanced various in-house computer systems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Enjoy technology and participating in team events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Rule="auto"/>
        <w:ind w:left="255" w:hanging="285"/>
        <w:rPr/>
      </w:pPr>
      <w:r w:rsidDel="00000000" w:rsidR="00000000" w:rsidRPr="00000000">
        <w:rPr>
          <w:rtl w:val="0"/>
        </w:rPr>
        <w:t xml:space="preserve">References available upon request</w:t>
      </w:r>
    </w:p>
    <w:sectPr>
      <w:pgSz w:h="16838" w:w="11906"/>
      <w:pgMar w:bottom="1276" w:top="127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