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1B3" w:rsidRDefault="000B11B3" w:rsidP="00356B32">
      <w:pPr>
        <w:shd w:val="clear" w:color="auto" w:fill="DBE5F1"/>
        <w:jc w:val="center"/>
        <w:rPr>
          <w:rFonts w:ascii="Calibri" w:hAnsi="Calibri" w:cs="Calibri"/>
          <w:b/>
          <w:color w:val="000000"/>
          <w:sz w:val="32"/>
          <w:szCs w:val="32"/>
        </w:rPr>
      </w:pPr>
    </w:p>
    <w:p w:rsidR="00356B32" w:rsidRPr="008C0B6F" w:rsidRDefault="00356B32" w:rsidP="00356B32">
      <w:pPr>
        <w:shd w:val="clear" w:color="auto" w:fill="DBE5F1"/>
        <w:jc w:val="center"/>
        <w:rPr>
          <w:rFonts w:ascii="Calibri" w:hAnsi="Calibri" w:cs="Calibri"/>
          <w:b/>
          <w:color w:val="000000"/>
          <w:sz w:val="32"/>
          <w:szCs w:val="32"/>
        </w:rPr>
      </w:pPr>
      <w:r w:rsidRPr="008C0B6F">
        <w:rPr>
          <w:rFonts w:ascii="Calibri" w:hAnsi="Calibri" w:cs="Calibri"/>
          <w:b/>
          <w:color w:val="000000"/>
          <w:sz w:val="32"/>
          <w:szCs w:val="32"/>
        </w:rPr>
        <w:t>Abdir</w:t>
      </w:r>
      <w:r>
        <w:rPr>
          <w:rFonts w:ascii="Calibri" w:hAnsi="Calibri" w:cs="Calibri"/>
          <w:b/>
          <w:color w:val="000000"/>
          <w:sz w:val="32"/>
          <w:szCs w:val="32"/>
        </w:rPr>
        <w:t>i</w:t>
      </w:r>
      <w:r w:rsidRPr="008C0B6F">
        <w:rPr>
          <w:rFonts w:ascii="Calibri" w:hAnsi="Calibri" w:cs="Calibri"/>
          <w:b/>
          <w:color w:val="000000"/>
          <w:sz w:val="32"/>
          <w:szCs w:val="32"/>
        </w:rPr>
        <w:t>sak Elmi</w:t>
      </w:r>
    </w:p>
    <w:p w:rsidR="00356B32" w:rsidRDefault="00356B32" w:rsidP="00356B32">
      <w:pPr>
        <w:shd w:val="clear" w:color="auto" w:fill="DBE5F1"/>
        <w:jc w:val="center"/>
        <w:rPr>
          <w:rFonts w:ascii="Calibri" w:hAnsi="Calibri" w:cs="Calibri"/>
          <w:b/>
          <w:color w:val="000000"/>
          <w:sz w:val="22"/>
          <w:szCs w:val="22"/>
        </w:rPr>
      </w:pPr>
      <w:r w:rsidRPr="008C0B6F">
        <w:rPr>
          <w:rFonts w:ascii="Calibri" w:hAnsi="Calibri" w:cs="Calibri"/>
          <w:b/>
          <w:color w:val="000000"/>
          <w:sz w:val="22"/>
          <w:szCs w:val="22"/>
        </w:rPr>
        <w:t>Address: 68 Shrewsbury Street, Manchester</w:t>
      </w:r>
      <w:r>
        <w:rPr>
          <w:rFonts w:ascii="Calibri" w:hAnsi="Calibri" w:cs="Calibri"/>
          <w:b/>
          <w:color w:val="000000"/>
          <w:sz w:val="22"/>
          <w:szCs w:val="22"/>
        </w:rPr>
        <w:t>, UK</w:t>
      </w:r>
      <w:r w:rsidRPr="008C0B6F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color w:val="000000"/>
          <w:sz w:val="22"/>
          <w:szCs w:val="22"/>
        </w:rPr>
        <w:t>(</w:t>
      </w:r>
      <w:r w:rsidRPr="008C0B6F">
        <w:rPr>
          <w:rFonts w:ascii="Calibri" w:hAnsi="Calibri" w:cs="Calibri"/>
          <w:b/>
          <w:color w:val="000000"/>
          <w:sz w:val="22"/>
          <w:szCs w:val="22"/>
        </w:rPr>
        <w:t>M16 9AS</w:t>
      </w:r>
      <w:r>
        <w:rPr>
          <w:rFonts w:ascii="Calibri" w:hAnsi="Calibri" w:cs="Calibri"/>
          <w:b/>
          <w:color w:val="000000"/>
          <w:sz w:val="22"/>
          <w:szCs w:val="22"/>
        </w:rPr>
        <w:t>)</w:t>
      </w:r>
    </w:p>
    <w:p w:rsidR="00356B32" w:rsidRPr="00356B32" w:rsidRDefault="00356B32" w:rsidP="00356B32">
      <w:pPr>
        <w:shd w:val="clear" w:color="auto" w:fill="DBE5F1"/>
        <w:jc w:val="center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  <w:lang w:val="fr-FR"/>
        </w:rPr>
        <w:t>Mobile: 07878382204</w:t>
      </w:r>
    </w:p>
    <w:p w:rsidR="00356B32" w:rsidRPr="00356B32" w:rsidRDefault="00356B32" w:rsidP="00356B32">
      <w:pPr>
        <w:shd w:val="clear" w:color="auto" w:fill="DBE5F1"/>
        <w:jc w:val="center"/>
        <w:rPr>
          <w:rFonts w:asciiTheme="minorHAnsi" w:hAnsiTheme="minorHAnsi" w:cstheme="minorHAnsi"/>
          <w:b/>
          <w:color w:val="000000"/>
          <w:sz w:val="20"/>
          <w:szCs w:val="22"/>
          <w:lang w:val="fr-FR"/>
        </w:rPr>
      </w:pPr>
      <w:r w:rsidRPr="008C0B6F">
        <w:rPr>
          <w:rFonts w:ascii="Calibri" w:hAnsi="Calibri" w:cs="Calibri"/>
          <w:b/>
          <w:color w:val="000000"/>
          <w:sz w:val="22"/>
          <w:szCs w:val="22"/>
          <w:lang w:val="fr-FR"/>
        </w:rPr>
        <w:t>Email:</w:t>
      </w:r>
      <w:r>
        <w:t xml:space="preserve"> </w:t>
      </w:r>
      <w:r w:rsidRPr="00412AD3">
        <w:rPr>
          <w:rFonts w:asciiTheme="minorHAnsi" w:hAnsiTheme="minorHAnsi" w:cstheme="minorHAnsi"/>
          <w:b/>
          <w:bCs/>
          <w:sz w:val="22"/>
        </w:rPr>
        <w:t>abdirasakelmi@gmail.com</w:t>
      </w:r>
    </w:p>
    <w:p w:rsidR="00356B32" w:rsidRPr="00190B5B" w:rsidRDefault="00356B32" w:rsidP="00356B32">
      <w:pPr>
        <w:shd w:val="clear" w:color="auto" w:fill="DBE5F1"/>
        <w:jc w:val="center"/>
        <w:rPr>
          <w:rFonts w:ascii="Calibri" w:hAnsi="Calibri" w:cs="Calibri"/>
          <w:b/>
          <w:color w:val="000000"/>
          <w:sz w:val="22"/>
          <w:szCs w:val="22"/>
        </w:rPr>
      </w:pPr>
      <w:r w:rsidRPr="008C0B6F">
        <w:rPr>
          <w:rFonts w:ascii="Calibri" w:hAnsi="Calibri" w:cs="Calibri"/>
          <w:b/>
          <w:color w:val="000000"/>
          <w:sz w:val="22"/>
          <w:szCs w:val="22"/>
        </w:rPr>
        <w:t>Full UK Driving Licence</w:t>
      </w:r>
    </w:p>
    <w:p w:rsidR="000A3FD1" w:rsidRDefault="000A3FD1" w:rsidP="000A3FD1">
      <w:pPr>
        <w:pStyle w:val="ContactDetails"/>
        <w:pBdr>
          <w:top w:val="single" w:sz="4" w:space="1" w:color="auto"/>
        </w:pBdr>
        <w:rPr>
          <w:rFonts w:ascii="Calibri" w:hAnsi="Calibri" w:cs="Arial"/>
          <w:b/>
          <w:color w:val="auto"/>
          <w:sz w:val="22"/>
          <w:szCs w:val="22"/>
          <w:lang w:val="en-GB"/>
        </w:rPr>
      </w:pPr>
      <w:r w:rsidRPr="000A3FD1">
        <w:rPr>
          <w:rFonts w:ascii="Calibri" w:hAnsi="Calibri" w:cs="Arial"/>
          <w:b/>
          <w:color w:val="auto"/>
          <w:sz w:val="22"/>
          <w:szCs w:val="22"/>
          <w:lang w:val="en-GB"/>
        </w:rPr>
        <w:t>PROFESSIONAL PROFIL</w:t>
      </w:r>
      <w:r w:rsidR="000E6E2A">
        <w:rPr>
          <w:rFonts w:ascii="Calibri" w:hAnsi="Calibri" w:cs="Arial"/>
          <w:b/>
          <w:color w:val="auto"/>
          <w:sz w:val="22"/>
          <w:szCs w:val="22"/>
          <w:lang w:val="en-GB"/>
        </w:rPr>
        <w:t>E</w:t>
      </w:r>
    </w:p>
    <w:p w:rsidR="000A3FD1" w:rsidRDefault="000A3FD1" w:rsidP="000A3FD1">
      <w:pPr>
        <w:jc w:val="both"/>
        <w:rPr>
          <w:rFonts w:asciiTheme="minorHAnsi" w:hAnsiTheme="minorHAnsi" w:cstheme="minorHAnsi"/>
          <w:sz w:val="22"/>
          <w:szCs w:val="22"/>
        </w:rPr>
      </w:pPr>
      <w:r w:rsidRPr="000A3FD1">
        <w:rPr>
          <w:rFonts w:asciiTheme="minorHAnsi" w:hAnsiTheme="minorHAnsi" w:cstheme="minorHAnsi"/>
          <w:sz w:val="22"/>
          <w:szCs w:val="22"/>
        </w:rPr>
        <w:t>A fully qualified quantity surveyor, I have been working in the industry for several years and am now looking to join an expanding and ambitious organisation where I can progress my career. Demonstrated success in effectively prioritising heavy workloads to ensure delivery to strict time whilst simultaneously managing multiple projects. Well-versed in all aspects of surveying, including writing reports for the settlement of disputes.</w:t>
      </w:r>
    </w:p>
    <w:p w:rsidR="00703015" w:rsidRPr="00703015" w:rsidRDefault="00703015" w:rsidP="000A3FD1">
      <w:pPr>
        <w:jc w:val="both"/>
        <w:rPr>
          <w:rFonts w:asciiTheme="minorHAnsi" w:hAnsiTheme="minorHAnsi" w:cstheme="minorHAnsi"/>
          <w:sz w:val="12"/>
          <w:szCs w:val="12"/>
        </w:rPr>
      </w:pPr>
    </w:p>
    <w:p w:rsidR="009F7336" w:rsidRPr="000A3FD1" w:rsidRDefault="009F7336" w:rsidP="000A3FD1">
      <w:pPr>
        <w:pStyle w:val="ContactDetails"/>
        <w:pBdr>
          <w:top w:val="single" w:sz="4" w:space="1" w:color="auto"/>
        </w:pBdr>
        <w:rPr>
          <w:rFonts w:ascii="Calibri" w:hAnsi="Calibri" w:cs="Arial"/>
          <w:b/>
          <w:color w:val="auto"/>
          <w:sz w:val="22"/>
          <w:szCs w:val="22"/>
          <w:lang w:val="en-GB"/>
        </w:rPr>
      </w:pPr>
      <w:r>
        <w:rPr>
          <w:rFonts w:ascii="Calibri" w:hAnsi="Calibri" w:cs="Arial"/>
          <w:b/>
          <w:color w:val="auto"/>
          <w:sz w:val="22"/>
          <w:szCs w:val="22"/>
          <w:lang w:val="en-GB"/>
        </w:rPr>
        <w:t>K</w:t>
      </w:r>
      <w:r w:rsidR="00703015">
        <w:rPr>
          <w:rFonts w:ascii="Calibri" w:hAnsi="Calibri" w:cs="Arial"/>
          <w:b/>
          <w:color w:val="auto"/>
          <w:sz w:val="22"/>
          <w:szCs w:val="22"/>
          <w:lang w:val="en-GB"/>
        </w:rPr>
        <w:t>EY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9F7336" w:rsidTr="00703015">
        <w:tc>
          <w:tcPr>
            <w:tcW w:w="4675" w:type="dxa"/>
          </w:tcPr>
          <w:p w:rsidR="009F7336" w:rsidRPr="000E6E2A" w:rsidRDefault="009F7336" w:rsidP="009F733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0E6E2A">
              <w:rPr>
                <w:rFonts w:asciiTheme="minorHAnsi" w:hAnsiTheme="minorHAnsi" w:cstheme="minorHAnsi"/>
              </w:rPr>
              <w:t>Contract Administration</w:t>
            </w:r>
          </w:p>
        </w:tc>
        <w:tc>
          <w:tcPr>
            <w:tcW w:w="4675" w:type="dxa"/>
          </w:tcPr>
          <w:p w:rsidR="009F7336" w:rsidRPr="000E6E2A" w:rsidRDefault="009F7336" w:rsidP="009F733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0E6E2A">
              <w:rPr>
                <w:rFonts w:asciiTheme="minorHAnsi" w:hAnsiTheme="minorHAnsi" w:cstheme="minorHAnsi"/>
              </w:rPr>
              <w:t>Experience of Various Contracts</w:t>
            </w:r>
          </w:p>
        </w:tc>
      </w:tr>
      <w:tr w:rsidR="009F7336" w:rsidTr="00703015">
        <w:tc>
          <w:tcPr>
            <w:tcW w:w="4675" w:type="dxa"/>
          </w:tcPr>
          <w:p w:rsidR="009F7336" w:rsidRPr="000E6E2A" w:rsidRDefault="009F7336" w:rsidP="009F733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0E6E2A">
              <w:rPr>
                <w:rFonts w:asciiTheme="minorHAnsi" w:hAnsiTheme="minorHAnsi" w:cstheme="minorHAnsi"/>
              </w:rPr>
              <w:t>Cost Planning</w:t>
            </w:r>
          </w:p>
        </w:tc>
        <w:tc>
          <w:tcPr>
            <w:tcW w:w="4675" w:type="dxa"/>
          </w:tcPr>
          <w:p w:rsidR="009F7336" w:rsidRPr="000E6E2A" w:rsidRDefault="009F7336" w:rsidP="009F733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0E6E2A">
              <w:rPr>
                <w:rFonts w:asciiTheme="minorHAnsi" w:hAnsiTheme="minorHAnsi" w:cstheme="minorHAnsi"/>
              </w:rPr>
              <w:t>Pre and Post Contract</w:t>
            </w:r>
          </w:p>
        </w:tc>
      </w:tr>
      <w:tr w:rsidR="009F7336" w:rsidTr="00703015">
        <w:tc>
          <w:tcPr>
            <w:tcW w:w="4675" w:type="dxa"/>
          </w:tcPr>
          <w:p w:rsidR="009F7336" w:rsidRPr="000E6E2A" w:rsidRDefault="009F7336" w:rsidP="009F733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0E6E2A">
              <w:rPr>
                <w:rFonts w:asciiTheme="minorHAnsi" w:hAnsiTheme="minorHAnsi" w:cstheme="minorHAnsi"/>
              </w:rPr>
              <w:t>Cost Management</w:t>
            </w:r>
          </w:p>
        </w:tc>
        <w:tc>
          <w:tcPr>
            <w:tcW w:w="4675" w:type="dxa"/>
          </w:tcPr>
          <w:p w:rsidR="009F7336" w:rsidRPr="000E6E2A" w:rsidRDefault="009F7336" w:rsidP="009F733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</w:rPr>
            </w:pPr>
            <w:r w:rsidRPr="000E6E2A">
              <w:rPr>
                <w:rFonts w:asciiTheme="minorHAnsi" w:hAnsiTheme="minorHAnsi" w:cstheme="minorHAnsi"/>
              </w:rPr>
              <w:t>Strong Pre-Contract Knowledge</w:t>
            </w:r>
          </w:p>
        </w:tc>
      </w:tr>
    </w:tbl>
    <w:p w:rsidR="000E6E2A" w:rsidRDefault="000E6E2A" w:rsidP="000E6E2A">
      <w:pPr>
        <w:pStyle w:val="MediumGrid21"/>
        <w:rPr>
          <w:rFonts w:ascii="Calibri" w:hAnsi="Calibri" w:cs="Arial"/>
          <w:lang w:val="en-GB"/>
        </w:rPr>
      </w:pPr>
    </w:p>
    <w:p w:rsidR="000E6E2A" w:rsidRDefault="000E6E2A" w:rsidP="000E6E2A">
      <w:pPr>
        <w:pStyle w:val="ListBullet"/>
        <w:numPr>
          <w:ilvl w:val="0"/>
          <w:numId w:val="0"/>
        </w:numPr>
        <w:pBdr>
          <w:top w:val="single" w:sz="4" w:space="1" w:color="auto"/>
        </w:pBdr>
        <w:rPr>
          <w:rFonts w:ascii="Calibri" w:hAnsi="Calibri" w:cs="Arial"/>
          <w:b/>
          <w:sz w:val="22"/>
          <w:lang w:val="en-GB"/>
        </w:rPr>
      </w:pPr>
      <w:r w:rsidRPr="000E6E2A">
        <w:rPr>
          <w:rFonts w:ascii="Calibri" w:hAnsi="Calibri" w:cs="Arial"/>
          <w:b/>
          <w:sz w:val="22"/>
          <w:lang w:val="en-GB"/>
        </w:rPr>
        <w:t>EDUCATION &amp; QUALIFICATIONS</w:t>
      </w:r>
    </w:p>
    <w:p w:rsidR="00D845E4" w:rsidRPr="00D845E4" w:rsidRDefault="00D845E4" w:rsidP="000E6E2A">
      <w:pPr>
        <w:jc w:val="both"/>
        <w:rPr>
          <w:rFonts w:asciiTheme="minorHAnsi" w:hAnsiTheme="minorHAnsi" w:cs="Tahoma"/>
          <w:bCs/>
          <w:iCs/>
          <w:sz w:val="10"/>
          <w:szCs w:val="10"/>
        </w:rPr>
      </w:pPr>
    </w:p>
    <w:p w:rsidR="000E6E2A" w:rsidRPr="000E6E2A" w:rsidRDefault="000E6E2A" w:rsidP="000E6E2A">
      <w:pPr>
        <w:jc w:val="both"/>
        <w:rPr>
          <w:rFonts w:asciiTheme="minorHAnsi" w:hAnsiTheme="minorHAnsi" w:cs="Tahoma"/>
          <w:bCs/>
          <w:iCs/>
          <w:sz w:val="22"/>
          <w:szCs w:val="22"/>
        </w:rPr>
      </w:pPr>
      <w:r w:rsidRPr="000E6E2A">
        <w:rPr>
          <w:rFonts w:asciiTheme="minorHAnsi" w:hAnsiTheme="minorHAnsi" w:cs="Tahoma"/>
          <w:bCs/>
          <w:iCs/>
          <w:sz w:val="22"/>
          <w:szCs w:val="22"/>
        </w:rPr>
        <w:t>University of Salford                                                                                                                                  2015 – 2016</w:t>
      </w:r>
    </w:p>
    <w:p w:rsidR="000E6E2A" w:rsidRPr="000E6E2A" w:rsidRDefault="000E6E2A" w:rsidP="000E6E2A">
      <w:pPr>
        <w:jc w:val="both"/>
        <w:rPr>
          <w:rFonts w:asciiTheme="minorHAnsi" w:hAnsiTheme="minorHAnsi" w:cs="Tahoma"/>
          <w:bCs/>
          <w:iCs/>
          <w:sz w:val="22"/>
          <w:szCs w:val="22"/>
        </w:rPr>
      </w:pPr>
      <w:r w:rsidRPr="000E6E2A">
        <w:rPr>
          <w:rFonts w:asciiTheme="minorHAnsi" w:hAnsiTheme="minorHAnsi" w:cs="Tahoma"/>
          <w:bCs/>
          <w:iCs/>
          <w:sz w:val="22"/>
          <w:szCs w:val="22"/>
        </w:rPr>
        <w:t>MSc Petroleum and Gas Engineering (Distinction Awarded)</w:t>
      </w:r>
    </w:p>
    <w:p w:rsidR="000E6E2A" w:rsidRDefault="000E6E2A" w:rsidP="000E6E2A">
      <w:pPr>
        <w:jc w:val="both"/>
        <w:rPr>
          <w:rFonts w:asciiTheme="minorHAnsi" w:hAnsiTheme="minorHAnsi" w:cs="Tahoma"/>
          <w:b/>
          <w:iCs/>
          <w:sz w:val="22"/>
          <w:szCs w:val="22"/>
        </w:rPr>
      </w:pPr>
    </w:p>
    <w:p w:rsidR="000E6E2A" w:rsidRPr="000E6E2A" w:rsidRDefault="000E6E2A" w:rsidP="000E6E2A">
      <w:pPr>
        <w:jc w:val="both"/>
        <w:rPr>
          <w:rFonts w:asciiTheme="minorHAnsi" w:hAnsiTheme="minorHAnsi" w:cs="Tahoma"/>
          <w:bCs/>
          <w:iCs/>
          <w:sz w:val="22"/>
          <w:szCs w:val="22"/>
        </w:rPr>
      </w:pPr>
      <w:r w:rsidRPr="000E6E2A">
        <w:rPr>
          <w:rFonts w:asciiTheme="minorHAnsi" w:hAnsiTheme="minorHAnsi" w:cs="Tahoma"/>
          <w:bCs/>
          <w:iCs/>
          <w:sz w:val="22"/>
          <w:szCs w:val="22"/>
        </w:rPr>
        <w:t>University of Bradford</w:t>
      </w:r>
      <w:r w:rsidRPr="000E6E2A">
        <w:rPr>
          <w:rFonts w:asciiTheme="minorHAnsi" w:hAnsiTheme="minorHAnsi" w:cs="Tahoma"/>
          <w:bCs/>
          <w:iCs/>
          <w:sz w:val="22"/>
          <w:szCs w:val="22"/>
        </w:rPr>
        <w:tab/>
      </w:r>
      <w:r w:rsidRPr="000E6E2A">
        <w:rPr>
          <w:rFonts w:asciiTheme="minorHAnsi" w:hAnsiTheme="minorHAnsi" w:cs="Tahoma"/>
          <w:bCs/>
          <w:iCs/>
          <w:sz w:val="22"/>
          <w:szCs w:val="22"/>
        </w:rPr>
        <w:tab/>
      </w:r>
      <w:r w:rsidRPr="000E6E2A">
        <w:rPr>
          <w:rFonts w:asciiTheme="minorHAnsi" w:hAnsiTheme="minorHAnsi" w:cs="Tahoma"/>
          <w:bCs/>
          <w:iCs/>
          <w:sz w:val="22"/>
          <w:szCs w:val="22"/>
        </w:rPr>
        <w:tab/>
      </w:r>
      <w:r w:rsidRPr="000E6E2A">
        <w:rPr>
          <w:rFonts w:asciiTheme="minorHAnsi" w:hAnsiTheme="minorHAnsi" w:cs="Tahoma"/>
          <w:bCs/>
          <w:iCs/>
          <w:sz w:val="22"/>
          <w:szCs w:val="22"/>
        </w:rPr>
        <w:tab/>
      </w:r>
      <w:r w:rsidRPr="000E6E2A">
        <w:rPr>
          <w:rFonts w:asciiTheme="minorHAnsi" w:hAnsiTheme="minorHAnsi" w:cs="Tahoma"/>
          <w:bCs/>
          <w:iCs/>
          <w:sz w:val="22"/>
          <w:szCs w:val="22"/>
        </w:rPr>
        <w:tab/>
      </w:r>
      <w:r w:rsidRPr="000E6E2A">
        <w:rPr>
          <w:rFonts w:asciiTheme="minorHAnsi" w:hAnsiTheme="minorHAnsi" w:cs="Tahoma"/>
          <w:bCs/>
          <w:iCs/>
          <w:sz w:val="22"/>
          <w:szCs w:val="22"/>
        </w:rPr>
        <w:tab/>
      </w:r>
      <w:r w:rsidRPr="000E6E2A">
        <w:rPr>
          <w:rFonts w:asciiTheme="minorHAnsi" w:hAnsiTheme="minorHAnsi" w:cs="Tahoma"/>
          <w:bCs/>
          <w:iCs/>
          <w:sz w:val="22"/>
          <w:szCs w:val="22"/>
        </w:rPr>
        <w:tab/>
      </w:r>
      <w:r w:rsidRPr="000E6E2A">
        <w:rPr>
          <w:rFonts w:asciiTheme="minorHAnsi" w:hAnsiTheme="minorHAnsi" w:cs="Tahoma"/>
          <w:bCs/>
          <w:iCs/>
          <w:sz w:val="22"/>
          <w:szCs w:val="22"/>
        </w:rPr>
        <w:tab/>
        <w:t xml:space="preserve">                     2011 – 2014</w:t>
      </w:r>
    </w:p>
    <w:p w:rsidR="000E6E2A" w:rsidRDefault="000E6E2A" w:rsidP="000E6E2A">
      <w:pPr>
        <w:jc w:val="both"/>
        <w:rPr>
          <w:rFonts w:asciiTheme="minorHAnsi" w:hAnsiTheme="minorHAnsi" w:cs="Tahoma"/>
          <w:bCs/>
          <w:sz w:val="22"/>
          <w:szCs w:val="22"/>
        </w:rPr>
      </w:pPr>
      <w:r w:rsidRPr="000E6E2A">
        <w:rPr>
          <w:rFonts w:asciiTheme="minorHAnsi" w:hAnsiTheme="minorHAnsi" w:cs="Tahoma"/>
          <w:bCs/>
          <w:sz w:val="22"/>
          <w:szCs w:val="22"/>
        </w:rPr>
        <w:t xml:space="preserve">BEng (Hons) </w:t>
      </w:r>
      <w:r w:rsidRPr="000E6E2A">
        <w:rPr>
          <w:rFonts w:asciiTheme="minorHAnsi" w:hAnsiTheme="minorHAnsi" w:cs="Tahoma"/>
          <w:bCs/>
          <w:iCs/>
          <w:sz w:val="22"/>
          <w:szCs w:val="22"/>
        </w:rPr>
        <w:t>2.1</w:t>
      </w:r>
      <w:r>
        <w:rPr>
          <w:rFonts w:asciiTheme="minorHAnsi" w:hAnsiTheme="minorHAnsi" w:cs="Tahoma"/>
          <w:bCs/>
          <w:iCs/>
          <w:sz w:val="22"/>
          <w:szCs w:val="22"/>
        </w:rPr>
        <w:t xml:space="preserve"> </w:t>
      </w:r>
      <w:r w:rsidRPr="000E6E2A">
        <w:rPr>
          <w:rFonts w:asciiTheme="minorHAnsi" w:hAnsiTheme="minorHAnsi" w:cs="Tahoma"/>
          <w:bCs/>
          <w:sz w:val="22"/>
          <w:szCs w:val="22"/>
        </w:rPr>
        <w:t xml:space="preserve">Chemical Engineering  </w:t>
      </w:r>
    </w:p>
    <w:p w:rsidR="00CA7591" w:rsidRDefault="00CA7591" w:rsidP="000E6E2A">
      <w:pPr>
        <w:jc w:val="both"/>
        <w:rPr>
          <w:rFonts w:asciiTheme="minorHAnsi" w:hAnsiTheme="minorHAnsi" w:cs="Tahoma"/>
          <w:bCs/>
          <w:sz w:val="22"/>
          <w:szCs w:val="22"/>
        </w:rPr>
      </w:pPr>
    </w:p>
    <w:p w:rsidR="00CA7591" w:rsidRPr="00C90579" w:rsidRDefault="00CA7591" w:rsidP="00CA7591">
      <w:pPr>
        <w:jc w:val="both"/>
        <w:rPr>
          <w:rFonts w:asciiTheme="minorHAnsi" w:hAnsiTheme="minorHAnsi" w:cs="Tahoma"/>
          <w:b/>
          <w:iCs/>
          <w:sz w:val="22"/>
          <w:szCs w:val="22"/>
        </w:rPr>
      </w:pPr>
      <w:r w:rsidRPr="00CA7591">
        <w:rPr>
          <w:rFonts w:asciiTheme="minorHAnsi" w:hAnsiTheme="minorHAnsi" w:cs="Calibri"/>
          <w:bCs/>
          <w:color w:val="000000"/>
          <w:sz w:val="22"/>
          <w:szCs w:val="22"/>
        </w:rPr>
        <w:t>Loreto Sixth Form College</w:t>
      </w:r>
      <w:r w:rsidRPr="00CA7591">
        <w:rPr>
          <w:rFonts w:asciiTheme="minorHAnsi" w:hAnsiTheme="minorHAnsi" w:cs="Tahoma"/>
          <w:bCs/>
          <w:iCs/>
          <w:sz w:val="22"/>
          <w:szCs w:val="22"/>
        </w:rPr>
        <w:t>, Manchester</w:t>
      </w:r>
      <w:r w:rsidRPr="00C54C1C">
        <w:rPr>
          <w:rFonts w:asciiTheme="minorHAnsi" w:hAnsiTheme="minorHAnsi" w:cs="Tahoma"/>
          <w:b/>
          <w:iCs/>
          <w:sz w:val="22"/>
          <w:szCs w:val="22"/>
        </w:rPr>
        <w:t xml:space="preserve"> </w:t>
      </w:r>
      <w:r w:rsidRPr="00C54C1C">
        <w:rPr>
          <w:rFonts w:asciiTheme="minorHAnsi" w:hAnsiTheme="minorHAnsi" w:cs="Tahoma"/>
          <w:b/>
          <w:iCs/>
          <w:sz w:val="22"/>
          <w:szCs w:val="22"/>
        </w:rPr>
        <w:tab/>
      </w:r>
      <w:r w:rsidRPr="00C54C1C">
        <w:rPr>
          <w:rFonts w:asciiTheme="minorHAnsi" w:hAnsiTheme="minorHAnsi" w:cs="Tahoma"/>
          <w:b/>
          <w:iCs/>
          <w:sz w:val="22"/>
          <w:szCs w:val="22"/>
        </w:rPr>
        <w:tab/>
      </w:r>
      <w:r w:rsidRPr="00C54C1C">
        <w:rPr>
          <w:rFonts w:asciiTheme="minorHAnsi" w:hAnsiTheme="minorHAnsi" w:cs="Tahoma"/>
          <w:b/>
          <w:iCs/>
          <w:sz w:val="22"/>
          <w:szCs w:val="22"/>
        </w:rPr>
        <w:tab/>
      </w:r>
      <w:r w:rsidRPr="00C54C1C">
        <w:rPr>
          <w:rFonts w:asciiTheme="minorHAnsi" w:hAnsiTheme="minorHAnsi" w:cs="Tahoma"/>
          <w:b/>
          <w:iCs/>
          <w:sz w:val="22"/>
          <w:szCs w:val="22"/>
        </w:rPr>
        <w:tab/>
      </w:r>
      <w:r w:rsidRPr="00C90579">
        <w:rPr>
          <w:rFonts w:asciiTheme="minorHAnsi" w:hAnsiTheme="minorHAnsi" w:cs="Tahoma"/>
          <w:b/>
          <w:iCs/>
          <w:sz w:val="22"/>
          <w:szCs w:val="22"/>
        </w:rPr>
        <w:tab/>
      </w:r>
      <w:r w:rsidRPr="00C90579">
        <w:rPr>
          <w:rFonts w:asciiTheme="minorHAnsi" w:hAnsiTheme="minorHAnsi" w:cs="Tahoma"/>
          <w:b/>
          <w:iCs/>
          <w:sz w:val="22"/>
          <w:szCs w:val="22"/>
        </w:rPr>
        <w:tab/>
      </w:r>
      <w:r>
        <w:rPr>
          <w:rFonts w:asciiTheme="minorHAnsi" w:hAnsiTheme="minorHAnsi" w:cs="Tahoma"/>
          <w:b/>
          <w:iCs/>
          <w:sz w:val="22"/>
          <w:szCs w:val="22"/>
        </w:rPr>
        <w:t xml:space="preserve">                     </w:t>
      </w:r>
      <w:r w:rsidRPr="00CA7591">
        <w:rPr>
          <w:rFonts w:asciiTheme="minorHAnsi" w:hAnsiTheme="minorHAnsi" w:cs="Tahoma"/>
          <w:bCs/>
          <w:iCs/>
          <w:sz w:val="22"/>
          <w:szCs w:val="22"/>
        </w:rPr>
        <w:t>2009 – 2011</w:t>
      </w:r>
    </w:p>
    <w:p w:rsidR="00CA7591" w:rsidRPr="00C90579" w:rsidRDefault="00CA7591" w:rsidP="00CA7591">
      <w:pPr>
        <w:ind w:left="-180"/>
        <w:rPr>
          <w:rFonts w:asciiTheme="minorHAnsi" w:hAnsiTheme="minorHAnsi" w:cs="Calibri"/>
          <w:b/>
          <w:sz w:val="22"/>
          <w:szCs w:val="22"/>
        </w:rPr>
      </w:pPr>
      <w:r w:rsidRPr="00C90579">
        <w:rPr>
          <w:rFonts w:asciiTheme="minorHAnsi" w:hAnsiTheme="minorHAnsi" w:cs="Tahoma"/>
          <w:bCs/>
          <w:sz w:val="22"/>
          <w:szCs w:val="22"/>
        </w:rPr>
        <w:t xml:space="preserve">   3 </w:t>
      </w:r>
      <w:r w:rsidRPr="00C90579">
        <w:rPr>
          <w:rFonts w:asciiTheme="minorHAnsi" w:hAnsiTheme="minorHAnsi" w:cs="Calibri"/>
          <w:sz w:val="22"/>
          <w:szCs w:val="22"/>
        </w:rPr>
        <w:t>‘A’ Levels including Mathematics, Chemistry and Biology</w:t>
      </w:r>
    </w:p>
    <w:p w:rsidR="00CA7591" w:rsidRPr="00C54C1C" w:rsidRDefault="00CA7591" w:rsidP="00CA7591">
      <w:pPr>
        <w:jc w:val="both"/>
        <w:rPr>
          <w:rFonts w:asciiTheme="minorHAnsi" w:hAnsiTheme="minorHAnsi" w:cs="Tahoma"/>
          <w:bCs/>
          <w:sz w:val="14"/>
          <w:szCs w:val="14"/>
        </w:rPr>
      </w:pPr>
    </w:p>
    <w:p w:rsidR="000E6E2A" w:rsidRPr="00CA7591" w:rsidRDefault="000E6E2A" w:rsidP="000E6E2A">
      <w:pPr>
        <w:jc w:val="both"/>
        <w:rPr>
          <w:rFonts w:asciiTheme="minorHAnsi" w:hAnsiTheme="minorHAnsi" w:cs="Tahoma"/>
          <w:b/>
          <w:iCs/>
          <w:sz w:val="14"/>
          <w:szCs w:val="14"/>
          <w:vertAlign w:val="superscript"/>
        </w:rPr>
      </w:pPr>
    </w:p>
    <w:p w:rsidR="000E6E2A" w:rsidRPr="00C54C1C" w:rsidRDefault="000E6E2A" w:rsidP="000E6E2A">
      <w:pPr>
        <w:rPr>
          <w:rFonts w:asciiTheme="minorHAnsi" w:hAnsiTheme="minorHAnsi" w:cs="Tahoma"/>
          <w:iCs/>
          <w:sz w:val="8"/>
          <w:szCs w:val="8"/>
        </w:rPr>
      </w:pPr>
    </w:p>
    <w:p w:rsidR="000E6E2A" w:rsidRDefault="00DF3D24" w:rsidP="000E6E2A">
      <w:pPr>
        <w:pStyle w:val="ListBullet"/>
        <w:numPr>
          <w:ilvl w:val="0"/>
          <w:numId w:val="0"/>
        </w:numPr>
        <w:pBdr>
          <w:top w:val="single" w:sz="4" w:space="1" w:color="auto"/>
        </w:pBdr>
        <w:rPr>
          <w:rFonts w:ascii="Calibri" w:hAnsi="Calibri" w:cs="Arial"/>
          <w:b/>
          <w:sz w:val="22"/>
          <w:lang w:val="en-GB"/>
        </w:rPr>
      </w:pPr>
      <w:r>
        <w:rPr>
          <w:rFonts w:ascii="Calibri" w:hAnsi="Calibri" w:cs="Arial"/>
          <w:b/>
          <w:sz w:val="22"/>
          <w:lang w:val="en-GB"/>
        </w:rPr>
        <w:t>PROFESSIONAL EXPERIENCE</w:t>
      </w:r>
    </w:p>
    <w:p w:rsidR="00002389" w:rsidRPr="00E2020A" w:rsidRDefault="00002389" w:rsidP="00002389">
      <w:pPr>
        <w:rPr>
          <w:rFonts w:ascii="Calibri" w:hAnsi="Calibri" w:cs="Arial"/>
          <w:b/>
        </w:rPr>
      </w:pPr>
      <w:r w:rsidRPr="00E2020A">
        <w:rPr>
          <w:rFonts w:ascii="Calibri" w:hAnsi="Calibri" w:cs="Arial"/>
          <w:b/>
        </w:rPr>
        <w:t>Quantity Surveyor</w:t>
      </w:r>
    </w:p>
    <w:p w:rsidR="00002389" w:rsidRPr="00E2020A" w:rsidRDefault="00002389" w:rsidP="00002389">
      <w:p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Amey</w:t>
      </w:r>
      <w:r w:rsidRPr="00E2020A">
        <w:rPr>
          <w:rFonts w:ascii="Calibri" w:hAnsi="Calibri" w:cs="Arial"/>
          <w:i/>
        </w:rPr>
        <w:t xml:space="preserve">, </w:t>
      </w:r>
      <w:r>
        <w:rPr>
          <w:rFonts w:ascii="Calibri" w:hAnsi="Calibri" w:cs="Arial"/>
          <w:i/>
        </w:rPr>
        <w:t>Warrington</w:t>
      </w:r>
      <w:r w:rsidRPr="00E2020A">
        <w:rPr>
          <w:rFonts w:ascii="Calibri" w:hAnsi="Calibri" w:cs="Arial"/>
          <w:i/>
        </w:rPr>
        <w:t xml:space="preserve"> (201</w:t>
      </w:r>
      <w:r>
        <w:rPr>
          <w:rFonts w:ascii="Calibri" w:hAnsi="Calibri" w:cs="Arial"/>
          <w:i/>
        </w:rPr>
        <w:t>7</w:t>
      </w:r>
      <w:r w:rsidR="00910839">
        <w:rPr>
          <w:rFonts w:ascii="Calibri" w:hAnsi="Calibri" w:cs="Arial"/>
          <w:i/>
        </w:rPr>
        <w:t xml:space="preserve"> </w:t>
      </w:r>
      <w:r w:rsidRPr="00E2020A">
        <w:rPr>
          <w:rFonts w:ascii="Calibri" w:hAnsi="Calibri" w:cs="Arial"/>
          <w:i/>
        </w:rPr>
        <w:t>-</w:t>
      </w:r>
      <w:r w:rsidR="00910839">
        <w:rPr>
          <w:rFonts w:ascii="Calibri" w:hAnsi="Calibri" w:cs="Arial"/>
          <w:i/>
        </w:rPr>
        <w:t xml:space="preserve"> P</w:t>
      </w:r>
      <w:r>
        <w:rPr>
          <w:rFonts w:ascii="Calibri" w:hAnsi="Calibri" w:cs="Arial"/>
          <w:i/>
        </w:rPr>
        <w:t>resent</w:t>
      </w:r>
      <w:r w:rsidRPr="00E2020A">
        <w:rPr>
          <w:rFonts w:ascii="Calibri" w:hAnsi="Calibri" w:cs="Arial"/>
          <w:i/>
        </w:rPr>
        <w:t>)</w:t>
      </w:r>
    </w:p>
    <w:p w:rsidR="00002389" w:rsidRPr="00E2020A" w:rsidRDefault="00002389" w:rsidP="00002389">
      <w:pPr>
        <w:rPr>
          <w:rFonts w:ascii="Calibri" w:hAnsi="Calibri" w:cs="Arial"/>
          <w:i/>
        </w:rPr>
      </w:pPr>
    </w:p>
    <w:p w:rsidR="0093587B" w:rsidRPr="0093587B" w:rsidRDefault="0093587B" w:rsidP="0093587B">
      <w:pPr>
        <w:jc w:val="both"/>
        <w:rPr>
          <w:rFonts w:asciiTheme="minorHAnsi" w:hAnsiTheme="minorHAnsi" w:cstheme="minorHAnsi"/>
          <w:bCs/>
        </w:rPr>
      </w:pPr>
      <w:r w:rsidRPr="0093587B">
        <w:rPr>
          <w:rFonts w:asciiTheme="minorHAnsi" w:hAnsiTheme="minorHAnsi" w:cstheme="minorHAnsi"/>
          <w:bCs/>
          <w:sz w:val="22"/>
          <w:szCs w:val="22"/>
        </w:rPr>
        <w:t xml:space="preserve">Quantity Surveyor for a leading civil </w:t>
      </w:r>
      <w:r w:rsidRPr="00524EC8">
        <w:rPr>
          <w:rFonts w:asciiTheme="minorHAnsi" w:hAnsiTheme="minorHAnsi" w:cstheme="minorHAnsi"/>
          <w:sz w:val="22"/>
          <w:szCs w:val="22"/>
          <w:shd w:val="clear" w:color="auto" w:fill="FFFFFF"/>
        </w:rPr>
        <w:t>engineering and construction company mainly operating within the water industry</w:t>
      </w:r>
      <w:r w:rsidRPr="0093587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Amey were appointed by United Utilities in the North West region. Amey are providing various </w:t>
      </w:r>
      <w:r w:rsidRPr="00524EC8">
        <w:rPr>
          <w:rFonts w:asciiTheme="minorHAnsi" w:hAnsiTheme="minorHAnsi" w:cstheme="minorHAnsi"/>
          <w:sz w:val="22"/>
          <w:szCs w:val="22"/>
          <w:shd w:val="clear" w:color="auto" w:fill="FFFFFF"/>
        </w:rPr>
        <w:t>duties including monthly valuing of the works and making applications for payment; identifying values and agreeing variations with our clients; agreeing final accounts and reporting internally on the financial and contractual status of schemes including completion of monthly financial forecasts. Other responsibilities include procuring and letting sub-contract packages, managing sub-contractors with the site delivery team whilst on site and agreeing final accounts</w:t>
      </w:r>
      <w:r w:rsidRPr="00524EC8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:rsidR="00002389" w:rsidRPr="00E2020A" w:rsidRDefault="00002389" w:rsidP="00002389">
      <w:pPr>
        <w:rPr>
          <w:rFonts w:ascii="Calibri" w:hAnsi="Calibri" w:cs="Arial"/>
          <w:bCs/>
        </w:rPr>
      </w:pPr>
    </w:p>
    <w:p w:rsidR="00910839" w:rsidRDefault="00910839" w:rsidP="00002389">
      <w:pPr>
        <w:rPr>
          <w:rFonts w:ascii="Calibri" w:hAnsi="Calibri" w:cs="Arial"/>
          <w:i/>
          <w:szCs w:val="20"/>
          <w:u w:val="single"/>
          <w:shd w:val="clear" w:color="auto" w:fill="FFFFFF"/>
        </w:rPr>
      </w:pPr>
    </w:p>
    <w:p w:rsidR="00910839" w:rsidRDefault="00910839" w:rsidP="00002389">
      <w:pPr>
        <w:rPr>
          <w:rFonts w:ascii="Calibri" w:hAnsi="Calibri" w:cs="Arial"/>
          <w:i/>
          <w:szCs w:val="20"/>
          <w:u w:val="single"/>
          <w:shd w:val="clear" w:color="auto" w:fill="FFFFFF"/>
        </w:rPr>
      </w:pPr>
    </w:p>
    <w:p w:rsidR="00CA7591" w:rsidRDefault="00CA7591" w:rsidP="00002389">
      <w:pPr>
        <w:rPr>
          <w:rFonts w:ascii="Calibri" w:hAnsi="Calibri" w:cs="Arial"/>
          <w:i/>
          <w:szCs w:val="20"/>
          <w:u w:val="single"/>
          <w:shd w:val="clear" w:color="auto" w:fill="FFFFFF"/>
        </w:rPr>
      </w:pPr>
    </w:p>
    <w:p w:rsidR="00002389" w:rsidRPr="00E2020A" w:rsidRDefault="00002389" w:rsidP="00002389">
      <w:pPr>
        <w:rPr>
          <w:rFonts w:ascii="Calibri" w:hAnsi="Calibri" w:cs="Arial"/>
          <w:i/>
          <w:szCs w:val="20"/>
          <w:u w:val="single"/>
          <w:shd w:val="clear" w:color="auto" w:fill="FFFFFF"/>
        </w:rPr>
      </w:pPr>
      <w:r w:rsidRPr="00E2020A">
        <w:rPr>
          <w:rFonts w:ascii="Calibri" w:hAnsi="Calibri" w:cs="Arial"/>
          <w:i/>
          <w:szCs w:val="20"/>
          <w:u w:val="single"/>
          <w:shd w:val="clear" w:color="auto" w:fill="FFFFFF"/>
        </w:rPr>
        <w:t xml:space="preserve">Key Tasks &amp; Responsibilities </w:t>
      </w:r>
    </w:p>
    <w:p w:rsidR="00002389" w:rsidRPr="00274AD6" w:rsidRDefault="00002389" w:rsidP="0093587B">
      <w:pPr>
        <w:numPr>
          <w:ilvl w:val="0"/>
          <w:numId w:val="7"/>
        </w:numPr>
        <w:suppressAutoHyphens w:val="0"/>
        <w:jc w:val="both"/>
        <w:rPr>
          <w:rFonts w:ascii="Calibri" w:hAnsi="Calibri" w:cs="Arial"/>
          <w:bCs/>
          <w:sz w:val="22"/>
          <w:szCs w:val="22"/>
        </w:rPr>
      </w:pPr>
      <w:r w:rsidRPr="00274AD6">
        <w:rPr>
          <w:rFonts w:ascii="Calibri" w:hAnsi="Calibri" w:cs="Arial"/>
          <w:bCs/>
          <w:sz w:val="22"/>
          <w:szCs w:val="22"/>
        </w:rPr>
        <w:t>Ensure compliance and consistency in the use of key commercial procedures and contract administration of the contracts</w:t>
      </w:r>
    </w:p>
    <w:p w:rsidR="00002389" w:rsidRPr="00274AD6" w:rsidRDefault="00002389" w:rsidP="0093587B">
      <w:pPr>
        <w:numPr>
          <w:ilvl w:val="0"/>
          <w:numId w:val="7"/>
        </w:numPr>
        <w:suppressAutoHyphens w:val="0"/>
        <w:spacing w:line="300" w:lineRule="auto"/>
        <w:jc w:val="both"/>
        <w:rPr>
          <w:rFonts w:ascii="Calibri" w:hAnsi="Calibri" w:cs="Arial"/>
          <w:bCs/>
          <w:sz w:val="22"/>
          <w:szCs w:val="22"/>
        </w:rPr>
      </w:pPr>
      <w:r w:rsidRPr="00274AD6">
        <w:rPr>
          <w:rFonts w:ascii="Calibri" w:hAnsi="Calibri" w:cs="Arial"/>
          <w:bCs/>
          <w:sz w:val="22"/>
          <w:szCs w:val="22"/>
        </w:rPr>
        <w:t>Working within delegated levels of authority and ensure self-regulation</w:t>
      </w:r>
    </w:p>
    <w:p w:rsidR="00002389" w:rsidRPr="00274AD6" w:rsidRDefault="00002389" w:rsidP="0093587B">
      <w:pPr>
        <w:numPr>
          <w:ilvl w:val="0"/>
          <w:numId w:val="7"/>
        </w:numPr>
        <w:suppressAutoHyphens w:val="0"/>
        <w:jc w:val="both"/>
        <w:rPr>
          <w:rFonts w:ascii="Calibri" w:hAnsi="Calibri" w:cs="Arial"/>
          <w:bCs/>
          <w:sz w:val="22"/>
          <w:szCs w:val="22"/>
        </w:rPr>
      </w:pPr>
      <w:r w:rsidRPr="00274AD6">
        <w:rPr>
          <w:rFonts w:ascii="Calibri" w:hAnsi="Calibri" w:cs="Arial"/>
          <w:bCs/>
          <w:sz w:val="22"/>
          <w:szCs w:val="22"/>
        </w:rPr>
        <w:t>Provide accurate and timely budget and cost information to the project team and project</w:t>
      </w:r>
    </w:p>
    <w:p w:rsidR="0093587B" w:rsidRPr="00274AD6" w:rsidRDefault="0093587B" w:rsidP="0093587B">
      <w:pPr>
        <w:pStyle w:val="ListParagraph"/>
        <w:numPr>
          <w:ilvl w:val="0"/>
          <w:numId w:val="7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274AD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Submitting subcontract / main contract tenders</w:t>
      </w:r>
    </w:p>
    <w:p w:rsidR="0093587B" w:rsidRPr="00274AD6" w:rsidRDefault="0093587B" w:rsidP="0093587B">
      <w:pPr>
        <w:pStyle w:val="ListParagraph"/>
        <w:numPr>
          <w:ilvl w:val="0"/>
          <w:numId w:val="7"/>
        </w:numPr>
        <w:suppressAutoHyphens w:val="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274AD6">
        <w:rPr>
          <w:rFonts w:asciiTheme="minorHAnsi" w:hAnsiTheme="minorHAnsi" w:cstheme="minorHAnsi"/>
          <w:sz w:val="22"/>
          <w:szCs w:val="22"/>
          <w:shd w:val="clear" w:color="auto" w:fill="FFFFFF"/>
          <w:lang w:eastAsia="en-US"/>
        </w:rPr>
        <w:t>Attending progress meetings with the construction directors</w:t>
      </w:r>
    </w:p>
    <w:p w:rsidR="00002389" w:rsidRPr="00274AD6" w:rsidRDefault="00076FC8" w:rsidP="0093587B">
      <w:pPr>
        <w:numPr>
          <w:ilvl w:val="0"/>
          <w:numId w:val="7"/>
        </w:numPr>
        <w:suppressAutoHyphens w:val="0"/>
        <w:jc w:val="both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C</w:t>
      </w:r>
      <w:r w:rsidR="00002389" w:rsidRPr="00274AD6">
        <w:rPr>
          <w:rFonts w:ascii="Calibri" w:hAnsi="Calibri" w:cs="Arial"/>
          <w:bCs/>
          <w:sz w:val="22"/>
          <w:szCs w:val="22"/>
        </w:rPr>
        <w:t>ontrols via monthly cost reports – including forecast budget v cost analysis</w:t>
      </w:r>
    </w:p>
    <w:p w:rsidR="00002389" w:rsidRPr="00274AD6" w:rsidRDefault="00002389" w:rsidP="0093587B">
      <w:pPr>
        <w:numPr>
          <w:ilvl w:val="0"/>
          <w:numId w:val="7"/>
        </w:numPr>
        <w:suppressAutoHyphens w:val="0"/>
        <w:jc w:val="both"/>
        <w:rPr>
          <w:rFonts w:ascii="Calibri" w:hAnsi="Calibri" w:cs="Arial"/>
          <w:bCs/>
          <w:sz w:val="22"/>
          <w:szCs w:val="22"/>
        </w:rPr>
      </w:pPr>
      <w:r w:rsidRPr="00274AD6">
        <w:rPr>
          <w:rFonts w:ascii="Calibri" w:hAnsi="Calibri" w:cs="Arial"/>
          <w:bCs/>
          <w:sz w:val="22"/>
          <w:szCs w:val="22"/>
        </w:rPr>
        <w:t>Provide accurate and timely data and information to satisfy all commercial audits</w:t>
      </w:r>
    </w:p>
    <w:p w:rsidR="001161BB" w:rsidRPr="00274AD6" w:rsidRDefault="00002389" w:rsidP="00910839">
      <w:pPr>
        <w:numPr>
          <w:ilvl w:val="0"/>
          <w:numId w:val="7"/>
        </w:numPr>
        <w:suppressAutoHyphens w:val="0"/>
        <w:jc w:val="both"/>
        <w:rPr>
          <w:rFonts w:ascii="Calibri" w:hAnsi="Calibri" w:cs="Arial"/>
          <w:bCs/>
          <w:sz w:val="22"/>
          <w:szCs w:val="22"/>
        </w:rPr>
      </w:pPr>
      <w:r w:rsidRPr="00274AD6">
        <w:rPr>
          <w:rFonts w:ascii="Calibri" w:hAnsi="Calibri" w:cs="Arial"/>
          <w:bCs/>
          <w:sz w:val="22"/>
          <w:szCs w:val="22"/>
        </w:rPr>
        <w:t xml:space="preserve">Reviewing </w:t>
      </w:r>
      <w:r w:rsidR="00076FC8">
        <w:rPr>
          <w:rFonts w:ascii="Calibri" w:hAnsi="Calibri" w:cs="Arial"/>
          <w:bCs/>
          <w:sz w:val="22"/>
          <w:szCs w:val="22"/>
        </w:rPr>
        <w:t>a</w:t>
      </w:r>
      <w:bookmarkStart w:id="0" w:name="_GoBack"/>
      <w:bookmarkEnd w:id="0"/>
      <w:r w:rsidRPr="00274AD6">
        <w:rPr>
          <w:rFonts w:ascii="Calibri" w:hAnsi="Calibri" w:cs="Arial"/>
          <w:bCs/>
          <w:sz w:val="22"/>
          <w:szCs w:val="22"/>
        </w:rPr>
        <w:t>pplication for payments</w:t>
      </w:r>
    </w:p>
    <w:p w:rsidR="00274AD6" w:rsidRDefault="00274AD6" w:rsidP="00274AD6">
      <w:pPr>
        <w:rPr>
          <w:rFonts w:ascii="Calibri" w:hAnsi="Calibri" w:cs="Tahoma"/>
          <w:b/>
          <w:sz w:val="22"/>
          <w:szCs w:val="22"/>
        </w:rPr>
      </w:pPr>
    </w:p>
    <w:p w:rsidR="00274AD6" w:rsidRPr="00910839" w:rsidRDefault="00274AD6" w:rsidP="00274AD6">
      <w:pPr>
        <w:suppressAutoHyphens w:val="0"/>
        <w:jc w:val="both"/>
        <w:rPr>
          <w:rFonts w:ascii="Calibri" w:hAnsi="Calibri" w:cs="Arial"/>
          <w:bCs/>
        </w:rPr>
      </w:pPr>
    </w:p>
    <w:p w:rsidR="00274AD6" w:rsidRPr="00C54C1C" w:rsidRDefault="00274AD6" w:rsidP="00274AD6">
      <w:pPr>
        <w:rPr>
          <w:rFonts w:asciiTheme="minorHAnsi" w:hAnsiTheme="minorHAnsi" w:cs="Tahoma"/>
          <w:iCs/>
          <w:sz w:val="8"/>
          <w:szCs w:val="8"/>
        </w:rPr>
      </w:pPr>
    </w:p>
    <w:p w:rsidR="00274AD6" w:rsidRPr="00274AD6" w:rsidRDefault="00D34E14" w:rsidP="00274AD6">
      <w:pPr>
        <w:pStyle w:val="ListBullet"/>
        <w:numPr>
          <w:ilvl w:val="0"/>
          <w:numId w:val="0"/>
        </w:numPr>
        <w:pBdr>
          <w:top w:val="single" w:sz="4" w:space="1" w:color="auto"/>
        </w:pBdr>
        <w:rPr>
          <w:rFonts w:ascii="Calibri" w:hAnsi="Calibri" w:cs="Arial"/>
          <w:b/>
          <w:sz w:val="22"/>
          <w:lang w:val="en-GB"/>
        </w:rPr>
      </w:pPr>
      <w:r>
        <w:rPr>
          <w:rFonts w:ascii="Calibri" w:hAnsi="Calibri" w:cs="Arial"/>
          <w:b/>
          <w:sz w:val="22"/>
          <w:lang w:val="en-GB"/>
        </w:rPr>
        <w:t>EMPLOYMENT SUMMARY</w:t>
      </w:r>
    </w:p>
    <w:p w:rsidR="00274AD6" w:rsidRPr="00274AD6" w:rsidRDefault="00274AD6" w:rsidP="00274AD6">
      <w:pPr>
        <w:rPr>
          <w:rFonts w:ascii="Calibri" w:hAnsi="Calibri" w:cs="Tahoma"/>
          <w:b/>
          <w:sz w:val="12"/>
          <w:szCs w:val="12"/>
        </w:rPr>
      </w:pPr>
    </w:p>
    <w:p w:rsidR="00274AD6" w:rsidRDefault="00274AD6" w:rsidP="00274AD6">
      <w:pPr>
        <w:rPr>
          <w:rFonts w:ascii="Calibri" w:hAnsi="Calibri" w:cs="Calibri"/>
          <w:b/>
          <w:bCs/>
        </w:rPr>
      </w:pPr>
      <w:r w:rsidRPr="00274AD6">
        <w:rPr>
          <w:rFonts w:ascii="Calibri" w:hAnsi="Calibri" w:cs="Calibri"/>
          <w:b/>
          <w:bCs/>
        </w:rPr>
        <w:t>Data Analyst</w:t>
      </w:r>
    </w:p>
    <w:p w:rsidR="00274AD6" w:rsidRDefault="00274AD6" w:rsidP="00274AD6">
      <w:pPr>
        <w:rPr>
          <w:rFonts w:ascii="Calibri" w:hAnsi="Calibri" w:cs="Calibri"/>
          <w:i/>
          <w:iCs/>
        </w:rPr>
      </w:pPr>
      <w:r w:rsidRPr="00D34E14">
        <w:rPr>
          <w:rFonts w:ascii="Calibri" w:hAnsi="Calibri" w:cs="Calibri"/>
          <w:i/>
          <w:iCs/>
        </w:rPr>
        <w:t>Lloyds Banking Group, Manchester (201</w:t>
      </w:r>
      <w:r w:rsidR="00CA7591">
        <w:rPr>
          <w:rFonts w:ascii="Calibri" w:hAnsi="Calibri" w:cs="Calibri"/>
          <w:i/>
          <w:iCs/>
        </w:rPr>
        <w:t>4</w:t>
      </w:r>
      <w:r w:rsidRPr="00D34E14">
        <w:rPr>
          <w:rFonts w:ascii="Calibri" w:hAnsi="Calibri" w:cs="Calibri"/>
          <w:i/>
          <w:iCs/>
        </w:rPr>
        <w:t xml:space="preserve"> – 201</w:t>
      </w:r>
      <w:r w:rsidR="00CA7591">
        <w:rPr>
          <w:rFonts w:ascii="Calibri" w:hAnsi="Calibri" w:cs="Calibri"/>
          <w:i/>
          <w:iCs/>
        </w:rPr>
        <w:t>5</w:t>
      </w:r>
      <w:r w:rsidRPr="00D34E14">
        <w:rPr>
          <w:rFonts w:ascii="Calibri" w:hAnsi="Calibri" w:cs="Calibri"/>
          <w:i/>
          <w:iCs/>
        </w:rPr>
        <w:t>)</w:t>
      </w:r>
    </w:p>
    <w:p w:rsidR="00D34E14" w:rsidRPr="00D34E14" w:rsidRDefault="00D34E14" w:rsidP="00274AD6">
      <w:pPr>
        <w:rPr>
          <w:rFonts w:ascii="Calibri" w:hAnsi="Calibri" w:cs="Calibri"/>
          <w:i/>
          <w:iCs/>
          <w:sz w:val="20"/>
          <w:szCs w:val="20"/>
        </w:rPr>
      </w:pPr>
    </w:p>
    <w:p w:rsidR="00274AD6" w:rsidRPr="00274AD6" w:rsidRDefault="00274AD6" w:rsidP="00274AD6">
      <w:pPr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274AD6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Regularly conducted full lifecycle analysis to include design analysis and reporting capabilities. </w:t>
      </w:r>
    </w:p>
    <w:p w:rsidR="00274AD6" w:rsidRPr="00274AD6" w:rsidRDefault="00274AD6" w:rsidP="00274AD6">
      <w:pPr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274AD6">
        <w:rPr>
          <w:rFonts w:ascii="Calibri" w:hAnsi="Calibri" w:cs="Calibri"/>
          <w:sz w:val="22"/>
          <w:szCs w:val="22"/>
        </w:rPr>
        <w:t>Regularly organised and allocated fellow staff daily schedules to estimate number of hours required to complete the tasks.</w:t>
      </w:r>
    </w:p>
    <w:p w:rsidR="00274AD6" w:rsidRPr="00274AD6" w:rsidRDefault="00274AD6" w:rsidP="00274AD6">
      <w:pPr>
        <w:numPr>
          <w:ilvl w:val="0"/>
          <w:numId w:val="8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274AD6">
        <w:rPr>
          <w:rFonts w:ascii="Calibri" w:hAnsi="Calibri" w:cs="Calibri"/>
          <w:sz w:val="22"/>
          <w:szCs w:val="22"/>
        </w:rPr>
        <w:t>Assisted management in dealing with customer requests and organized the department’s other incoming work.</w:t>
      </w:r>
    </w:p>
    <w:p w:rsidR="00274AD6" w:rsidRPr="00910839" w:rsidRDefault="00274AD6" w:rsidP="00910839">
      <w:pPr>
        <w:suppressAutoHyphens w:val="0"/>
        <w:jc w:val="both"/>
        <w:rPr>
          <w:rFonts w:ascii="Calibri" w:hAnsi="Calibri" w:cs="Arial"/>
          <w:bCs/>
        </w:rPr>
      </w:pPr>
    </w:p>
    <w:p w:rsidR="001161BB" w:rsidRPr="00C54C1C" w:rsidRDefault="001161BB" w:rsidP="001161BB">
      <w:pPr>
        <w:rPr>
          <w:rFonts w:asciiTheme="minorHAnsi" w:hAnsiTheme="minorHAnsi" w:cs="Tahoma"/>
          <w:iCs/>
          <w:sz w:val="8"/>
          <w:szCs w:val="8"/>
        </w:rPr>
      </w:pPr>
    </w:p>
    <w:p w:rsidR="00274AD6" w:rsidRDefault="00D845E4" w:rsidP="001161BB">
      <w:pPr>
        <w:pStyle w:val="ListBullet"/>
        <w:numPr>
          <w:ilvl w:val="0"/>
          <w:numId w:val="0"/>
        </w:numPr>
        <w:pBdr>
          <w:top w:val="single" w:sz="4" w:space="1" w:color="auto"/>
        </w:pBdr>
        <w:rPr>
          <w:rFonts w:ascii="Calibri" w:hAnsi="Calibri" w:cs="Arial"/>
          <w:b/>
          <w:sz w:val="22"/>
          <w:lang w:val="en-GB"/>
        </w:rPr>
      </w:pPr>
      <w:r>
        <w:rPr>
          <w:rFonts w:ascii="Calibri" w:hAnsi="Calibri" w:cs="Arial"/>
          <w:b/>
          <w:sz w:val="22"/>
          <w:lang w:val="en-GB"/>
        </w:rPr>
        <w:t xml:space="preserve">INTEREST &amp; </w:t>
      </w:r>
      <w:r w:rsidR="00B9148B">
        <w:rPr>
          <w:rFonts w:ascii="Calibri" w:hAnsi="Calibri" w:cs="Arial"/>
          <w:b/>
          <w:sz w:val="22"/>
          <w:lang w:val="en-GB"/>
        </w:rPr>
        <w:t>HOBBIES</w:t>
      </w:r>
    </w:p>
    <w:p w:rsidR="00D845E4" w:rsidRPr="00D845E4" w:rsidRDefault="00D845E4" w:rsidP="001161BB">
      <w:pPr>
        <w:pStyle w:val="ListBullet"/>
        <w:numPr>
          <w:ilvl w:val="0"/>
          <w:numId w:val="0"/>
        </w:numPr>
        <w:pBdr>
          <w:top w:val="single" w:sz="4" w:space="1" w:color="auto"/>
        </w:pBdr>
        <w:rPr>
          <w:rFonts w:ascii="Calibri" w:hAnsi="Calibri" w:cs="Arial"/>
          <w:b/>
          <w:sz w:val="10"/>
          <w:szCs w:val="10"/>
          <w:lang w:val="en-GB"/>
        </w:rPr>
      </w:pPr>
    </w:p>
    <w:p w:rsidR="00D845E4" w:rsidRPr="00D845E4" w:rsidRDefault="00D845E4" w:rsidP="00D845E4">
      <w:pPr>
        <w:pStyle w:val="ListParagraph"/>
        <w:numPr>
          <w:ilvl w:val="0"/>
          <w:numId w:val="6"/>
        </w:numPr>
        <w:suppressAutoHyphens w:val="0"/>
        <w:snapToGrid w:val="0"/>
        <w:jc w:val="both"/>
        <w:rPr>
          <w:rFonts w:asciiTheme="minorHAnsi" w:hAnsiTheme="minorHAnsi" w:cstheme="minorHAnsi"/>
          <w:color w:val="00B0F0"/>
          <w:sz w:val="22"/>
          <w:szCs w:val="22"/>
          <w:lang w:eastAsia="en-US"/>
        </w:rPr>
      </w:pPr>
      <w:r w:rsidRPr="00D845E4">
        <w:rPr>
          <w:rFonts w:asciiTheme="minorHAnsi" w:hAnsiTheme="minorHAnsi" w:cstheme="minorHAnsi"/>
          <w:sz w:val="22"/>
          <w:szCs w:val="22"/>
          <w:lang w:eastAsia="en-US"/>
        </w:rPr>
        <w:t>I enjoy taking part in charitable fundraising events, particularly with Human Relief Foundation.</w:t>
      </w:r>
    </w:p>
    <w:p w:rsidR="008F0830" w:rsidRPr="001D6E29" w:rsidRDefault="00D845E4" w:rsidP="001D6E29">
      <w:pPr>
        <w:pStyle w:val="ListParagraph"/>
        <w:numPr>
          <w:ilvl w:val="0"/>
          <w:numId w:val="6"/>
        </w:numPr>
        <w:suppressAutoHyphens w:val="0"/>
        <w:spacing w:after="14" w:line="247" w:lineRule="auto"/>
        <w:jc w:val="both"/>
        <w:rPr>
          <w:rFonts w:ascii="Calibri" w:hAnsi="Calibri" w:cs="Arial"/>
          <w:b/>
          <w:sz w:val="22"/>
        </w:rPr>
      </w:pPr>
      <w:r w:rsidRPr="00D845E4">
        <w:rPr>
          <w:rFonts w:asciiTheme="minorHAnsi" w:hAnsiTheme="minorHAnsi" w:cstheme="minorHAnsi"/>
          <w:sz w:val="22"/>
          <w:szCs w:val="22"/>
        </w:rPr>
        <w:t xml:space="preserve">I enjoy travelling </w:t>
      </w:r>
      <w:r w:rsidR="005E7A2C" w:rsidRPr="00D845E4">
        <w:rPr>
          <w:rFonts w:asciiTheme="minorHAnsi" w:hAnsiTheme="minorHAnsi" w:cstheme="minorHAnsi"/>
          <w:sz w:val="22"/>
          <w:szCs w:val="22"/>
        </w:rPr>
        <w:t>to</w:t>
      </w:r>
      <w:r w:rsidRPr="00D845E4">
        <w:rPr>
          <w:rFonts w:asciiTheme="minorHAnsi" w:hAnsiTheme="minorHAnsi" w:cstheme="minorHAnsi"/>
          <w:sz w:val="22"/>
          <w:szCs w:val="22"/>
        </w:rPr>
        <w:t xml:space="preserve"> discover other cultures and faiths. This has helped to develop my cultural awareness, broaden my horizons and improve my communication skills</w:t>
      </w:r>
      <w:r w:rsidR="001D2FD2">
        <w:rPr>
          <w:rFonts w:asciiTheme="minorHAnsi" w:hAnsiTheme="minorHAnsi" w:cstheme="minorHAnsi"/>
          <w:sz w:val="22"/>
          <w:szCs w:val="22"/>
        </w:rPr>
        <w:t>.</w:t>
      </w:r>
    </w:p>
    <w:p w:rsidR="001D6E29" w:rsidRPr="001D6E29" w:rsidRDefault="001D6E29" w:rsidP="001D6E29">
      <w:pPr>
        <w:suppressAutoHyphens w:val="0"/>
        <w:spacing w:after="14" w:line="247" w:lineRule="auto"/>
        <w:jc w:val="both"/>
        <w:rPr>
          <w:rFonts w:ascii="Calibri" w:hAnsi="Calibri" w:cs="Arial"/>
          <w:b/>
          <w:sz w:val="22"/>
        </w:rPr>
      </w:pPr>
    </w:p>
    <w:p w:rsidR="008F0830" w:rsidRPr="00C54C1C" w:rsidRDefault="008F0830" w:rsidP="008F0830">
      <w:pPr>
        <w:rPr>
          <w:rFonts w:asciiTheme="minorHAnsi" w:hAnsiTheme="minorHAnsi" w:cs="Tahoma"/>
          <w:iCs/>
          <w:sz w:val="8"/>
          <w:szCs w:val="8"/>
        </w:rPr>
      </w:pPr>
    </w:p>
    <w:p w:rsidR="008F0830" w:rsidRDefault="001D6E29" w:rsidP="008F0830">
      <w:pPr>
        <w:pStyle w:val="ListBullet"/>
        <w:numPr>
          <w:ilvl w:val="0"/>
          <w:numId w:val="0"/>
        </w:numPr>
        <w:pBdr>
          <w:top w:val="single" w:sz="4" w:space="1" w:color="auto"/>
        </w:pBdr>
        <w:rPr>
          <w:rFonts w:ascii="Calibri" w:hAnsi="Calibri" w:cs="Arial"/>
          <w:b/>
          <w:sz w:val="22"/>
          <w:lang w:val="en-GB"/>
        </w:rPr>
      </w:pPr>
      <w:r>
        <w:rPr>
          <w:rFonts w:ascii="Calibri" w:hAnsi="Calibri" w:cs="Arial"/>
          <w:b/>
          <w:sz w:val="22"/>
          <w:lang w:val="en-GB"/>
        </w:rPr>
        <w:t>REFERENCES</w:t>
      </w:r>
    </w:p>
    <w:p w:rsidR="001D6E29" w:rsidRPr="001D6E29" w:rsidRDefault="001D6E29" w:rsidP="008F0830">
      <w:pPr>
        <w:pStyle w:val="ListBullet"/>
        <w:numPr>
          <w:ilvl w:val="0"/>
          <w:numId w:val="0"/>
        </w:numPr>
        <w:pBdr>
          <w:top w:val="single" w:sz="4" w:space="1" w:color="auto"/>
        </w:pBdr>
        <w:rPr>
          <w:rFonts w:ascii="Calibri" w:hAnsi="Calibri" w:cs="Arial"/>
          <w:b/>
          <w:sz w:val="12"/>
          <w:szCs w:val="12"/>
          <w:lang w:val="en-GB"/>
        </w:rPr>
      </w:pPr>
    </w:p>
    <w:p w:rsidR="001D6E29" w:rsidRPr="001D6E29" w:rsidRDefault="001D6E29" w:rsidP="008F0830">
      <w:pPr>
        <w:pStyle w:val="ListBullet"/>
        <w:numPr>
          <w:ilvl w:val="0"/>
          <w:numId w:val="0"/>
        </w:numPr>
        <w:pBdr>
          <w:top w:val="single" w:sz="4" w:space="1" w:color="auto"/>
        </w:pBdr>
        <w:rPr>
          <w:rFonts w:ascii="Calibri" w:hAnsi="Calibri" w:cs="Arial"/>
          <w:bCs/>
          <w:sz w:val="22"/>
          <w:lang w:val="en-GB"/>
        </w:rPr>
      </w:pPr>
      <w:r>
        <w:rPr>
          <w:rFonts w:ascii="Calibri" w:hAnsi="Calibri" w:cs="Arial"/>
          <w:bCs/>
          <w:sz w:val="22"/>
          <w:lang w:val="en-GB"/>
        </w:rPr>
        <w:t>References are available on request.</w:t>
      </w:r>
    </w:p>
    <w:p w:rsidR="008F0830" w:rsidRPr="008F0830" w:rsidRDefault="008F0830" w:rsidP="008F0830">
      <w:pPr>
        <w:suppressAutoHyphens w:val="0"/>
        <w:spacing w:after="14" w:line="247" w:lineRule="auto"/>
        <w:jc w:val="both"/>
        <w:rPr>
          <w:rFonts w:ascii="Calibri" w:hAnsi="Calibri" w:cs="Arial"/>
          <w:b/>
          <w:sz w:val="22"/>
        </w:rPr>
      </w:pPr>
    </w:p>
    <w:p w:rsidR="001D2FD2" w:rsidRDefault="001D2FD2" w:rsidP="001D2FD2">
      <w:pPr>
        <w:suppressAutoHyphens w:val="0"/>
        <w:spacing w:after="14" w:line="247" w:lineRule="auto"/>
        <w:jc w:val="both"/>
        <w:rPr>
          <w:rFonts w:ascii="Calibri" w:hAnsi="Calibri" w:cs="Arial"/>
          <w:b/>
          <w:sz w:val="22"/>
        </w:rPr>
      </w:pPr>
    </w:p>
    <w:p w:rsidR="009F7336" w:rsidRPr="009F7336" w:rsidRDefault="009F7336" w:rsidP="009F7336">
      <w:pPr>
        <w:rPr>
          <w:sz w:val="22"/>
          <w:szCs w:val="22"/>
        </w:rPr>
      </w:pPr>
    </w:p>
    <w:p w:rsidR="009F7336" w:rsidRPr="009F7336" w:rsidRDefault="009F7336" w:rsidP="009F7336">
      <w:pPr>
        <w:rPr>
          <w:sz w:val="22"/>
          <w:szCs w:val="22"/>
        </w:rPr>
      </w:pPr>
    </w:p>
    <w:p w:rsidR="009F7336" w:rsidRPr="009F7336" w:rsidRDefault="009F7336" w:rsidP="009F7336">
      <w:pPr>
        <w:rPr>
          <w:sz w:val="22"/>
          <w:szCs w:val="22"/>
        </w:rPr>
      </w:pPr>
    </w:p>
    <w:sectPr w:rsidR="009F7336" w:rsidRPr="009F7336" w:rsidSect="00B27A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1B3" w:rsidRDefault="000B11B3" w:rsidP="000B11B3">
      <w:r>
        <w:separator/>
      </w:r>
    </w:p>
  </w:endnote>
  <w:endnote w:type="continuationSeparator" w:id="0">
    <w:p w:rsidR="000B11B3" w:rsidRDefault="000B11B3" w:rsidP="000B11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1B3" w:rsidRDefault="000B11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1B3" w:rsidRDefault="000B11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1B3" w:rsidRDefault="000B11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1B3" w:rsidRDefault="000B11B3" w:rsidP="000B11B3">
      <w:r>
        <w:separator/>
      </w:r>
    </w:p>
  </w:footnote>
  <w:footnote w:type="continuationSeparator" w:id="0">
    <w:p w:rsidR="000B11B3" w:rsidRDefault="000B11B3" w:rsidP="000B11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1B3" w:rsidRDefault="000B11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1B3" w:rsidRDefault="000B11B3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1B3" w:rsidRDefault="000B11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86AF0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/>
      </w:rPr>
    </w:lvl>
  </w:abstractNum>
  <w:abstractNum w:abstractNumId="1">
    <w:nsid w:val="03EE7AFA"/>
    <w:multiLevelType w:val="hybridMultilevel"/>
    <w:tmpl w:val="3210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047E5"/>
    <w:multiLevelType w:val="multilevel"/>
    <w:tmpl w:val="C7A6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8245F6"/>
    <w:multiLevelType w:val="hybridMultilevel"/>
    <w:tmpl w:val="0B923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31B48"/>
    <w:multiLevelType w:val="multilevel"/>
    <w:tmpl w:val="8CDC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746B29"/>
    <w:multiLevelType w:val="hybridMultilevel"/>
    <w:tmpl w:val="FA6A3976"/>
    <w:lvl w:ilvl="0" w:tplc="CF2077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B54F3"/>
    <w:multiLevelType w:val="hybridMultilevel"/>
    <w:tmpl w:val="5E509088"/>
    <w:lvl w:ilvl="0" w:tplc="43D83124">
      <w:start w:val="1"/>
      <w:numFmt w:val="bullet"/>
      <w:lvlText w:val=""/>
      <w:lvlJc w:val="left"/>
      <w:pPr>
        <w:ind w:left="1180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98D46EF6">
      <w:start w:val="1"/>
      <w:numFmt w:val="bullet"/>
      <w:lvlText w:val="•"/>
      <w:lvlJc w:val="left"/>
      <w:pPr>
        <w:ind w:left="2148" w:hanging="360"/>
      </w:pPr>
      <w:rPr>
        <w:rFonts w:hint="default"/>
      </w:rPr>
    </w:lvl>
    <w:lvl w:ilvl="2" w:tplc="7278F21E">
      <w:start w:val="1"/>
      <w:numFmt w:val="bullet"/>
      <w:lvlText w:val="•"/>
      <w:lvlJc w:val="left"/>
      <w:pPr>
        <w:ind w:left="3117" w:hanging="360"/>
      </w:pPr>
      <w:rPr>
        <w:rFonts w:hint="default"/>
      </w:rPr>
    </w:lvl>
    <w:lvl w:ilvl="3" w:tplc="3208E702">
      <w:start w:val="1"/>
      <w:numFmt w:val="bullet"/>
      <w:lvlText w:val="•"/>
      <w:lvlJc w:val="left"/>
      <w:pPr>
        <w:ind w:left="4085" w:hanging="360"/>
      </w:pPr>
      <w:rPr>
        <w:rFonts w:hint="default"/>
      </w:rPr>
    </w:lvl>
    <w:lvl w:ilvl="4" w:tplc="FD006B1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5" w:tplc="82C40E9C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6" w:tplc="DE8E6708">
      <w:start w:val="1"/>
      <w:numFmt w:val="bullet"/>
      <w:lvlText w:val="•"/>
      <w:lvlJc w:val="left"/>
      <w:pPr>
        <w:ind w:left="6991" w:hanging="360"/>
      </w:pPr>
      <w:rPr>
        <w:rFonts w:hint="default"/>
      </w:rPr>
    </w:lvl>
    <w:lvl w:ilvl="7" w:tplc="382C7EB0">
      <w:start w:val="1"/>
      <w:numFmt w:val="bullet"/>
      <w:lvlText w:val="•"/>
      <w:lvlJc w:val="left"/>
      <w:pPr>
        <w:ind w:left="7960" w:hanging="360"/>
      </w:pPr>
      <w:rPr>
        <w:rFonts w:hint="default"/>
      </w:rPr>
    </w:lvl>
    <w:lvl w:ilvl="8" w:tplc="8CA86F8E">
      <w:start w:val="1"/>
      <w:numFmt w:val="bullet"/>
      <w:lvlText w:val="•"/>
      <w:lvlJc w:val="left"/>
      <w:pPr>
        <w:ind w:left="8929" w:hanging="360"/>
      </w:pPr>
      <w:rPr>
        <w:rFonts w:hint="default"/>
      </w:rPr>
    </w:lvl>
  </w:abstractNum>
  <w:abstractNum w:abstractNumId="7">
    <w:nsid w:val="759530F2"/>
    <w:multiLevelType w:val="hybridMultilevel"/>
    <w:tmpl w:val="519E85C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6B32"/>
    <w:rsid w:val="00002389"/>
    <w:rsid w:val="00042455"/>
    <w:rsid w:val="00076FC8"/>
    <w:rsid w:val="000A3FD1"/>
    <w:rsid w:val="000B11B3"/>
    <w:rsid w:val="000E6E2A"/>
    <w:rsid w:val="001161BB"/>
    <w:rsid w:val="001D2FD2"/>
    <w:rsid w:val="001D6E29"/>
    <w:rsid w:val="00274AD6"/>
    <w:rsid w:val="00356B32"/>
    <w:rsid w:val="004B3BCF"/>
    <w:rsid w:val="005E7A2C"/>
    <w:rsid w:val="00703015"/>
    <w:rsid w:val="00843FAB"/>
    <w:rsid w:val="008F0830"/>
    <w:rsid w:val="00910839"/>
    <w:rsid w:val="0093587B"/>
    <w:rsid w:val="009F7336"/>
    <w:rsid w:val="00B01294"/>
    <w:rsid w:val="00B27A7C"/>
    <w:rsid w:val="00B9148B"/>
    <w:rsid w:val="00BF0707"/>
    <w:rsid w:val="00C3029C"/>
    <w:rsid w:val="00C363B3"/>
    <w:rsid w:val="00CA7591"/>
    <w:rsid w:val="00D34E14"/>
    <w:rsid w:val="00D845E4"/>
    <w:rsid w:val="00DF3D24"/>
    <w:rsid w:val="00FE6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B3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Details">
    <w:name w:val="Contact Details"/>
    <w:basedOn w:val="Normal"/>
    <w:rsid w:val="00356B32"/>
    <w:pPr>
      <w:suppressAutoHyphens w:val="0"/>
      <w:spacing w:before="120" w:after="240"/>
    </w:pPr>
    <w:rPr>
      <w:rFonts w:ascii="Cambria" w:eastAsia="MS Mincho" w:hAnsi="Cambria"/>
      <w:color w:val="4F81BD"/>
      <w:sz w:val="18"/>
      <w:szCs w:val="18"/>
      <w:lang w:val="en-US" w:eastAsia="en-US"/>
    </w:rPr>
  </w:style>
  <w:style w:type="paragraph" w:customStyle="1" w:styleId="MediumGrid21">
    <w:name w:val="Medium Grid 21"/>
    <w:uiPriority w:val="1"/>
    <w:qFormat/>
    <w:rsid w:val="000A3FD1"/>
    <w:pPr>
      <w:spacing w:after="0" w:line="240" w:lineRule="auto"/>
    </w:pPr>
    <w:rPr>
      <w:rFonts w:ascii="Cambria" w:eastAsia="MS Mincho" w:hAnsi="Cambria" w:cs="Times New Roman"/>
      <w:sz w:val="20"/>
    </w:rPr>
  </w:style>
  <w:style w:type="table" w:styleId="TableGrid">
    <w:name w:val="Table Grid"/>
    <w:basedOn w:val="TableNormal"/>
    <w:uiPriority w:val="39"/>
    <w:rsid w:val="009F7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336"/>
    <w:pPr>
      <w:ind w:left="720"/>
      <w:contextualSpacing/>
    </w:pPr>
  </w:style>
  <w:style w:type="paragraph" w:styleId="ListBullet">
    <w:name w:val="List Bullet"/>
    <w:basedOn w:val="Normal"/>
    <w:unhideWhenUsed/>
    <w:rsid w:val="000E6E2A"/>
    <w:pPr>
      <w:numPr>
        <w:numId w:val="5"/>
      </w:numPr>
      <w:tabs>
        <w:tab w:val="left" w:pos="270"/>
      </w:tabs>
      <w:suppressAutoHyphens w:val="0"/>
      <w:spacing w:line="300" w:lineRule="auto"/>
      <w:ind w:left="288" w:hanging="288"/>
      <w:contextualSpacing/>
    </w:pPr>
    <w:rPr>
      <w:rFonts w:ascii="Cambria" w:eastAsia="MS Mincho" w:hAnsi="Cambria"/>
      <w:sz w:val="20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0B11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B3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0B11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11B3"/>
    <w:rPr>
      <w:rFonts w:ascii="Times New Roman" w:eastAsia="Times New Roman" w:hAnsi="Times New Roman" w:cs="Times New Roman"/>
      <w:sz w:val="24"/>
      <w:szCs w:val="24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F8397-C02A-4D41-A448-E8BFF6AA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Loso</dc:creator>
  <cp:keywords/>
  <dc:description/>
  <cp:lastModifiedBy>Windows User</cp:lastModifiedBy>
  <cp:revision>2</cp:revision>
  <dcterms:created xsi:type="dcterms:W3CDTF">2019-08-05T17:44:00Z</dcterms:created>
  <dcterms:modified xsi:type="dcterms:W3CDTF">2019-08-05T17:44:00Z</dcterms:modified>
</cp:coreProperties>
</file>