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Garamond" w:hAnsi="Garamond" w:eastAsia="Garamond" w:cs="Garamond"/>
          <w:b/>
          <w:b/>
          <w:sz w:val="16"/>
        </w:rPr>
      </w:pPr>
      <w:r>
        <w:rPr/>
        <w:object>
          <v:shape id="ole_rId2" style="width:86.5pt;height:39.5pt" o:ole="">
            <v:imagedata r:id="rId3" o:title=""/>
          </v:shape>
          <o:OLEObject Type="Embed" ProgID="StaticMetafile" ShapeID="ole_rId2" DrawAspect="Content" ObjectID="_1110602779" r:id="rId2"/>
        </w:object>
      </w:r>
      <w:r>
        <w:rPr>
          <w:rFonts w:eastAsia="Garamond" w:cs="Garamond" w:ascii="Garamond" w:hAnsi="Garamond"/>
          <w:b/>
          <w:sz w:val="16"/>
        </w:rPr>
        <w:t xml:space="preserve">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firstLine="360"/>
        <w:jc w:val="center"/>
        <w:rPr>
          <w:rFonts w:ascii="Garamond" w:hAnsi="Garamond" w:eastAsia="Garamond" w:cs="Garamond"/>
          <w:b/>
          <w:b/>
          <w:sz w:val="16"/>
        </w:rPr>
      </w:pPr>
      <w:r>
        <w:rPr>
          <w:rFonts w:eastAsia="Garamond" w:cs="Garamond" w:ascii="Garamond" w:hAnsi="Garamond"/>
          <w:b/>
          <w:sz w:val="16"/>
        </w:rPr>
        <w:t>BILAL QAMAR</w:t>
      </w:r>
    </w:p>
    <w:p>
      <w:pPr>
        <w:pStyle w:val="Normal"/>
        <w:spacing w:lineRule="auto" w:line="240" w:before="0" w:after="0"/>
        <w:ind w:left="720" w:hanging="0"/>
        <w:rPr>
          <w:rFonts w:ascii="Garamond" w:hAnsi="Garamond" w:eastAsia="Garamond" w:cs="Garamond"/>
          <w:i/>
          <w:i/>
          <w:sz w:val="16"/>
        </w:rPr>
      </w:pPr>
      <w:r>
        <w:rPr>
          <w:rFonts w:eastAsia="Garamond" w:cs="Garamond" w:ascii="Garamond" w:hAnsi="Garamond"/>
          <w:i/>
          <w:sz w:val="16"/>
        </w:rPr>
        <w:t xml:space="preserve">                                                                          </w:t>
      </w:r>
      <w:r>
        <w:rPr>
          <w:rFonts w:eastAsia="Garamond" w:cs="Garamond" w:ascii="Garamond" w:hAnsi="Garamond"/>
          <w:i/>
          <w:sz w:val="16"/>
        </w:rPr>
        <w:t>32 Chadwick Crescent, Dewsbury</w:t>
      </w:r>
    </w:p>
    <w:p>
      <w:pPr>
        <w:pStyle w:val="Normal"/>
        <w:spacing w:lineRule="auto" w:line="240" w:before="0" w:after="0"/>
        <w:jc w:val="center"/>
        <w:rPr>
          <w:rFonts w:ascii="Garamond" w:hAnsi="Garamond" w:eastAsia="Garamond" w:cs="Garamond"/>
          <w:i/>
          <w:i/>
          <w:color w:val="0000FF"/>
          <w:sz w:val="16"/>
          <w:u w:val="single"/>
        </w:rPr>
      </w:pPr>
      <w:r>
        <w:rPr>
          <w:rFonts w:eastAsia="Garamond" w:cs="Garamond" w:ascii="Garamond" w:hAnsi="Garamond"/>
          <w:i/>
          <w:sz w:val="16"/>
        </w:rPr>
        <w:t>bilalqamar779@hotmail.co.uk</w:t>
      </w:r>
    </w:p>
    <w:p>
      <w:pPr>
        <w:pStyle w:val="Normal"/>
        <w:spacing w:lineRule="auto" w:line="240" w:before="0" w:after="0"/>
        <w:jc w:val="center"/>
        <w:rPr>
          <w:rFonts w:ascii="Garamond" w:hAnsi="Garamond" w:eastAsia="Garamond" w:cs="Garamond"/>
          <w:i/>
          <w:i/>
          <w:color w:val="0000FF"/>
          <w:sz w:val="16"/>
          <w:u w:val="single"/>
        </w:rPr>
      </w:pPr>
      <w:r>
        <w:rPr>
          <w:rFonts w:eastAsia="Garamond" w:cs="Garamond" w:ascii="Garamond" w:hAnsi="Garamond"/>
          <w:i/>
          <w:sz w:val="16"/>
        </w:rPr>
        <w:t>07735020169</w:t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ind w:right="-755" w:hanging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Objective: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A multi-skilled Network Engineer with  practical experience of working within the NOC/NMC and in the diversified network support environment. Possessing a proven ability to administer and control the operation, configuration and maintenance of the entire Network. Able to multi-task under pressure, an excellent communicator &amp; has the flexibility of working well as part of a team and on his own.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I possess strong problem solving skills, and have a proven ability to consistently hit targets.  I have a can-do attitude, and a strong desire to take on more responsibility, and push myself as far as I can in an area I feel I would thrive in. </w:t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ind w:right="-755" w:hanging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Personal Qualities</w:t>
            </w:r>
          </w:p>
        </w:tc>
      </w:tr>
    </w:tbl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Experience in working on SD-Wan technology, Silver Peak.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Trouble shooting and working with contractors such as ISP providers and silver peak support team.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More than 3 years of practical experience in the support of LAN/WAN and VLan networks.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knowledge in standard sized LAN configuration &amp; implementation with Cisco equipment and other equipment..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Strong hands-on experience and strong understanding of networking technologies and protocols at various OSI model 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knowledge of Cisco layer 2 switching &amp; Layer 3 routing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An exceptional team-player whereas having the qualities and character to have a encouraging impact on the team.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Excellent interpersonal skills allowing me to express myself clearly at all levels within the business.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Anticipating potential problems and implementing preventative measures using methodical &amp; logical approach. The ability to meet demanding deadlines in a pressured environment.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Experience in managing or working with nagios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Good working knowledge of Cisco layer 2 switching; VLAN, Spanning Tree/RSTP, VTP, LACP/Ether channels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The ability to meet up challenging deadlines in a pressured environment</w:t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ind w:right="-755" w:hanging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Certifications &amp; Trainings:</w:t>
            </w:r>
          </w:p>
        </w:tc>
      </w:tr>
    </w:tbl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ab/>
        <w:tab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CCNA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Deprecated – Deploying SD WAN Technologies , Silver peak (Training Completed)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Prince 2 (PRACTITIONER)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ab/>
        <w:tab/>
        <w:tab/>
        <w:tab/>
        <w:tab/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Skills: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Experienced 24/7 service delivery atmosphere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Excellent skills in Incident Response and Network (IDS, Firewall) Monitoring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Experience with HP service manager and Service Desk toolsets like Vivantio, Logic Monitor and  Solarwinds etc.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ISP/DSL technologies: PPP, DHCP, SNMP,  DNS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Experience with various Cisco routers &amp; switches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Good Working knowledge of Cisco Meraki</w:t>
        <w:tab/>
        <w:tab/>
        <w:tab/>
        <w:tab/>
        <w:tab/>
        <w:tab/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Career Summary: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  <w:t xml:space="preserve">Cryptopak solution ltd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  <w:t xml:space="preserve">Network Analyst </w:t>
        <w:tab/>
        <w:tab/>
        <w:tab/>
        <w:tab/>
        <w:tab/>
        <w:tab/>
        <w:tab/>
        <w:tab/>
        <w:tab/>
        <w:t>July2017 – Oct 2019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SD Wan trouble shooting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Dealing with ISP 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Involved in bridge call with customer, ISP and Silver peak technical support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Perform initial triage and alarm monitoring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Generate reports on Silver peak Orchestrator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Managing Cisco devices on Cisco Meraki dashboard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Configuring devices on Edge connect devices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VPN support (4000 users )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TCP/IP Switching , Routing 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LAN / WAN Support 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Maintaining Switches  &amp; Routers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Deal with new and existing customer support tickets via Phone and E-Mail.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Liaise with vendors and other members of the technical department to find solutions to tickets.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Understanding customer needs and requirements.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Configuration and support of products.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Dealing with customer calls, emails and tickets to resolving the networks issues according to the defined priorities and SLAs. 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Troubleshooting Network IP Routing, sub-netting, LAN/WAN &amp; TCP/IP operations.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TCP/IP troubleshooting, reading and understanding packet captures with tools like Sniffer.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i/>
          <w:sz w:val="16"/>
        </w:rPr>
        <w:t>Tools: - ITIL, Vivantio, Logic monitor, Cisco Meraki, SDWAN Silver peak.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Education: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  <w:t>University of Greenwich</w:t>
        <w:tab/>
      </w:r>
      <w:r>
        <w:rPr>
          <w:rFonts w:eastAsia="Times New Roman" w:cs="Times New Roman" w:ascii="Times New Roman" w:hAnsi="Times New Roman"/>
          <w:sz w:val="16"/>
        </w:rPr>
        <w:tab/>
        <w:tab/>
        <w:tab/>
        <w:tab/>
        <w:tab/>
        <w:t>2005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MS Engineering Mangement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  <w:t>NED university</w:t>
      </w:r>
      <w:r>
        <w:rPr>
          <w:rFonts w:eastAsia="Times New Roman" w:cs="Times New Roman" w:ascii="Times New Roman" w:hAnsi="Times New Roman"/>
          <w:sz w:val="16"/>
        </w:rPr>
        <w:tab/>
        <w:tab/>
        <w:tab/>
        <w:tab/>
        <w:tab/>
        <w:tab/>
        <w:tab/>
        <w:t>2002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>B.EngHons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Interests: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  <w:t xml:space="preserve"> </w:t>
      </w:r>
      <w:r>
        <w:rPr>
          <w:rFonts w:eastAsia="Times New Roman" w:cs="Times New Roman" w:ascii="Times New Roman" w:hAnsi="Times New Roman"/>
          <w:sz w:val="16"/>
        </w:rPr>
        <w:t xml:space="preserve">Reading , Running &amp; Cooking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16"/>
        </w:rPr>
      </w:pPr>
      <w:r>
        <w:rPr>
          <w:rFonts w:eastAsia="Times New Roman" w:cs="Times New Roman" w:ascii="Times New Roman" w:hAnsi="Times New Roman"/>
          <w:sz w:val="16"/>
        </w:rPr>
      </w:r>
    </w:p>
    <w:tbl>
      <w:tblPr>
        <w:tblW w:w="9144" w:type="dxa"/>
        <w:jc w:val="left"/>
        <w:tblInd w:w="9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144"/>
      </w:tblGrid>
      <w:tr>
        <w:trPr>
          <w:trHeight w:val="1" w:hRule="atLeast"/>
        </w:trPr>
        <w:tc>
          <w:tcPr>
            <w:tcW w:w="914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color="auto" w:fill="F2F2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6"/>
              </w:rPr>
              <w:t>References: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16"/>
        </w:rPr>
      </w:pPr>
      <w:r>
        <w:rPr>
          <w:rFonts w:eastAsia="Times New Roman" w:cs="Times New Roman" w:ascii="Times New Roman" w:hAnsi="Times New Roman"/>
          <w:b/>
          <w:sz w:val="16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16"/>
        </w:rPr>
        <w:t xml:space="preserve">To be provided upon request </w:t>
      </w:r>
    </w:p>
    <w:sectPr>
      <w:headerReference w:type="default" r:id="rId4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200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34e1b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Application>LibreOffice/6.2.6.2$Linux_X86_64 LibreOffice_project/93e3be01c591ba6e7311e581ba65aae4a8cb3de2</Application>
  <Pages>2</Pages>
  <Words>597</Words>
  <Characters>3405</Characters>
  <CharactersWithSpaces>3995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2019-10-07T08:17:00Z</dcterms:created>
  <dc:creator/>
  <dc:description/>
  <dc:language>en-US</dc:language>
  <cp:lastModifiedBy/>
  <dcterms:modified xsi:type="dcterms:W3CDTF">2019-10-10T21:36:56Z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