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-410" w:topFromText="0" w:vertAnchor="margin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2127" w:hRule="exact"/>
        </w:trPr>
        <w:tc>
          <w:tcPr>
            <w:tcW w:w="9360" w:type="dxa"/>
            <w:tcBorders/>
            <w:shd w:fill="auto" w:val="clear"/>
          </w:tcPr>
          <w:p>
            <w:pPr>
              <w:pStyle w:val="Title"/>
              <w:spacing w:before="0" w:after="0"/>
              <w:contextualSpacing/>
              <w:rPr>
                <w:rStyle w:val="IntenseEmphasis"/>
                <w:rFonts w:ascii="Perpetua" w:hAnsi="Perpetua" w:cs="Arial"/>
                <w:caps w:val="false"/>
                <w:smallCaps w:val="false"/>
                <w:color w:val="auto"/>
                <w:sz w:val="72"/>
                <w:szCs w:val="72"/>
              </w:rPr>
            </w:pPr>
            <w:r>
              <w:rPr>
                <w:rFonts w:cs="Arial" w:ascii="Perpetua" w:hAnsi="Perpetua"/>
                <w:b/>
                <w:caps w:val="false"/>
                <w:smallCaps w:val="false"/>
                <w:color w:val="auto"/>
                <w:sz w:val="72"/>
                <w:szCs w:val="72"/>
              </w:rPr>
              <w:t>Haris</w:t>
            </w:r>
            <w:r>
              <w:rPr>
                <w:rFonts w:cs="Arial" w:ascii="Perpetua" w:hAnsi="Perpetua"/>
                <w:caps w:val="false"/>
                <w:smallCaps w:val="false"/>
                <w:color w:val="auto"/>
                <w:sz w:val="72"/>
                <w:szCs w:val="72"/>
              </w:rPr>
              <w:t xml:space="preserve"> </w:t>
            </w:r>
            <w:r>
              <w:rPr>
                <w:rStyle w:val="IntenseEmphasis"/>
                <w:rFonts w:cs="Arial" w:ascii="Perpetua" w:hAnsi="Perpetua"/>
                <w:sz w:val="72"/>
                <w:szCs w:val="72"/>
              </w:rPr>
              <w:t>A</w:t>
            </w:r>
            <w:r>
              <w:rPr>
                <w:rStyle w:val="IntenseEmphasis"/>
                <w:rFonts w:cs="Arial" w:ascii="Perpetua" w:hAnsi="Perpetua"/>
                <w:caps w:val="false"/>
                <w:smallCaps w:val="false"/>
                <w:color w:val="auto"/>
                <w:sz w:val="72"/>
                <w:szCs w:val="72"/>
              </w:rPr>
              <w:t>hmed</w:t>
            </w:r>
          </w:p>
          <w:p>
            <w:pPr>
              <w:pStyle w:val="Title"/>
              <w:spacing w:before="0" w:after="0"/>
              <w:contextualSpacing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aps w:val="false"/>
                <w:smallCaps w:val="false"/>
                <w:sz w:val="24"/>
                <w:szCs w:val="24"/>
              </w:rPr>
              <w:t>IT Support Specialist</w:t>
            </w:r>
          </w:p>
          <w:p>
            <w:pPr>
              <w:pStyle w:val="ContactInfo"/>
              <w:tabs>
                <w:tab w:val="clear" w:pos="709"/>
                <w:tab w:val="center" w:pos="4680" w:leader="none"/>
                <w:tab w:val="left" w:pos="8380" w:leader="none"/>
              </w:tabs>
              <w:spacing w:before="0" w:after="0"/>
              <w:jc w:val="left"/>
              <w:rPr/>
            </w:pPr>
            <w:r>
              <w:rPr>
                <w:b/>
              </w:rPr>
              <w:tab/>
              <w:t>East Didsbury, Manchester</w:t>
              <w:tab/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>07873 533 603 | h4ris_ahmed@hotmail.com | linkedin.com/haris-ahmed-b176096a</w:t>
            </w:r>
          </w:p>
        </w:tc>
      </w:tr>
      <w:tr>
        <w:trPr>
          <w:trHeight w:val="4378" w:hRule="atLeast"/>
        </w:trPr>
        <w:tc>
          <w:tcPr>
            <w:tcW w:w="9360" w:type="dxa"/>
            <w:tcBorders/>
            <w:shd w:fill="auto" w:val="clear"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 am a competent, committed and fast learning individual whose contribution will be valuable in a work setting. Through my desire for hard work, good organization and ambitious nature, I can succeed in challenging roles. I take on difficult tasks with patience and composure to see them through to the end. I would consider myself as an honest, reliable and independent individual.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  <w:szCs w:val="24"/>
              </w:rPr>
              <w:t>SKILLS &amp; EXPERTISE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Troubleshooting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Troubleshoot systems to determine technical issues.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Installation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Installation and configuration of software for users or the wider business.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Communicating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Strong communication skills to assist users and the business at all levels.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Maintenance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Maintaining the technology, networks and systems.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Evaluation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Determining the issue and evaluating the best way to resolve it.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Instructing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Instruct users on how to perform technological maintenance.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Management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Remain efficient, manage time and prioritise IT issues.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Support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Supporting users through technical support and instruction to meet the user’s needs.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b/>
                <w:bCs/>
                <w:color w:val="565656"/>
                <w:lang w:val="en-GB" w:eastAsia="en-GB"/>
              </w:rPr>
              <w:t>Monitoring</w:t>
            </w:r>
            <w:r>
              <w:rPr>
                <w:rFonts w:eastAsia="Times New Roman" w:cs="Calibri" w:cstheme="minorHAnsi"/>
                <w:color w:val="565656"/>
                <w:lang w:val="en-GB" w:eastAsia="en-GB"/>
              </w:rPr>
              <w:t>: Monitor networks and systems to ensure its efficiency.</w:t>
            </w:r>
          </w:p>
          <w:p>
            <w:pPr>
              <w:pStyle w:val="Normal"/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color w:val="565656"/>
                <w:lang w:val="en-GB" w:eastAsia="en-GB"/>
              </w:rPr>
            </w:r>
          </w:p>
          <w:p>
            <w:pPr>
              <w:pStyle w:val="Normal"/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color w:val="565656"/>
                <w:lang w:val="en-GB" w:eastAsia="en-GB"/>
              </w:rPr>
            </w:r>
          </w:p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before="400" w:after="200"/>
              <w:outlineLvl w:val="0"/>
              <w:rPr>
                <w:rFonts w:ascii="Arial" w:hAnsi="Arial" w:eastAsia="" w:cs="Arial" w:eastAsiaTheme="majorEastAsia"/>
                <w:b/>
                <w:b/>
                <w:caps/>
                <w:color w:val="262626" w:themeColor="text1" w:themeTint="d9"/>
                <w:sz w:val="24"/>
                <w:szCs w:val="24"/>
              </w:rPr>
            </w:pPr>
            <w:r>
              <w:rPr>
                <w:rFonts w:eastAsia="" w:cs="Arial" w:ascii="Arial" w:hAnsi="Arial" w:eastAsiaTheme="majorEastAsia"/>
                <w:b/>
                <w:caps/>
                <w:color w:val="262626" w:themeColor="text1" w:themeTint="d9"/>
                <w:sz w:val="24"/>
                <w:szCs w:val="24"/>
              </w:rPr>
              <w:t>PROFESSIONAL QUALIFICATIONS</w:t>
            </w:r>
          </w:p>
          <w:tbl>
            <w:tblPr>
              <w:tblStyle w:val="TableGrid"/>
              <w:tblW w:w="4950" w:type="pct"/>
              <w:jc w:val="left"/>
              <w:tblInd w:w="72" w:type="dxa"/>
              <w:tblCellMar>
                <w:top w:w="0" w:type="dxa"/>
                <w:left w:w="576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9266"/>
            </w:tblGrid>
            <w:tr>
              <w:trPr/>
              <w:tc>
                <w:tcPr>
                  <w:tcW w:w="9266" w:type="dxa"/>
                  <w:tcBorders>
                    <w:left w:val="dotted" w:sz="18" w:space="0" w:color="BFBFBF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MCSA Windows 10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ITIL V3 SERVICE MANAGEMENT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COMPTIA SERVER+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COMPTIA A+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MTA WINDOWS SERVER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MTA WINDOWS NETWORKING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MTA WINDOWS SQL DATABASE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outlineLvl w:val="2"/>
                    <w:rPr>
                      <w:b/>
                      <w:b/>
                      <w:szCs w:val="24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LEVEL 4 &amp; 5 IT DIPLOMA</w:t>
                  </w:r>
                </w:p>
              </w:tc>
            </w:tr>
          </w:tbl>
          <w:p>
            <w:pPr>
              <w:pStyle w:val="Normal"/>
              <w:shd w:val="clear" w:color="auto" w:fill="FFFFFF"/>
              <w:spacing w:before="0" w:after="0"/>
              <w:contextualSpacing/>
              <w:rPr>
                <w:rFonts w:eastAsia="Times New Roman" w:cs="Calibri" w:cstheme="minorHAnsi"/>
                <w:color w:val="565656"/>
                <w:lang w:val="en-GB" w:eastAsia="en-GB"/>
              </w:rPr>
            </w:pPr>
            <w:r>
              <w:rPr>
                <w:rFonts w:eastAsia="Times New Roman" w:cs="Calibri" w:cstheme="minorHAnsi"/>
                <w:color w:val="565656"/>
                <w:lang w:val="en-GB" w:eastAsia="en-GB"/>
              </w:rPr>
            </w:r>
          </w:p>
        </w:tc>
      </w:tr>
    </w:tbl>
    <w:p>
      <w:pPr>
        <w:pStyle w:val="Heading1"/>
        <w:rPr/>
      </w:pPr>
      <w:r>
        <w:rPr>
          <w:rFonts w:cs="Arial" w:ascii="Arial" w:hAnsi="Arial"/>
          <w:sz w:val="24"/>
          <w:szCs w:val="24"/>
        </w:rPr>
        <w:t>Experience</w:t>
      </w:r>
    </w:p>
    <w:tbl>
      <w:tblPr>
        <w:tblStyle w:val="TableGrid10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10"/>
        <w:gridCol w:w="255"/>
      </w:tblGrid>
      <w:tr>
        <w:trPr>
          <w:trHeight w:val="60" w:hRule="atLeast"/>
        </w:trPr>
        <w:tc>
          <w:tcPr>
            <w:tcW w:w="9010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july 2019 – current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>
                <w:sz w:val="24"/>
                <w:szCs w:val="24"/>
              </w:rPr>
              <w:t>manchester university nhs trust</w:t>
            </w:r>
            <w:r>
              <w:rPr/>
              <w:t xml:space="preserve">, </w:t>
            </w:r>
            <w:r>
              <w:rPr>
                <w:rStyle w:val="SubtleReference"/>
                <w:b/>
                <w:sz w:val="24"/>
                <w:szCs w:val="24"/>
              </w:rPr>
              <w:t>windows deployment/bau engineer (contract)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Delivering a large-scale project to deploy around 10,000 Windows 10 devices throughout the organization in a processed manner.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Defining a structured process for the team to organize equipment, time and resources to work more efficiently.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Ensuring all devices are asset-tagged and assigned to the relevant user/department.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Using SCCM to deploy images/applications to devices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Providing Desktop S</w:t>
            </w:r>
            <w:bookmarkStart w:id="0" w:name="_GoBack"/>
            <w:bookmarkEnd w:id="0"/>
            <w:r>
              <w:rPr/>
              <w:t>upport to the business on a BAU basis in conjunction with the roll-out and applying RCA (Root Cause Analysis) on problems being reported in from the Service Desk.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2015 – July 2019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>
                <w:sz w:val="24"/>
                <w:szCs w:val="24"/>
              </w:rPr>
              <w:t>odeon cinemas group</w:t>
            </w:r>
            <w:r>
              <w:rPr/>
              <w:t xml:space="preserve">, </w:t>
            </w:r>
            <w:r>
              <w:rPr>
                <w:rStyle w:val="SubtleReference"/>
                <w:b/>
                <w:sz w:val="24"/>
                <w:szCs w:val="24"/>
              </w:rPr>
              <w:t>2</w:t>
            </w:r>
            <w:r>
              <w:rPr>
                <w:rStyle w:val="SubtleReference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Style w:val="SubtleReference"/>
                <w:b/>
                <w:sz w:val="24"/>
                <w:szCs w:val="24"/>
              </w:rPr>
              <w:t xml:space="preserve"> LINE SUPPORT ANALYST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Taking part of and owning Projects to assist the business, i.e. Server upgrades, migrations, set-up of new till; server; laptop and desktop builds, testing and rollout of Windows 7 (Tills, ATMs) and Windows 10 (Laptops) on devices across the estate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Provide 2</w:t>
            </w:r>
            <w:r>
              <w:rPr>
                <w:vertAlign w:val="superscript"/>
              </w:rPr>
              <w:t>nd</w:t>
            </w:r>
            <w:r>
              <w:rPr/>
              <w:t xml:space="preserve"> line support to the 1</w:t>
            </w:r>
            <w:r>
              <w:rPr>
                <w:vertAlign w:val="superscript"/>
              </w:rPr>
              <w:t>st</w:t>
            </w:r>
            <w:r>
              <w:rPr/>
              <w:t xml:space="preserve"> line team, business and users across the UK &amp; Ireland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Supporting Hardware (HP Servers, Switches, Laptops, Desktops, Printers, Cisco Routers, iPhones) and Software (Microsoft Technologies such as AD, Server 2003-2013, Office Suite, Windows XP-7-10), Google, Citrix/Office365, VMware and various other applications.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Supporting company specific applications such as Winticket, Orcs, Bottomline and providing EPOS Support to all cinemas via remote desktop tools.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Pro-actively monitoring the networks and systems for all cinemas across the estate.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Adhere to company policies and procedures, ensuring SLA’s and KPI targets are met.</w:t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9010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contextualSpacing/>
              <w:outlineLvl w:val="2"/>
              <w:rPr/>
            </w:pPr>
            <w:r>
              <w:rPr/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265" w:type="dxa"/>
            <w:gridSpan w:val="2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2013 – 2015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>
                <w:sz w:val="24"/>
                <w:szCs w:val="24"/>
              </w:rPr>
              <w:t>ssp group</w:t>
            </w:r>
            <w:r>
              <w:rPr/>
              <w:t xml:space="preserve">, </w:t>
            </w:r>
            <w:r>
              <w:rPr>
                <w:rStyle w:val="SubtleReference"/>
                <w:b/>
                <w:sz w:val="24"/>
                <w:szCs w:val="24"/>
              </w:rPr>
              <w:t>desktop support engineer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Providing 1st and 2nd line support for both hardware and software to end users, head office users and home users using telephone/desk side support and remote tools.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Providing EPOS support to our food and beverage clients at the Airports and Train Stations across the UK and Ireland.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Supporting a variety of technologies such as Microsoft Windows 2000-7, Windows Server 2003-2008, Microsoft AD, Outlook, Office 2003-2007, Citrix, Networking, Routers, Switches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Providing support for bespoke applications such as Kronos, Mymicros, Lynx, and escalating where necessary to the appropriate team.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Providing First Time Fixes to users where possible.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Communicating effectively with a range of people monitoring SLA's and working around the ITIL framework following tickets through to resolution and contributing towards updating the Knowledge Base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  <w:bookmarkStart w:id="1" w:name="_Hlk522448368"/>
            <w:bookmarkStart w:id="2" w:name="_Hlk522448368"/>
            <w:bookmarkEnd w:id="2"/>
          </w:p>
        </w:tc>
      </w:tr>
      <w:tr>
        <w:trPr/>
        <w:tc>
          <w:tcPr>
            <w:tcW w:w="9265" w:type="dxa"/>
            <w:gridSpan w:val="2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2011 – 2013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>
                <w:sz w:val="24"/>
                <w:szCs w:val="24"/>
              </w:rPr>
              <w:t>salford software ltd</w:t>
            </w:r>
            <w:r>
              <w:rPr/>
              <w:t xml:space="preserve">, </w:t>
            </w:r>
            <w:r>
              <w:rPr>
                <w:rStyle w:val="SubtleReference"/>
                <w:b/>
                <w:sz w:val="24"/>
                <w:szCs w:val="24"/>
              </w:rPr>
              <w:t>1</w:t>
            </w:r>
            <w:r>
              <w:rPr>
                <w:rStyle w:val="SubtleReference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Style w:val="SubtleReference"/>
                <w:b/>
                <w:sz w:val="24"/>
                <w:szCs w:val="24"/>
              </w:rPr>
              <w:t xml:space="preserve"> Line Support analyst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09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915" w:leader="none"/>
              </w:tabs>
              <w:spacing w:before="0" w:after="0"/>
              <w:ind w:left="720" w:right="-2" w:hanging="360"/>
              <w:contextualSpacing/>
              <w:jc w:val="both"/>
              <w:rPr>
                <w:rFonts w:eastAsia="Times New Roman" w:cs="Calibri"/>
                <w:b/>
                <w:b/>
                <w:bCs/>
              </w:rPr>
            </w:pPr>
            <w:r>
              <w:rPr>
                <w:rFonts w:cs="Calibri"/>
              </w:rPr>
              <w:t>Provided both telephone and remote diagnostic software support for Microsoft and Novell products.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</w:rPr>
              <w:t>Responsible for allocating incidents, ensuring that the customer and incident ticket are fully updated with progression</w:t>
            </w:r>
            <w:r>
              <w:rPr>
                <w:rFonts w:cs="Calibri"/>
                <w:bCs/>
                <w:iCs/>
              </w:rPr>
              <w:t xml:space="preserve"> </w:t>
            </w:r>
            <w:r>
              <w:rPr>
                <w:rFonts w:cs="Calibri"/>
              </w:rPr>
              <w:t>and resolution detail, working within Service Level Agreements targets.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>Responsible for escalating issues to 2</w:t>
            </w:r>
            <w:r>
              <w:rPr>
                <w:rFonts w:cs="Calibri"/>
                <w:bCs/>
                <w:iCs/>
                <w:vertAlign w:val="superscript"/>
              </w:rPr>
              <w:t>nd</w:t>
            </w:r>
            <w:r>
              <w:rPr>
                <w:rFonts w:cs="Calibri"/>
                <w:bCs/>
                <w:iCs/>
              </w:rPr>
              <w:t>/3</w:t>
            </w:r>
            <w:r>
              <w:rPr>
                <w:rFonts w:cs="Calibri"/>
                <w:bCs/>
                <w:iCs/>
                <w:vertAlign w:val="superscript"/>
              </w:rPr>
              <w:t>rd</w:t>
            </w:r>
            <w:r>
              <w:rPr>
                <w:rFonts w:cs="Calibri"/>
                <w:bCs/>
                <w:iCs/>
              </w:rPr>
              <w:t xml:space="preserve"> line engineers where appropriate, following up with them until successful resolution.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>Responsible for all 1st line support queries, troubleshooting and investigating applications/data in order to Identify and resolve issues.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>Communicate and liaise with our Microsoft and Novell vendors in order to ensure a swift resolution to problems.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>Performed daily checks on our servers in France and London to ensure that there are no errors and that the server is functioning as it should.</w:t>
            </w:r>
          </w:p>
          <w:p>
            <w:pPr>
              <w:pStyle w:val="Normal"/>
              <w:numPr>
                <w:ilvl w:val="1"/>
                <w:numId w:val="5"/>
              </w:numPr>
              <w:tabs>
                <w:tab w:val="clear" w:pos="709"/>
                <w:tab w:val="left" w:pos="724" w:leader="none"/>
              </w:tabs>
              <w:spacing w:before="0" w:after="0"/>
              <w:ind w:left="724" w:hanging="362"/>
              <w:contextualSpacing/>
              <w:jc w:val="both"/>
              <w:rPr>
                <w:rFonts w:cs="Calibri"/>
                <w:bCs/>
                <w:iCs/>
              </w:rPr>
            </w:pPr>
            <w:r>
              <w:rPr>
                <w:rFonts w:cs="Calibri"/>
                <w:bCs/>
                <w:iCs/>
              </w:rPr>
              <w:t>Good working knowledge of Windows 8, Active Directory, VM Ware and Remote Desktop Services gained.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95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Perpetu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581650" cy="1270"/>
              <wp:effectExtent l="0" t="0" r="0" b="0"/>
              <wp:wrapNone/>
              <wp:docPr id="1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a5a5a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5pt,0pt" to="619.05pt,0pt" ID="Straight Connector 5" stroked="t" style="position:absolute;mso-position-horizontal:center;mso-position-horizontal-relative:page;mso-position-vertical-relative:page">
              <v:stroke color="#5a5a5a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34"/>
        </w:tabs>
        <w:ind w:left="31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0"/>
        <w:b/>
        <w:szCs w:val="20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ind w:left="3780" w:hanging="7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color w:themeColor="text1" w:themeTint="a6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507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c6421"/>
    <w:rPr>
      <w:b/>
      <w:bCs/>
    </w:rPr>
  </w:style>
  <w:style w:type="character" w:styleId="ListLabel1">
    <w:name w:val="ListLabel 1"/>
    <w:qFormat/>
    <w:rPr>
      <w:color w:val="1D824C"/>
    </w:rPr>
  </w:style>
  <w:style w:type="character" w:styleId="ListLabel2">
    <w:name w:val="ListLabel 2"/>
    <w:qFormat/>
    <w:rPr>
      <w:color w:val="1D824C"/>
    </w:rPr>
  </w:style>
  <w:style w:type="character" w:styleId="ListLabel3">
    <w:name w:val="ListLabel 3"/>
    <w:qFormat/>
    <w:rPr>
      <w:color w:val="1D824C"/>
      <w:sz w:val="24"/>
    </w:rPr>
  </w:style>
  <w:style w:type="character" w:styleId="ListLabel4">
    <w:name w:val="ListLabel 4"/>
    <w:qFormat/>
    <w:rPr>
      <w:color w:val="1D824C"/>
      <w:sz w:val="24"/>
    </w:rPr>
  </w:style>
  <w:style w:type="character" w:styleId="ListLabel5">
    <w:name w:val="ListLabel 5"/>
    <w:qFormat/>
    <w:rPr>
      <w:color w:val="1D824C"/>
      <w:sz w:val="24"/>
    </w:rPr>
  </w:style>
  <w:style w:type="character" w:styleId="ListLabel6">
    <w:name w:val="ListLabel 6"/>
    <w:qFormat/>
    <w:rPr>
      <w:color w:val="1D824C"/>
      <w:sz w:val="22"/>
    </w:rPr>
  </w:style>
  <w:style w:type="character" w:styleId="ListLabel7">
    <w:name w:val="ListLabel 7"/>
    <w:qFormat/>
    <w:rPr>
      <w:color w:val="1D824C"/>
      <w:sz w:val="22"/>
    </w:rPr>
  </w:style>
  <w:style w:type="character" w:styleId="ListLabel8">
    <w:name w:val="ListLabel 8"/>
    <w:qFormat/>
    <w:rPr>
      <w:color w:val="1D824C"/>
      <w:sz w:val="22"/>
    </w:rPr>
  </w:style>
  <w:style w:type="character" w:styleId="ListLabel9">
    <w:name w:val="ListLabel 9"/>
    <w:qFormat/>
    <w:rPr>
      <w:color w:val="1D824C"/>
      <w:sz w:val="22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b/>
      <w:sz w:val="20"/>
      <w:szCs w:val="20"/>
    </w:rPr>
  </w:style>
  <w:style w:type="character" w:styleId="ListLabel69">
    <w:name w:val="ListLabel 69"/>
    <w:qFormat/>
    <w:rPr>
      <w:rFonts w:eastAsia="Times New Roman" w:cs="Aria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80" w:after="0"/>
      <w:jc w:val="left"/>
    </w:pPr>
    <w:rPr>
      <w:rFonts w:ascii="Consolas" w:hAnsi="Consolas" w:eastAsia="DejaVu Sans" w:cs="Denemo"/>
      <w:b/>
      <w:color w:val="0E4125" w:themeColor="accent1" w:themeShade="80"/>
      <w:kern w:val="0"/>
      <w:sz w:val="24"/>
      <w:szCs w:val="20"/>
      <w:lang w:val="en-GB" w:eastAsia="zh-CN" w:bidi="hi-IN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/>
    <w:rPr/>
  </w:style>
  <w:style w:type="paragraph" w:styleId="ListNumber">
    <w:name w:val="List Number"/>
    <w:basedOn w:val="Normal"/>
    <w:uiPriority w:val="13"/>
    <w:qFormat/>
    <w:rsid w:val="00b51d1b"/>
    <w:pPr>
      <w:spacing w:before="0" w:after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2647d3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2647d3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2647d3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2647d3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2647d3"/>
    <w:pPr>
      <w:spacing w:before="0" w:after="0"/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Grid10">
    <w:name w:val="Table Grid1"/>
    <w:basedOn w:val="TableNormal"/>
    <w:uiPriority w:val="39"/>
    <w:rsid w:val="00a040ab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EC2B1D9044C028D96391F8EF1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8DD22-50D5-48D1-9414-DBC9C6C5CF96}"/>
      </w:docPartPr>
      <w:docPartBody>
        <w:p w:rsidR="00656211" w:rsidRDefault="00734CD4">
          <w:pPr>
            <w:pStyle w:val="B84EC2B1D9044C028D96391F8EF1040B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4CD4"/>
    <w:rsid w:val="000B399C"/>
    <w:rsid w:val="00114209"/>
    <w:rsid w:val="001A02F9"/>
    <w:rsid w:val="002B43E5"/>
    <w:rsid w:val="004B3321"/>
    <w:rsid w:val="00656211"/>
    <w:rsid w:val="006C4852"/>
    <w:rsid w:val="00734CD4"/>
    <w:rsid w:val="00746200"/>
    <w:rsid w:val="008B6DD3"/>
    <w:rsid w:val="00B64128"/>
    <w:rsid w:val="00BE1AE4"/>
    <w:rsid w:val="00C64A20"/>
    <w:rsid w:val="00E509D0"/>
    <w:rsid w:val="00E800C1"/>
    <w:rsid w:val="00E8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011EB0F0F0459B9ACB85ED3067C84E">
    <w:name w:val="CC011EB0F0F0459B9ACB85ED3067C84E"/>
    <w:rsid w:val="006C4852"/>
  </w:style>
  <w:style w:type="character" w:styleId="IntenseEmphasis">
    <w:name w:val="Intense Emphasis"/>
    <w:basedOn w:val="DefaultParagraphFont"/>
    <w:uiPriority w:val="2"/>
    <w:rsid w:val="006C4852"/>
    <w:rPr>
      <w:b/>
      <w:iCs/>
      <w:color w:val="262626" w:themeColor="text1" w:themeTint="D9"/>
    </w:rPr>
  </w:style>
  <w:style w:type="paragraph" w:customStyle="1" w:styleId="38D43A2A52FD4117804963AA3B6394A1">
    <w:name w:val="38D43A2A52FD4117804963AA3B6394A1"/>
    <w:rsid w:val="006C4852"/>
  </w:style>
  <w:style w:type="paragraph" w:customStyle="1" w:styleId="3BD07D28ACE04C79A871C1B3E0EADCA8">
    <w:name w:val="3BD07D28ACE04C79A871C1B3E0EADCA8"/>
    <w:rsid w:val="006C4852"/>
  </w:style>
  <w:style w:type="paragraph" w:customStyle="1" w:styleId="A3FEE02A7B1C4106A719E85069710F21">
    <w:name w:val="A3FEE02A7B1C4106A719E85069710F21"/>
    <w:rsid w:val="006C4852"/>
  </w:style>
  <w:style w:type="paragraph" w:customStyle="1" w:styleId="D0571409ACE14A7F853912186FACF5C4">
    <w:name w:val="D0571409ACE14A7F853912186FACF5C4"/>
    <w:rsid w:val="006C4852"/>
  </w:style>
  <w:style w:type="paragraph" w:customStyle="1" w:styleId="392A4E02DCF0486A8EE18138DD08F548">
    <w:name w:val="392A4E02DCF0486A8EE18138DD08F548"/>
    <w:rsid w:val="006C4852"/>
  </w:style>
  <w:style w:type="paragraph" w:customStyle="1" w:styleId="A585759619EF401DBC841220D8D91AE9">
    <w:name w:val="A585759619EF401DBC841220D8D91AE9"/>
    <w:rsid w:val="006C4852"/>
  </w:style>
  <w:style w:type="paragraph" w:customStyle="1" w:styleId="9A14FDA510BB4F39A6D8CCD0068A811A">
    <w:name w:val="9A14FDA510BB4F39A6D8CCD0068A811A"/>
    <w:rsid w:val="006C4852"/>
  </w:style>
  <w:style w:type="paragraph" w:customStyle="1" w:styleId="DBF2D6D57AC74E8DB0BBCF112DEF935F">
    <w:name w:val="DBF2D6D57AC74E8DB0BBCF112DEF935F"/>
    <w:rsid w:val="006C4852"/>
  </w:style>
  <w:style w:type="paragraph" w:customStyle="1" w:styleId="D7FE6885E4984353996026F38F02EFC8">
    <w:name w:val="D7FE6885E4984353996026F38F02EFC8"/>
    <w:rsid w:val="006C4852"/>
  </w:style>
  <w:style w:type="paragraph" w:customStyle="1" w:styleId="DEC8B646B0114303865D74772D969131">
    <w:name w:val="DEC8B646B0114303865D74772D969131"/>
    <w:rsid w:val="006C4852"/>
  </w:style>
  <w:style w:type="paragraph" w:customStyle="1" w:styleId="B84EC2B1D9044C028D96391F8EF1040B">
    <w:name w:val="B84EC2B1D9044C028D96391F8EF1040B"/>
    <w:rsid w:val="006C4852"/>
  </w:style>
  <w:style w:type="paragraph" w:customStyle="1" w:styleId="471C8624D2C848BB8410BF6E6FE69624">
    <w:name w:val="471C8624D2C848BB8410BF6E6FE69624"/>
    <w:rsid w:val="006C4852"/>
  </w:style>
  <w:style w:type="paragraph" w:customStyle="1" w:styleId="8C682CBDE23F4020BC406D199594B4D1">
    <w:name w:val="8C682CBDE23F4020BC406D199594B4D1"/>
    <w:rsid w:val="006C4852"/>
  </w:style>
  <w:style w:type="paragraph" w:customStyle="1" w:styleId="ED278A84FB594269A0F50F9FD108A7BF">
    <w:name w:val="ED278A84FB594269A0F50F9FD108A7BF"/>
    <w:rsid w:val="006C4852"/>
  </w:style>
  <w:style w:type="character" w:styleId="SubtleReference">
    <w:name w:val="Subtle Reference"/>
    <w:basedOn w:val="DefaultParagraphFont"/>
    <w:uiPriority w:val="10"/>
    <w:qFormat/>
    <w:rsid w:val="006C4852"/>
    <w:rPr>
      <w:b/>
      <w:caps w:val="0"/>
      <w:smallCaps/>
      <w:color w:val="595959" w:themeColor="text1" w:themeTint="A6"/>
    </w:rPr>
  </w:style>
  <w:style w:type="paragraph" w:customStyle="1" w:styleId="E9DD364834DD47A29F74C211C96854E0">
    <w:name w:val="E9DD364834DD47A29F74C211C96854E0"/>
    <w:rsid w:val="006C4852"/>
  </w:style>
  <w:style w:type="paragraph" w:customStyle="1" w:styleId="25E522E5FDC94B09B6C1ED32AD272BC1">
    <w:name w:val="25E522E5FDC94B09B6C1ED32AD272BC1"/>
    <w:rsid w:val="006C4852"/>
  </w:style>
  <w:style w:type="paragraph" w:customStyle="1" w:styleId="232875E130C74D3F96A3215B8C3F4B83">
    <w:name w:val="232875E130C74D3F96A3215B8C3F4B83"/>
    <w:rsid w:val="006C4852"/>
  </w:style>
  <w:style w:type="paragraph" w:customStyle="1" w:styleId="5F0C07A6F4464E9DBFE8E9208625F431">
    <w:name w:val="5F0C07A6F4464E9DBFE8E9208625F431"/>
    <w:rsid w:val="006C4852"/>
  </w:style>
  <w:style w:type="paragraph" w:customStyle="1" w:styleId="58B881F6750243BFB9E5BAE40C39A112">
    <w:name w:val="58B881F6750243BFB9E5BAE40C39A112"/>
    <w:rsid w:val="006C4852"/>
  </w:style>
  <w:style w:type="paragraph" w:customStyle="1" w:styleId="CAA051AAE6F84A04B421867CA33136A8">
    <w:name w:val="CAA051AAE6F84A04B421867CA33136A8"/>
    <w:rsid w:val="006C4852"/>
  </w:style>
  <w:style w:type="paragraph" w:customStyle="1" w:styleId="28C0C0A9D8BD4A88A0869AC1ACE9B4A1">
    <w:name w:val="28C0C0A9D8BD4A88A0869AC1ACE9B4A1"/>
    <w:rsid w:val="006C4852"/>
  </w:style>
  <w:style w:type="paragraph" w:customStyle="1" w:styleId="94C599EEBDBB407C877C7A9991C208F0">
    <w:name w:val="94C599EEBDBB407C877C7A9991C208F0"/>
    <w:rsid w:val="006C4852"/>
  </w:style>
  <w:style w:type="paragraph" w:customStyle="1" w:styleId="9A73D5C898F34FA894CB6A9D95A839B7">
    <w:name w:val="9A73D5C898F34FA894CB6A9D95A839B7"/>
    <w:rsid w:val="006C4852"/>
  </w:style>
  <w:style w:type="paragraph" w:customStyle="1" w:styleId="A27F7C2849E641FC8A0E0C26457116F9">
    <w:name w:val="A27F7C2849E641FC8A0E0C26457116F9"/>
    <w:rsid w:val="006C4852"/>
  </w:style>
  <w:style w:type="paragraph" w:customStyle="1" w:styleId="B3F70EDF362642E59E08529DF23CD675">
    <w:name w:val="B3F70EDF362642E59E08529DF23CD675"/>
    <w:rsid w:val="006C4852"/>
  </w:style>
  <w:style w:type="paragraph" w:customStyle="1" w:styleId="7A76630176FB4A8CBBF80FA6A826CC1F">
    <w:name w:val="7A76630176FB4A8CBBF80FA6A826CC1F"/>
    <w:rsid w:val="006C4852"/>
  </w:style>
  <w:style w:type="paragraph" w:customStyle="1" w:styleId="9E04F6B6A0764254B92D7D0739C703B3">
    <w:name w:val="9E04F6B6A0764254B92D7D0739C703B3"/>
    <w:rsid w:val="006C4852"/>
  </w:style>
  <w:style w:type="paragraph" w:customStyle="1" w:styleId="B12816F69E4147DC80C05C08C4B0033D">
    <w:name w:val="B12816F69E4147DC80C05C08C4B0033D"/>
    <w:rsid w:val="006C4852"/>
  </w:style>
  <w:style w:type="paragraph" w:customStyle="1" w:styleId="243B6A546C9D425E90B1D90C42B9492F">
    <w:name w:val="243B6A546C9D425E90B1D90C42B9492F"/>
    <w:rsid w:val="006C4852"/>
  </w:style>
  <w:style w:type="paragraph" w:customStyle="1" w:styleId="640E03C2ADA941608D924C2B357DEEB0">
    <w:name w:val="640E03C2ADA941608D924C2B357DEEB0"/>
    <w:rsid w:val="006C4852"/>
  </w:style>
  <w:style w:type="paragraph" w:customStyle="1" w:styleId="1AD0EFE4BA894ABDA21B502F4EE9F05D">
    <w:name w:val="1AD0EFE4BA894ABDA21B502F4EE9F05D"/>
    <w:rsid w:val="006C4852"/>
  </w:style>
  <w:style w:type="paragraph" w:customStyle="1" w:styleId="2E12ECD9333B4A57AD3EAE09E62AB3E4">
    <w:name w:val="2E12ECD9333B4A57AD3EAE09E62AB3E4"/>
    <w:rsid w:val="006C4852"/>
  </w:style>
  <w:style w:type="paragraph" w:customStyle="1" w:styleId="9B0B6F7559364FC782C120388018F89C">
    <w:name w:val="9B0B6F7559364FC782C120388018F89C"/>
    <w:rsid w:val="006C4852"/>
  </w:style>
  <w:style w:type="paragraph" w:customStyle="1" w:styleId="F0991AA02ADE448A9E97E1EFB2C4269A">
    <w:name w:val="F0991AA02ADE448A9E97E1EFB2C4269A"/>
    <w:rsid w:val="006C4852"/>
  </w:style>
  <w:style w:type="paragraph" w:customStyle="1" w:styleId="66255DC3433C424BAB8570CB49FC133B">
    <w:name w:val="66255DC3433C424BAB8570CB49FC133B"/>
    <w:rsid w:val="006C4852"/>
  </w:style>
  <w:style w:type="paragraph" w:customStyle="1" w:styleId="519DBCA0CEB94FCF9BA55C1D6E3DD6E1">
    <w:name w:val="519DBCA0CEB94FCF9BA55C1D6E3DD6E1"/>
    <w:rsid w:val="006C4852"/>
  </w:style>
  <w:style w:type="paragraph" w:customStyle="1" w:styleId="E859239BC46342A7A8EE677E8B68651F">
    <w:name w:val="E859239BC46342A7A8EE677E8B68651F"/>
    <w:rsid w:val="006C4852"/>
  </w:style>
  <w:style w:type="paragraph" w:customStyle="1" w:styleId="FD024A3AA8554253A96B96CA919671B1">
    <w:name w:val="FD024A3AA8554253A96B96CA919671B1"/>
    <w:rsid w:val="006C4852"/>
  </w:style>
  <w:style w:type="paragraph" w:customStyle="1" w:styleId="9B5169FAD832464898C322C6B7E1A8EF">
    <w:name w:val="9B5169FAD832464898C322C6B7E1A8EF"/>
    <w:rsid w:val="006C4852"/>
  </w:style>
  <w:style w:type="paragraph" w:customStyle="1" w:styleId="2AEF49B46639490EBB4372E405B63038">
    <w:name w:val="2AEF49B46639490EBB4372E405B63038"/>
    <w:rsid w:val="006C4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39</TotalTime>
  <Application>LibreOffice/6.2.6.2$Linux_X86_64 LibreOffice_project/93e3be01c591ba6e7311e581ba65aae4a8cb3de2</Application>
  <Pages>1</Pages>
  <Words>736</Words>
  <Characters>4200</Characters>
  <CharactersWithSpaces>4927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2019-06-07T10:13:00Z</dcterms:created>
  <dc:creator>H</dc:creator>
  <dc:description/>
  <dc:language>en-US</dc:language>
  <cp:lastModifiedBy/>
  <dcterms:modified xsi:type="dcterms:W3CDTF">2019-09-25T13:45:27Z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