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Personal Information</w:t>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t>Marital Status: - Married</w:t>
      </w:r>
    </w:p>
    <w:p>
      <w:pPr>
        <w:pStyle w:val="Normal"/>
        <w:ind w:left="-1170" w:hanging="0"/>
        <w:rPr>
          <w:rFonts w:ascii="Calibri" w:hAnsi="Calibri" w:eastAsia="Calibri" w:cs="Calibri"/>
          <w:sz w:val="18"/>
          <w:szCs w:val="18"/>
        </w:rPr>
      </w:pPr>
      <w:r>
        <w:rPr>
          <w:rFonts w:eastAsia="Calibri" w:cs="Calibri" w:ascii="Calibri" w:hAnsi="Calibri"/>
          <w:sz w:val="18"/>
          <w:szCs w:val="18"/>
        </w:rPr>
        <w:t>Nationality: - English</w:t>
      </w:r>
    </w:p>
    <w:p>
      <w:pPr>
        <w:pStyle w:val="Normal"/>
        <w:ind w:left="-1170" w:hanging="0"/>
        <w:rPr>
          <w:rFonts w:ascii="Calibri" w:hAnsi="Calibri" w:eastAsia="Calibri" w:cs="Calibri"/>
          <w:sz w:val="18"/>
          <w:szCs w:val="18"/>
        </w:rPr>
      </w:pPr>
      <w:r>
        <w:rPr>
          <w:rFonts w:eastAsia="Calibri" w:cs="Calibri" w:ascii="Calibri" w:hAnsi="Calibri"/>
          <w:sz w:val="18"/>
          <w:szCs w:val="18"/>
        </w:rPr>
        <w:t>Mobile: 07771 673889</w:t>
      </w:r>
    </w:p>
    <w:p>
      <w:pPr>
        <w:pStyle w:val="Normal"/>
        <w:ind w:left="-1170" w:hanging="0"/>
        <w:rPr/>
      </w:pPr>
      <w:r>
        <w:rPr>
          <w:rFonts w:eastAsia="Calibri" w:cs="Calibri" w:ascii="Calibri" w:hAnsi="Calibri"/>
          <w:sz w:val="18"/>
          <w:szCs w:val="18"/>
        </w:rPr>
        <w:t xml:space="preserve">Email Address: </w:t>
      </w:r>
      <w:hyperlink r:id="rId2">
        <w:r>
          <w:rPr>
            <w:rStyle w:val="ListLabel10"/>
            <w:rFonts w:eastAsia="Calibri" w:cs="Calibri" w:ascii="Calibri" w:hAnsi="Calibri"/>
            <w:color w:val="0000FF"/>
            <w:sz w:val="18"/>
            <w:szCs w:val="18"/>
            <w:u w:val="single"/>
          </w:rPr>
          <w:t>cummings_steve@hotmail.com</w:t>
        </w:r>
      </w:hyperlink>
    </w:p>
    <w:p>
      <w:pPr>
        <w:pStyle w:val="Normal"/>
        <w:ind w:left="-1170" w:hanging="0"/>
        <w:rPr>
          <w:rFonts w:ascii="Calibri" w:hAnsi="Calibri" w:eastAsia="Calibri" w:cs="Calibri"/>
          <w:sz w:val="18"/>
          <w:szCs w:val="18"/>
        </w:rPr>
      </w:pPr>
      <w:r>
        <w:rPr>
          <w:rFonts w:eastAsia="Calibri" w:cs="Calibri" w:ascii="Calibri" w:hAnsi="Calibri"/>
          <w:color w:val="000000"/>
          <w:sz w:val="18"/>
          <w:szCs w:val="18"/>
        </w:rPr>
        <w:t>Security Cleared to BPSS &amp; SC</w:t>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PROFILE</w:t>
      </w:r>
    </w:p>
    <w:p>
      <w:pPr>
        <w:pStyle w:val="Normal"/>
        <w:tabs>
          <w:tab w:val="clear" w:pos="709"/>
          <w:tab w:val="left" w:pos="426" w:leader="none"/>
          <w:tab w:val="left" w:pos="1146" w:leader="none"/>
          <w:tab w:val="left" w:pos="1866" w:leader="none"/>
          <w:tab w:val="left" w:pos="2586" w:leader="none"/>
          <w:tab w:val="left" w:pos="3306" w:leader="none"/>
          <w:tab w:val="left" w:pos="4026" w:leader="none"/>
          <w:tab w:val="left" w:pos="4746" w:leader="none"/>
          <w:tab w:val="left" w:pos="5376" w:leader="none"/>
          <w:tab w:val="left" w:pos="5466" w:leader="none"/>
          <w:tab w:val="left" w:pos="6186" w:leader="none"/>
          <w:tab w:val="left" w:pos="6906" w:leader="none"/>
          <w:tab w:val="left" w:pos="7626" w:leader="none"/>
          <w:tab w:val="left" w:pos="8076" w:leader="none"/>
          <w:tab w:val="left" w:pos="8346" w:leader="none"/>
        </w:tabs>
        <w:ind w:left="-1170" w:hanging="0"/>
        <w:jc w:val="center"/>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t>A highly experienced, commercially orientated Infrastructure Architect / Solution Architect / Technical Project Manager with wide ranging Solution expertise and extensive operational line management skills.</w:t>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t xml:space="preserve">Prince 2 and ITIL aware, CVP and Agile aware, with an extensive track record of delivering diverse and concurrent projects within challenging investment banking and trading environments, multimedia and e-commerce. </w:t>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t>Personable but goal focussed and pragmatic, an excellent communicator well used to liaising between Solution and non-Solution staff. Experienced in managing on-shore and off shore teams, 3</w:t>
      </w:r>
      <w:r>
        <w:rPr>
          <w:rFonts w:eastAsia="Calibri" w:cs="Calibri" w:ascii="Calibri" w:hAnsi="Calibri"/>
          <w:sz w:val="18"/>
          <w:szCs w:val="18"/>
          <w:vertAlign w:val="superscript"/>
        </w:rPr>
        <w:t>rd</w:t>
      </w:r>
      <w:r>
        <w:rPr>
          <w:rFonts w:eastAsia="Calibri" w:cs="Calibri" w:ascii="Calibri" w:hAnsi="Calibri"/>
          <w:sz w:val="18"/>
          <w:szCs w:val="18"/>
        </w:rPr>
        <w:t xml:space="preserve"> Party vendors and suppliers in both outsourced and in house environments.</w:t>
      </w:r>
    </w:p>
    <w:p>
      <w:pPr>
        <w:pStyle w:val="Normal"/>
        <w:keepNext w:val="true"/>
        <w:pBdr>
          <w:bottom w:val="single" w:sz="4" w:space="0" w:color="808080"/>
        </w:pBdr>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Key Areas of Expertise.</w:t>
      </w:r>
    </w:p>
    <w:p>
      <w:pPr>
        <w:pStyle w:val="Normal"/>
        <w:spacing w:before="0" w:after="120"/>
        <w:ind w:left="-1170" w:hanging="0"/>
        <w:rPr>
          <w:rFonts w:ascii="Calibri" w:hAnsi="Calibri" w:eastAsia="Calibri" w:cs="Calibri"/>
          <w:sz w:val="18"/>
          <w:szCs w:val="18"/>
        </w:rPr>
      </w:pPr>
      <w:r>
        <w:rPr>
          <w:rFonts w:eastAsia="Calibri" w:cs="Calibri" w:ascii="Calibri" w:hAnsi="Calibri"/>
          <w:sz w:val="18"/>
          <w:szCs w:val="18"/>
        </w:rPr>
      </w:r>
    </w:p>
    <w:p>
      <w:pPr>
        <w:pStyle w:val="Normal"/>
        <w:numPr>
          <w:ilvl w:val="0"/>
          <w:numId w:val="1"/>
        </w:numPr>
        <w:spacing w:before="0" w:after="120"/>
        <w:ind w:left="-900" w:hanging="360"/>
        <w:jc w:val="left"/>
        <w:rPr>
          <w:rFonts w:ascii="Calibri" w:hAnsi="Calibri" w:eastAsia="Calibri" w:cs="Calibri"/>
          <w:color w:val="000000"/>
          <w:sz w:val="18"/>
          <w:szCs w:val="18"/>
        </w:rPr>
      </w:pPr>
      <w:r>
        <w:rPr>
          <w:rFonts w:eastAsia="Calibri" w:cs="Calibri" w:ascii="Calibri" w:hAnsi="Calibri"/>
          <w:color w:val="000000"/>
          <w:sz w:val="18"/>
          <w:szCs w:val="18"/>
        </w:rPr>
        <w:t>Systems Integration and Server Infrastructure.</w:t>
      </w:r>
    </w:p>
    <w:p>
      <w:pPr>
        <w:pStyle w:val="Normal"/>
        <w:numPr>
          <w:ilvl w:val="0"/>
          <w:numId w:val="1"/>
        </w:numPr>
        <w:spacing w:before="0" w:after="120"/>
        <w:ind w:left="-900" w:hanging="360"/>
        <w:jc w:val="left"/>
        <w:rPr>
          <w:rFonts w:ascii="Calibri" w:hAnsi="Calibri" w:eastAsia="Calibri" w:cs="Calibri"/>
          <w:sz w:val="18"/>
          <w:szCs w:val="18"/>
          <w:highlight w:val="red"/>
        </w:rPr>
      </w:pPr>
      <w:r>
        <w:rPr>
          <w:rFonts w:eastAsia="Calibri" w:cs="Calibri" w:ascii="Calibri" w:hAnsi="Calibri"/>
          <w:sz w:val="18"/>
          <w:szCs w:val="18"/>
          <w:shd w:fill="EA9999" w:val="clear"/>
        </w:rPr>
        <w:t>Design of enterprise Azure cloud offerings including IaaS/PaaS/SaaS with on and off premise offerings</w:t>
      </w:r>
    </w:p>
    <w:p>
      <w:pPr>
        <w:pStyle w:val="Normal"/>
        <w:numPr>
          <w:ilvl w:val="0"/>
          <w:numId w:val="1"/>
        </w:numPr>
        <w:spacing w:before="0" w:after="120"/>
        <w:ind w:left="-900" w:hanging="360"/>
        <w:jc w:val="left"/>
        <w:rPr>
          <w:rFonts w:ascii="Calibri" w:hAnsi="Calibri" w:eastAsia="Calibri" w:cs="Calibri"/>
          <w:color w:val="000000"/>
          <w:sz w:val="18"/>
          <w:szCs w:val="18"/>
        </w:rPr>
      </w:pPr>
      <w:r>
        <w:rPr>
          <w:rFonts w:eastAsia="Calibri" w:cs="Calibri" w:ascii="Calibri" w:hAnsi="Calibri"/>
          <w:color w:val="000000"/>
          <w:sz w:val="18"/>
          <w:szCs w:val="18"/>
        </w:rPr>
        <w:t>Global BAU and Operational Support experience in Retail and Investment Banking, Trading, Oil and Gas and Media Industries.</w:t>
      </w:r>
    </w:p>
    <w:p>
      <w:pPr>
        <w:pStyle w:val="Normal"/>
        <w:numPr>
          <w:ilvl w:val="0"/>
          <w:numId w:val="1"/>
        </w:numPr>
        <w:spacing w:before="0" w:after="120"/>
        <w:ind w:left="-900" w:hanging="360"/>
        <w:jc w:val="left"/>
        <w:rPr>
          <w:rFonts w:ascii="Calibri" w:hAnsi="Calibri" w:eastAsia="Calibri" w:cs="Calibri"/>
          <w:color w:val="000000"/>
          <w:sz w:val="18"/>
          <w:szCs w:val="18"/>
        </w:rPr>
      </w:pPr>
      <w:r>
        <w:rPr>
          <w:rFonts w:eastAsia="Calibri" w:cs="Calibri" w:ascii="Calibri" w:hAnsi="Calibri"/>
          <w:color w:val="000000"/>
          <w:sz w:val="18"/>
          <w:szCs w:val="18"/>
        </w:rPr>
        <w:t>Enterprise Architecture Framework experience within TOGAF, CVP, IAF, ZACHMAN.</w:t>
      </w:r>
    </w:p>
    <w:p>
      <w:pPr>
        <w:pStyle w:val="Normal"/>
        <w:numPr>
          <w:ilvl w:val="0"/>
          <w:numId w:val="1"/>
        </w:numPr>
        <w:spacing w:before="0" w:after="120"/>
        <w:ind w:left="-900" w:hanging="360"/>
        <w:jc w:val="left"/>
        <w:rPr>
          <w:rFonts w:ascii="Calibri" w:hAnsi="Calibri" w:eastAsia="Calibri" w:cs="Calibri"/>
          <w:color w:val="000000"/>
          <w:sz w:val="18"/>
          <w:szCs w:val="18"/>
        </w:rPr>
      </w:pPr>
      <w:r>
        <w:rPr>
          <w:rFonts w:eastAsia="Calibri" w:cs="Calibri" w:ascii="Calibri" w:hAnsi="Calibri"/>
          <w:color w:val="000000"/>
          <w:sz w:val="18"/>
          <w:szCs w:val="18"/>
        </w:rPr>
        <w:t>Global/ Multi Centre and DR  Data Centre experience, including green and brown field deployments and relocations and virtualisation programmes, 1000+ servers, Web deployments and infrastructure.</w:t>
      </w:r>
    </w:p>
    <w:p>
      <w:pPr>
        <w:pStyle w:val="Normal"/>
        <w:numPr>
          <w:ilvl w:val="0"/>
          <w:numId w:val="1"/>
        </w:numPr>
        <w:spacing w:before="0" w:after="120"/>
        <w:ind w:left="-900" w:hanging="360"/>
        <w:jc w:val="left"/>
        <w:rPr>
          <w:rFonts w:ascii="Calibri" w:hAnsi="Calibri" w:eastAsia="Calibri" w:cs="Calibri"/>
          <w:color w:val="000000"/>
          <w:sz w:val="18"/>
          <w:szCs w:val="18"/>
        </w:rPr>
      </w:pPr>
      <w:r>
        <w:rPr>
          <w:rFonts w:eastAsia="Calibri" w:cs="Calibri" w:ascii="Calibri" w:hAnsi="Calibri"/>
          <w:color w:val="000000"/>
          <w:sz w:val="18"/>
          <w:szCs w:val="18"/>
        </w:rPr>
        <w:t>Dealing with Engineers, Sys Admins, Developers, internal and external customers, vendors and all levels of the business. Excellent Stakeholder Management Skills.</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color w:val="000000"/>
          <w:sz w:val="18"/>
          <w:szCs w:val="18"/>
        </w:rPr>
        <w:t xml:space="preserve">Deployment and delivery focused </w:t>
      </w:r>
      <w:r>
        <w:rPr>
          <w:rFonts w:eastAsia="Calibri" w:cs="Calibri" w:ascii="Calibri" w:hAnsi="Calibri"/>
          <w:sz w:val="18"/>
          <w:szCs w:val="18"/>
        </w:rPr>
        <w:t>Solution Prince 2 Project Management</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 xml:space="preserve">Full lifecycle application and infrastructure projects, all stages from initiation and business case creation to close out and delivery.  </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Programme Management, Strategic and Tactical Planning, Resource Forecasting and Management, Process Creation and Project Rescue.</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Budgetary control up to £12.4M, Service Delivery, Global Operational Support and Management, line management of teams up to 40 people, ITIL Methodology, International Vendor Management, Outsourcing experience.</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Experience of Rapid Application Deployments and how to integrate these within formal change controlled environments.</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Formal Design / Implementation Experience in the following Technology areas including but not limited to Solaris, Redhat, Suse, Windows, Apache, IIS, IHS, WebLogic, WebSphere, Tomcat, Oracle, MSSql, Sybase, Checkpoint, ISS, EMC, F5, CyberArk, Cisco, Cloud Computing, Grid Computing, VMware. (all within minor to major projects for multiple clients)</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Delivered global IDS/IPS Solutions for multiple major corporations on a wide range of products including ISS Site protector/Sourcefire/Imperva/SmartDefense.</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Designing Windows/Unix/Linux HA Business critical systems high throughput computing systems for 12 Years.</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Implementation of Large Scale Linux based grid computing solutions for Large Banking CPU intensive applications.</w:t>
      </w:r>
    </w:p>
    <w:p>
      <w:pPr>
        <w:sectPr>
          <w:headerReference w:type="default" r:id="rId3"/>
          <w:type w:val="nextPage"/>
          <w:pgSz w:w="11906" w:h="16838"/>
          <w:pgMar w:left="2421" w:right="1349" w:header="680" w:top="1134" w:footer="0" w:bottom="1134" w:gutter="0"/>
          <w:pgNumType w:start="1" w:fmt="decimal"/>
          <w:formProt w:val="false"/>
          <w:textDirection w:val="lrTb"/>
          <w:docGrid w:type="default" w:linePitch="100" w:charSpace="0"/>
        </w:sect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 xml:space="preserve">Designing large scale reverse proxy solution using f5 products </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Application migration expertise for large scale applications such as remedy and CyberArk</w:t>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CyberArk Design and implementation and migration expertise.</w:t>
      </w:r>
    </w:p>
    <w:p>
      <w:pPr>
        <w:pStyle w:val="Normal"/>
        <w:spacing w:before="0" w:after="120"/>
        <w:ind w:left="-117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117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117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117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1170" w:hanging="0"/>
        <w:jc w:val="left"/>
        <w:rPr>
          <w:rFonts w:ascii="Calibri" w:hAnsi="Calibri" w:eastAsia="Calibri" w:cs="Calibri"/>
          <w:sz w:val="18"/>
          <w:szCs w:val="18"/>
        </w:rPr>
      </w:pPr>
      <w:r>
        <w:rPr>
          <w:rFonts w:eastAsia="Calibri" w:cs="Calibri" w:ascii="Calibri" w:hAnsi="Calibri"/>
          <w:sz w:val="18"/>
          <w:szCs w:val="18"/>
        </w:rPr>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MAJOR ACCOMPLISHMENTS</w:t>
      </w:r>
    </w:p>
    <w:p>
      <w:pPr>
        <w:pStyle w:val="Normal"/>
        <w:tabs>
          <w:tab w:val="clear" w:pos="709"/>
          <w:tab w:val="left" w:pos="426" w:leader="none"/>
          <w:tab w:val="left" w:pos="1146" w:leader="none"/>
          <w:tab w:val="left" w:pos="1866" w:leader="none"/>
          <w:tab w:val="left" w:pos="2586" w:leader="none"/>
          <w:tab w:val="left" w:pos="3306" w:leader="none"/>
          <w:tab w:val="left" w:pos="4026" w:leader="none"/>
          <w:tab w:val="left" w:pos="4746" w:leader="none"/>
          <w:tab w:val="left" w:pos="5376" w:leader="none"/>
          <w:tab w:val="left" w:pos="5466" w:leader="none"/>
          <w:tab w:val="left" w:pos="6186" w:leader="none"/>
          <w:tab w:val="left" w:pos="6906" w:leader="none"/>
          <w:tab w:val="left" w:pos="7626" w:leader="none"/>
          <w:tab w:val="left" w:pos="8076" w:leader="none"/>
          <w:tab w:val="left" w:pos="8346" w:leader="none"/>
        </w:tabs>
        <w:ind w:left="-1170" w:hanging="0"/>
        <w:jc w:val="center"/>
        <w:rPr>
          <w:rFonts w:ascii="Calibri" w:hAnsi="Calibri" w:eastAsia="Calibri" w:cs="Calibri"/>
          <w:b/>
          <w:b/>
          <w:sz w:val="18"/>
          <w:szCs w:val="18"/>
        </w:rPr>
      </w:pPr>
      <w:r>
        <w:rPr>
          <w:rFonts w:eastAsia="Calibri" w:cs="Calibri" w:ascii="Calibri" w:hAnsi="Calibri"/>
          <w:b/>
          <w:sz w:val="18"/>
          <w:szCs w:val="18"/>
        </w:rPr>
      </w:r>
    </w:p>
    <w:p>
      <w:pPr>
        <w:pStyle w:val="Normal"/>
        <w:numPr>
          <w:ilvl w:val="0"/>
          <w:numId w:val="1"/>
        </w:numPr>
        <w:spacing w:before="0" w:after="120"/>
        <w:ind w:left="-810" w:hanging="360"/>
        <w:jc w:val="left"/>
        <w:rPr>
          <w:rFonts w:ascii="Calibri" w:hAnsi="Calibri" w:eastAsia="Calibri" w:cs="Calibri"/>
          <w:sz w:val="18"/>
          <w:szCs w:val="18"/>
          <w:highlight w:val="red"/>
        </w:rPr>
      </w:pPr>
      <w:r>
        <w:rPr>
          <w:rFonts w:eastAsia="Calibri" w:cs="Calibri" w:ascii="Calibri" w:hAnsi="Calibri"/>
          <w:sz w:val="18"/>
          <w:szCs w:val="18"/>
          <w:shd w:fill="F4CCCC" w:val="clear"/>
        </w:rPr>
        <w:t xml:space="preserve">Lead engineer on multiple cloud projects to Azure and AWS including designing a high availability  Azure IaaS/PaaS and SaaS environment. </w:t>
      </w:r>
    </w:p>
    <w:p>
      <w:pPr>
        <w:pStyle w:val="Normal"/>
        <w:numPr>
          <w:ilvl w:val="0"/>
          <w:numId w:val="1"/>
        </w:numPr>
        <w:spacing w:before="0" w:after="120"/>
        <w:ind w:left="-810" w:hanging="360"/>
        <w:jc w:val="left"/>
        <w:rPr>
          <w:rFonts w:ascii="Calibri" w:hAnsi="Calibri" w:eastAsia="Calibri" w:cs="Calibri"/>
          <w:sz w:val="18"/>
          <w:szCs w:val="18"/>
          <w:highlight w:val="red"/>
        </w:rPr>
      </w:pPr>
      <w:r>
        <w:rPr>
          <w:rFonts w:eastAsia="Calibri" w:cs="Calibri" w:ascii="Calibri" w:hAnsi="Calibri"/>
          <w:sz w:val="18"/>
          <w:szCs w:val="18"/>
          <w:shd w:fill="F4CCCC" w:val="clear"/>
        </w:rPr>
        <w:t xml:space="preserve">Designing and implementing a geo-redundant Azure environment utlising Azure load balancing/ ExpressRoute  </w:t>
      </w:r>
    </w:p>
    <w:p>
      <w:pPr>
        <w:pStyle w:val="Normal"/>
        <w:numPr>
          <w:ilvl w:val="0"/>
          <w:numId w:val="1"/>
        </w:numPr>
        <w:spacing w:before="0" w:after="120"/>
        <w:ind w:left="-810" w:hanging="360"/>
        <w:jc w:val="left"/>
        <w:rPr>
          <w:rFonts w:ascii="Calibri" w:hAnsi="Calibri" w:eastAsia="Calibri" w:cs="Calibri"/>
          <w:sz w:val="18"/>
          <w:szCs w:val="18"/>
          <w:highlight w:val="red"/>
        </w:rPr>
      </w:pPr>
      <w:r>
        <w:rPr>
          <w:rFonts w:eastAsia="Calibri" w:cs="Calibri" w:ascii="Calibri" w:hAnsi="Calibri"/>
          <w:sz w:val="18"/>
          <w:szCs w:val="18"/>
          <w:shd w:fill="F4CCCC" w:val="clear"/>
        </w:rPr>
        <w:t>Design and implementation of Private CCC and Azure cloud solutions to meet customer requirements.</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shd w:fill="F4CCCC" w:val="clear"/>
        </w:rPr>
        <w:t>Refactoring Azure environment to ensure adequate storage for AzureSQL</w:t>
      </w:r>
      <w:r>
        <w:rPr>
          <w:rFonts w:eastAsia="Calibri" w:cs="Calibri" w:ascii="Calibri" w:hAnsi="Calibri"/>
          <w:sz w:val="18"/>
          <w:szCs w:val="18"/>
        </w:rPr>
        <w:t xml:space="preserve"> </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Custom windows builds for Azure including secure build images for both windows 2016 and 2019</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Custom Linux Builds for Azure Including secure build images for both Redhat 7 / 8 and Unbuntu</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Design and Implementation of Windows DFS to provide high availability</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Design and implementation of Windows RDS for Multiple users (400) including sizing calculation and installation</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Implementation of Windows RDS proof of concept environment in Azure.</w:t>
      </w:r>
    </w:p>
    <w:p>
      <w:pPr>
        <w:pStyle w:val="Normal"/>
        <w:numPr>
          <w:ilvl w:val="0"/>
          <w:numId w:val="1"/>
        </w:numPr>
        <w:spacing w:before="0" w:after="120"/>
        <w:ind w:left="-810" w:hanging="360"/>
        <w:jc w:val="left"/>
        <w:rPr>
          <w:rFonts w:ascii="Calibri" w:hAnsi="Calibri" w:eastAsia="Calibri" w:cs="Calibri"/>
          <w:sz w:val="18"/>
          <w:szCs w:val="18"/>
        </w:rPr>
      </w:pPr>
      <w:r>
        <w:rPr>
          <w:rFonts w:eastAsia="Calibri" w:cs="Calibri" w:ascii="Calibri" w:hAnsi="Calibri"/>
          <w:sz w:val="18"/>
          <w:szCs w:val="18"/>
        </w:rPr>
        <w:t>Design and implementation and administration of Azure active directory utilising azure roles and RBAC’s</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Design and Implementation of Greenfield network infrastructure to allow the transition of Barcap's DMZ to a best practises design</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Production of Governance Standards and Roadmaps for a Number of Tier1 Investment banks</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Design/Implementation of application layer firewalls to allow for Sox/PCI DSS compliance at a number of Tier 1 Investment Banks</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Infrastructure stabilisation to allow unstable infrastructure to be identified and a remediation plan to be put together at Barcap</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Lead Architect for a re-hosting/datacentre migration  programme at Deutsche bank and BNP Paribas and Barcap</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Implementation of SIEM (intellitactics) to allow real time auditing and threat analysis at Barcap/BNP Paribas/Deutsche</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Lead Security Architect/Implementation engineer at Barcap/BNP Paribas/JP Morgan/Deutsche</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Lead Architect on Self-healing infrastructure, utilising tools such as CA/Wily Intrascope/ Sitescope and Keynote systems</w:t>
      </w:r>
    </w:p>
    <w:p>
      <w:pPr>
        <w:pStyle w:val="Normal"/>
        <w:numPr>
          <w:ilvl w:val="0"/>
          <w:numId w:val="1"/>
        </w:numPr>
        <w:spacing w:before="0" w:after="120"/>
        <w:ind w:left="-810" w:hanging="360"/>
        <w:jc w:val="left"/>
        <w:rPr>
          <w:rFonts w:ascii="Calibri" w:hAnsi="Calibri" w:eastAsia="Calibri" w:cs="Calibri"/>
          <w:color w:val="000000"/>
          <w:sz w:val="18"/>
          <w:szCs w:val="18"/>
        </w:rPr>
      </w:pPr>
      <w:r>
        <w:rPr>
          <w:rFonts w:eastAsia="Calibri" w:cs="Calibri" w:ascii="Calibri" w:hAnsi="Calibri"/>
          <w:color w:val="000000"/>
          <w:sz w:val="18"/>
          <w:szCs w:val="18"/>
        </w:rPr>
        <w:t>Remedy Migration from physical to virtual for 70000 employee’s world-wide</w:t>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Career Summary. Last 15 Years</w:t>
      </w:r>
    </w:p>
    <w:p>
      <w:pPr>
        <w:pStyle w:val="Normal"/>
        <w:ind w:left="-1170" w:hanging="0"/>
        <w:rPr>
          <w:rFonts w:ascii="Calibri" w:hAnsi="Calibri" w:eastAsia="Calibri" w:cs="Calibri"/>
          <w:b/>
          <w:b/>
          <w:sz w:val="18"/>
          <w:szCs w:val="18"/>
        </w:rPr>
      </w:pPr>
      <w:r>
        <w:rPr>
          <w:rFonts w:eastAsia="Calibri" w:cs="Calibri" w:ascii="Calibri" w:hAnsi="Calibri"/>
          <w:b/>
          <w:sz w:val="18"/>
          <w:szCs w:val="18"/>
        </w:rPr>
      </w:r>
    </w:p>
    <w:tbl>
      <w:tblPr>
        <w:tblStyle w:val="a"/>
        <w:tblW w:w="9322" w:type="dxa"/>
        <w:jc w:val="left"/>
        <w:tblInd w:w="-1310" w:type="dxa"/>
        <w:tblCellMar>
          <w:top w:w="0" w:type="dxa"/>
          <w:left w:w="108" w:type="dxa"/>
          <w:bottom w:w="0" w:type="dxa"/>
          <w:right w:w="108" w:type="dxa"/>
        </w:tblCellMar>
        <w:tblLook w:noVBand="0" w:val="0000" w:noHBand="0" w:lastColumn="0" w:firstColumn="0" w:lastRow="0" w:firstRow="0"/>
      </w:tblPr>
      <w:tblGrid>
        <w:gridCol w:w="1984"/>
        <w:gridCol w:w="3969"/>
        <w:gridCol w:w="3369"/>
      </w:tblGrid>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Aug19 – Present</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Fujitsu Defense</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Jan19 – Apr19</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CGI @ Northumbria Water &amp; Taylor Wimpey</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Oct17 – Dec18</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sz w:val="18"/>
                <w:szCs w:val="18"/>
              </w:rPr>
            </w:pPr>
            <w:r>
              <w:rPr>
                <w:rFonts w:eastAsia="Calibri" w:cs="Calibri" w:ascii="Calibri" w:hAnsi="Calibri"/>
                <w:sz w:val="18"/>
                <w:szCs w:val="18"/>
              </w:rPr>
              <w:t>DXC @ Rolls Royce</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sz w:val="18"/>
                <w:szCs w:val="18"/>
              </w:rPr>
            </w:pPr>
            <w:r>
              <w:rPr>
                <w:rFonts w:eastAsia="Calibri" w:cs="Calibri" w:ascii="Calibri" w:hAnsi="Calibri"/>
                <w:sz w:val="18"/>
                <w:szCs w:val="18"/>
              </w:rPr>
              <w:t>Solution/Infrastructure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Mar17 – July17</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TNT</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Feb12 – Mar 17</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HPE (Hewlett Packard Enterprise) BP</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Oct 11 – Feb12</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IBM UK</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May 11 – Aug 11</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CFS – Co-operative Financial Services</w:t>
            </w:r>
          </w:p>
        </w:tc>
        <w:tc>
          <w:tcPr>
            <w:tcW w:w="3369" w:type="dxa"/>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Jan 11 –  May 11</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Barclays</w:t>
            </w:r>
          </w:p>
        </w:tc>
        <w:tc>
          <w:tcPr>
            <w:tcW w:w="3369" w:type="dxa"/>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restart"/>
            <w:tcBorders>
              <w:top w:val="single" w:sz="8" w:space="0" w:color="000000"/>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Aug 10 –Dec 10</w:t>
            </w:r>
          </w:p>
        </w:tc>
        <w:tc>
          <w:tcPr>
            <w:tcW w:w="3969" w:type="dxa"/>
            <w:tcBorders>
              <w:top w:val="single" w:sz="8" w:space="0" w:color="000000"/>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 xml:space="preserve">Lloyds TSB </w:t>
            </w:r>
          </w:p>
        </w:tc>
        <w:tc>
          <w:tcPr>
            <w:tcW w:w="336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420" w:hRule="atLeast"/>
        </w:trPr>
        <w:tc>
          <w:tcPr>
            <w:tcW w:w="1984" w:type="dxa"/>
            <w:vMerge w:val="continue"/>
            <w:tcBorders>
              <w:top w:val="single" w:sz="8" w:space="0" w:color="000000"/>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Southwark London</w:t>
            </w:r>
          </w:p>
        </w:tc>
        <w:tc>
          <w:tcPr>
            <w:tcW w:w="336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Nov 09 –Jun 10</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 xml:space="preserve">BP Oil International </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Canary Wharf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bl>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ind w:left="-1170" w:hanging="0"/>
        <w:rPr>
          <w:rFonts w:ascii="Calibri" w:hAnsi="Calibri" w:eastAsia="Calibri" w:cs="Calibri"/>
          <w:sz w:val="18"/>
          <w:szCs w:val="18"/>
        </w:rPr>
      </w:pPr>
      <w:r>
        <w:rPr>
          <w:rFonts w:eastAsia="Calibri" w:cs="Calibri" w:ascii="Calibri" w:hAnsi="Calibri"/>
          <w:sz w:val="18"/>
          <w:szCs w:val="18"/>
        </w:rPr>
      </w:r>
    </w:p>
    <w:tbl>
      <w:tblPr>
        <w:tblStyle w:val="a0"/>
        <w:tblW w:w="9322" w:type="dxa"/>
        <w:jc w:val="left"/>
        <w:tblInd w:w="-1310" w:type="dxa"/>
        <w:tblCellMar>
          <w:top w:w="0" w:type="dxa"/>
          <w:left w:w="108" w:type="dxa"/>
          <w:bottom w:w="0" w:type="dxa"/>
          <w:right w:w="108" w:type="dxa"/>
        </w:tblCellMar>
        <w:tblLook w:noVBand="0" w:val="0000" w:noHBand="0" w:lastColumn="0" w:firstColumn="0" w:lastRow="0" w:firstRow="0"/>
      </w:tblPr>
      <w:tblGrid>
        <w:gridCol w:w="1984"/>
        <w:gridCol w:w="3969"/>
        <w:gridCol w:w="3369"/>
      </w:tblGrid>
      <w:tr>
        <w:trPr>
          <w:trHeight w:val="300" w:hRule="atLeast"/>
        </w:trPr>
        <w:tc>
          <w:tcPr>
            <w:tcW w:w="1984" w:type="dxa"/>
            <w:vMerge w:val="restart"/>
            <w:tcBorders>
              <w:top w:val="single" w:sz="8" w:space="0" w:color="000000"/>
              <w:left w:val="single" w:sz="8" w:space="0" w:color="000000"/>
              <w:bottom w:val="single" w:sz="8" w:space="0" w:color="000000"/>
            </w:tcBorders>
            <w:shd w:color="auto" w:fill="auto" w:val="clear"/>
          </w:tcPr>
          <w:p>
            <w:pPr>
              <w:pStyle w:val="Normal"/>
              <w:ind w:left="0" w:hanging="0"/>
              <w:jc w:val="left"/>
              <w:rPr>
                <w:rFonts w:ascii="Calibri" w:hAnsi="Calibri" w:eastAsia="Calibri" w:cs="Calibri"/>
                <w:color w:val="000000"/>
                <w:sz w:val="18"/>
                <w:szCs w:val="18"/>
              </w:rPr>
            </w:pPr>
            <w:r>
              <w:rPr>
                <w:rFonts w:eastAsia="Calibri" w:cs="Calibri" w:ascii="Calibri" w:hAnsi="Calibri"/>
                <w:color w:val="000000"/>
                <w:sz w:val="18"/>
                <w:szCs w:val="18"/>
              </w:rPr>
              <w:t>Sept 09 – Nov 09</w:t>
            </w:r>
          </w:p>
        </w:tc>
        <w:tc>
          <w:tcPr>
            <w:tcW w:w="3969" w:type="dxa"/>
            <w:tcBorders>
              <w:top w:val="single" w:sz="8" w:space="0" w:color="000000"/>
              <w:left w:val="single" w:sz="8" w:space="0" w:color="000000"/>
            </w:tcBorders>
            <w:shd w:color="auto" w:fill="auto" w:val="clear"/>
          </w:tcPr>
          <w:p>
            <w:pPr>
              <w:pStyle w:val="Normal"/>
              <w:ind w:left="0" w:hanging="0"/>
              <w:jc w:val="left"/>
              <w:rPr>
                <w:rFonts w:ascii="Calibri" w:hAnsi="Calibri" w:eastAsia="Calibri" w:cs="Calibri"/>
                <w:color w:val="000000"/>
                <w:sz w:val="18"/>
                <w:szCs w:val="18"/>
              </w:rPr>
            </w:pPr>
            <w:r>
              <w:rPr>
                <w:rFonts w:eastAsia="Calibri" w:cs="Calibri" w:ascii="Calibri" w:hAnsi="Calibri"/>
                <w:color w:val="000000"/>
                <w:sz w:val="18"/>
                <w:szCs w:val="18"/>
              </w:rPr>
              <w:t>Jaguar Land Rover</w:t>
            </w:r>
          </w:p>
        </w:tc>
        <w:tc>
          <w:tcPr>
            <w:tcW w:w="336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ind w:left="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80" w:hRule="atLeast"/>
        </w:trPr>
        <w:tc>
          <w:tcPr>
            <w:tcW w:w="1984" w:type="dxa"/>
            <w:vMerge w:val="continue"/>
            <w:tcBorders>
              <w:top w:val="single" w:sz="8" w:space="0" w:color="000000"/>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Gaydon, Warwickshire</w:t>
            </w:r>
          </w:p>
        </w:tc>
        <w:tc>
          <w:tcPr>
            <w:tcW w:w="336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Jan 09 – Aug 09</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Deutsche Bank</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Southwark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Apr 08 – Dec 08</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BNP Paribas</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City Of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Jan 08 – Apr 08</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JP Morgan Chase</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Euston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Oct 06 – Dec 07</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BNP Paribas</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color w:val="000000"/>
                <w:sz w:val="18"/>
                <w:szCs w:val="18"/>
              </w:rPr>
              <w:t>Solution/Infrastructure Architect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Marylebone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March 04 – Sept 06</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Barclays Capital</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Security/Infrastructure Architect /</w:t>
              <w:br/>
              <w:t xml:space="preserve"> Lead Deployment Engineer</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Canary Wharf</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June 03 – March 04</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Deutsche Bank</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Solution Architect/Senior Support Engineer</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City of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Aug 02 – Apr 03</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Credit Suisse First Boston</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Global Web Services Assistant Manager for EMEA</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Zurich Switzerland</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r>
      <w:tr>
        <w:trPr>
          <w:trHeight w:val="300" w:hRule="atLeast"/>
        </w:trPr>
        <w:tc>
          <w:tcPr>
            <w:tcW w:w="1984" w:type="dxa"/>
            <w:vMerge w:val="restart"/>
            <w:tcBorders>
              <w:left w:val="single" w:sz="8" w:space="0" w:color="000000"/>
              <w:bottom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Jan 01 - Aug 02</w:t>
            </w:r>
          </w:p>
        </w:tc>
        <w:tc>
          <w:tcPr>
            <w:tcW w:w="3969" w:type="dxa"/>
            <w:tcBorders>
              <w:lef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UBS Warburg</w:t>
            </w:r>
          </w:p>
        </w:tc>
        <w:tc>
          <w:tcPr>
            <w:tcW w:w="3369" w:type="dxa"/>
            <w:vMerge w:val="restart"/>
            <w:tcBorders>
              <w:left w:val="single" w:sz="8" w:space="0" w:color="000000"/>
              <w:bottom w:val="single" w:sz="8" w:space="0" w:color="000000"/>
              <w:right w:val="single" w:sz="8" w:space="0" w:color="000000"/>
            </w:tcBorders>
            <w:shd w:color="auto" w:fill="auto" w:val="clear"/>
          </w:tcPr>
          <w:p>
            <w:pPr>
              <w:pStyle w:val="Normal"/>
              <w:ind w:left="0" w:right="-780" w:hanging="0"/>
              <w:jc w:val="left"/>
              <w:rPr>
                <w:rFonts w:ascii="Calibri" w:hAnsi="Calibri" w:eastAsia="Calibri" w:cs="Calibri"/>
                <w:color w:val="000000"/>
                <w:sz w:val="18"/>
                <w:szCs w:val="18"/>
              </w:rPr>
            </w:pPr>
            <w:r>
              <w:rPr>
                <w:rFonts w:eastAsia="Calibri" w:cs="Calibri" w:ascii="Calibri" w:hAnsi="Calibri"/>
                <w:color w:val="000000"/>
                <w:sz w:val="18"/>
                <w:szCs w:val="18"/>
              </w:rPr>
              <w:t>Ecommerce Consultant</w:t>
            </w:r>
          </w:p>
        </w:tc>
      </w:tr>
      <w:tr>
        <w:trPr>
          <w:trHeight w:val="300" w:hRule="atLeast"/>
        </w:trPr>
        <w:tc>
          <w:tcPr>
            <w:tcW w:w="1984" w:type="dxa"/>
            <w:vMerge w:val="continue"/>
            <w:tcBorders>
              <w:left w:val="single" w:sz="8" w:space="0" w:color="000000"/>
              <w:bottom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tc>
        <w:tc>
          <w:tcPr>
            <w:tcW w:w="3969" w:type="dxa"/>
            <w:tcBorders>
              <w:left w:val="single" w:sz="8" w:space="0" w:color="000000"/>
              <w:bottom w:val="single" w:sz="8" w:space="0" w:color="000000"/>
            </w:tcBorders>
            <w:shd w:color="auto" w:fill="auto" w:val="clear"/>
          </w:tcPr>
          <w:p>
            <w:pPr>
              <w:pStyle w:val="Normal"/>
              <w:ind w:left="0" w:right="-780" w:hanging="0"/>
              <w:rPr>
                <w:rFonts w:ascii="Calibri" w:hAnsi="Calibri" w:eastAsia="Calibri" w:cs="Calibri"/>
                <w:sz w:val="18"/>
                <w:szCs w:val="18"/>
              </w:rPr>
            </w:pPr>
            <w:r>
              <w:rPr>
                <w:rFonts w:eastAsia="Calibri" w:cs="Calibri" w:ascii="Calibri" w:hAnsi="Calibri"/>
                <w:sz w:val="18"/>
                <w:szCs w:val="18"/>
              </w:rPr>
              <w:t>City of London</w:t>
            </w:r>
          </w:p>
        </w:tc>
        <w:tc>
          <w:tcPr>
            <w:tcW w:w="3369" w:type="dxa"/>
            <w:vMerge w:val="continue"/>
            <w:tcBorders>
              <w:left w:val="single" w:sz="8" w:space="0" w:color="000000"/>
              <w:bottom w:val="single" w:sz="8" w:space="0" w:color="000000"/>
              <w:right w:val="single" w:sz="8" w:space="0" w:color="000000"/>
            </w:tcBorders>
            <w:shd w:color="auto" w:fill="auto" w:val="clear"/>
          </w:tcPr>
          <w:p>
            <w:pPr>
              <w:pStyle w:val="Normal"/>
              <w:widowControl w:val="false"/>
              <w:pBdr/>
              <w:spacing w:lineRule="auto" w:line="276"/>
              <w:ind w:left="-1170" w:hanging="0"/>
              <w:jc w:val="left"/>
              <w:rPr>
                <w:rFonts w:ascii="Calibri" w:hAnsi="Calibri" w:eastAsia="Calibri" w:cs="Calibri"/>
                <w:sz w:val="18"/>
                <w:szCs w:val="18"/>
              </w:rPr>
            </w:pPr>
            <w:r>
              <w:rPr>
                <w:rFonts w:eastAsia="Calibri" w:cs="Calibri" w:ascii="Calibri" w:hAnsi="Calibri"/>
                <w:sz w:val="18"/>
                <w:szCs w:val="18"/>
              </w:rPr>
            </w:r>
          </w:p>
        </w:tc>
      </w:tr>
    </w:tbl>
    <w:p>
      <w:pPr>
        <w:pStyle w:val="Normal"/>
        <w:ind w:left="-1170" w:hanging="0"/>
        <w:rPr>
          <w:rFonts w:ascii="Calibri" w:hAnsi="Calibri" w:eastAsia="Calibri" w:cs="Calibri"/>
          <w:sz w:val="18"/>
          <w:szCs w:val="18"/>
        </w:rPr>
      </w:pPr>
      <w:r>
        <w:rPr>
          <w:rFonts w:eastAsia="Calibri" w:cs="Calibri" w:ascii="Calibri" w:hAnsi="Calibri"/>
          <w:sz w:val="18"/>
          <w:szCs w:val="18"/>
        </w:rPr>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Employment</w:t>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bookmarkStart w:id="0" w:name="_gjdgxs"/>
      <w:bookmarkEnd w:id="0"/>
      <w:r>
        <w:rPr>
          <w:rFonts w:eastAsia="Calibri" w:cs="Calibri" w:ascii="Calibri" w:hAnsi="Calibri"/>
          <w:b/>
          <w:color w:val="000000"/>
          <w:sz w:val="18"/>
          <w:szCs w:val="18"/>
        </w:rPr>
        <w:t>Aug19 – Present</w:t>
        <w:tab/>
        <w:t>Fujitsu Defense</w:t>
      </w:r>
    </w:p>
    <w:p>
      <w:pPr>
        <w:pStyle w:val="Normal"/>
        <w:pBdr/>
        <w:tabs>
          <w:tab w:val="clear" w:pos="709"/>
          <w:tab w:val="left" w:pos="-5104" w:leader="none"/>
          <w:tab w:val="left" w:pos="-4515" w:leader="none"/>
        </w:tabs>
        <w:spacing w:before="120" w:after="0"/>
        <w:ind w:left="-1170" w:hanging="0"/>
        <w:jc w:val="left"/>
        <w:rPr>
          <w:rFonts w:ascii="Calibri" w:hAnsi="Calibri" w:eastAsia="Calibri" w:cs="Calibri"/>
          <w:color w:val="000000"/>
          <w:sz w:val="18"/>
          <w:szCs w:val="18"/>
        </w:rPr>
      </w:pPr>
      <w:r>
        <w:rPr>
          <w:rFonts w:eastAsia="Calibri" w:cs="Calibri" w:ascii="Calibri" w:hAnsi="Calibri"/>
          <w:b/>
          <w:color w:val="000000"/>
          <w:sz w:val="18"/>
          <w:szCs w:val="18"/>
        </w:rPr>
        <w:t>Infrastructure Architect</w:t>
      </w:r>
      <w:r>
        <w:rPr>
          <w:rFonts w:eastAsia="Calibri" w:cs="Calibri" w:ascii="Calibri" w:hAnsi="Calibri"/>
          <w:b/>
          <w:sz w:val="18"/>
          <w:szCs w:val="18"/>
        </w:rPr>
        <w:br/>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 xml:space="preserve">Requirements gathering, creating and understanding both Functional and Non – Functional requirements.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and implementation of Private CCC and Azure cloud solutions to meet customer requirements.</w:t>
      </w:r>
    </w:p>
    <w:p>
      <w:pPr>
        <w:pStyle w:val="Normal"/>
        <w:numPr>
          <w:ilvl w:val="0"/>
          <w:numId w:val="1"/>
        </w:numPr>
        <w:spacing w:before="0" w:after="120"/>
        <w:ind w:left="-990" w:hanging="270"/>
        <w:jc w:val="left"/>
        <w:rPr>
          <w:rFonts w:ascii="Calibri" w:hAnsi="Calibri" w:eastAsia="Calibri" w:cs="Calibri"/>
          <w:sz w:val="18"/>
          <w:szCs w:val="18"/>
          <w:highlight w:val="red"/>
        </w:rPr>
      </w:pPr>
      <w:r>
        <w:rPr>
          <w:rFonts w:eastAsia="Calibri" w:cs="Calibri" w:ascii="Calibri" w:hAnsi="Calibri"/>
          <w:sz w:val="18"/>
          <w:szCs w:val="18"/>
          <w:shd w:fill="F4CCCC" w:val="clear"/>
        </w:rPr>
        <w:t>Design and implementation of Greenfield Azure environment including VPN Setup/Active Directory/VNET’s/NSG’s/DNS/Windows and Linux Custom Secure Builds/Windows RDS/Windows DFS.</w:t>
      </w:r>
    </w:p>
    <w:p>
      <w:pPr>
        <w:pStyle w:val="Normal"/>
        <w:numPr>
          <w:ilvl w:val="0"/>
          <w:numId w:val="1"/>
        </w:numPr>
        <w:spacing w:before="0" w:after="120"/>
        <w:ind w:left="-990" w:hanging="270"/>
        <w:jc w:val="left"/>
        <w:rPr>
          <w:rFonts w:ascii="Calibri" w:hAnsi="Calibri" w:eastAsia="Calibri" w:cs="Calibri"/>
          <w:sz w:val="18"/>
          <w:szCs w:val="18"/>
          <w:highlight w:val="red"/>
        </w:rPr>
      </w:pPr>
      <w:r>
        <w:rPr>
          <w:rFonts w:eastAsia="Calibri" w:cs="Calibri" w:ascii="Calibri" w:hAnsi="Calibri"/>
          <w:sz w:val="18"/>
          <w:szCs w:val="18"/>
          <w:shd w:fill="F4CCCC" w:val="clear"/>
        </w:rPr>
        <w:t>Creation of installation documentation to utilise powershell and cloud shell to provide the instructions to the automation team, this was to meet the project objective of a full automated environment build utilising Redhat Ansible</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sz w:val="18"/>
          <w:szCs w:val="18"/>
        </w:rPr>
        <w:t>Creation of Multiple documents ranging from HLD to LLD, including Diagrams and SOW’s and Responses to RFQ.</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 xml:space="preserve">Designed and implemented a company migration plan from VMWare to Azure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Designed and ran the proof of concept on Windows RDS for 400 users in Azure</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Analysis of requirements to generate in advance firewall rule requirements and security requirements allowing advanced firewall rules to be implemented and appropriate groups to be engaged in advance.</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of VMWare NSX to provide micro-segmentation capabilities for Secure Environments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of Azure Search to provide cognitive search capabilities across multiple applications.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Designed and implemented  Azure sentinel proof of concept and documented the proposed design for current and future customers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Provided design and review expertise to build up the governance process for the design documentation from an Architectural and Security view point.</w:t>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Jan19 – Apr19</w:t>
        <w:tab/>
        <w:t>CGI @ Northumbria Water / Taylor Wimpey</w:t>
      </w:r>
    </w:p>
    <w:p>
      <w:pPr>
        <w:pStyle w:val="Normal"/>
        <w:pBdr/>
        <w:tabs>
          <w:tab w:val="clear" w:pos="709"/>
          <w:tab w:val="left" w:pos="-5104" w:leader="none"/>
          <w:tab w:val="left" w:pos="-4515" w:leader="none"/>
        </w:tabs>
        <w:spacing w:before="120" w:after="0"/>
        <w:ind w:left="-1170" w:hanging="0"/>
        <w:jc w:val="left"/>
        <w:rPr>
          <w:rFonts w:ascii="Calibri" w:hAnsi="Calibri" w:eastAsia="Calibri" w:cs="Calibri"/>
          <w:color w:val="000000"/>
          <w:sz w:val="18"/>
          <w:szCs w:val="18"/>
        </w:rPr>
      </w:pPr>
      <w:r>
        <w:rPr>
          <w:rFonts w:eastAsia="Calibri" w:cs="Calibri" w:ascii="Calibri" w:hAnsi="Calibri"/>
          <w:b/>
          <w:color w:val="000000"/>
          <w:sz w:val="18"/>
          <w:szCs w:val="18"/>
        </w:rPr>
        <w:t>Solution/Infrastructure Architect</w:t>
      </w:r>
      <w:r>
        <w:rPr>
          <w:rFonts w:eastAsia="Calibri" w:cs="Calibri" w:ascii="Calibri" w:hAnsi="Calibri"/>
          <w:b/>
          <w:sz w:val="18"/>
          <w:szCs w:val="18"/>
        </w:rPr>
        <w:br/>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 xml:space="preserve">Requirements gathering, creating and understanding both Functional and Non – Functional requirements.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and implementation of Private CCC and Azure cloud solutions to meet customer requirements.</w:t>
      </w:r>
    </w:p>
    <w:p>
      <w:pPr>
        <w:pStyle w:val="Normal"/>
        <w:numPr>
          <w:ilvl w:val="0"/>
          <w:numId w:val="1"/>
        </w:numPr>
        <w:spacing w:before="0" w:after="120"/>
        <w:ind w:left="-990" w:hanging="270"/>
        <w:jc w:val="left"/>
        <w:rPr>
          <w:rFonts w:ascii="Calibri" w:hAnsi="Calibri" w:eastAsia="Calibri" w:cs="Calibri"/>
          <w:sz w:val="18"/>
          <w:szCs w:val="18"/>
          <w:highlight w:val="red"/>
        </w:rPr>
      </w:pPr>
      <w:r>
        <w:rPr>
          <w:rFonts w:eastAsia="Calibri" w:cs="Calibri" w:ascii="Calibri" w:hAnsi="Calibri"/>
          <w:sz w:val="18"/>
          <w:szCs w:val="18"/>
          <w:shd w:fill="F4CCCC" w:val="clear"/>
        </w:rPr>
        <w:t xml:space="preserve">Refactoring Azure environment to ensure adequate storage for AzureSQL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sz w:val="18"/>
          <w:szCs w:val="18"/>
        </w:rPr>
        <w:t>Creation of Multiple documents ranging from HLD to LLD, including Diagrams and SOW’s and Responses to RFQ.</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Proof of concept on EMM / MDM products to manage Mobile devices at Taylor Wimpey, MS Intune, Samsung Knox final selected products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Architected and analysed EMM/MDM designs for implementation to implement MS Intune and Samsung Knox products to enable management of Mobile devices security</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 xml:space="preserve">Design and implementation of multiple internal/external ecommerce environments to allow over £100k savings to be realised on hardware and software.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 xml:space="preserve">Designed and implemented a company migration from VMWare 5.0 to Hyper V </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Designed and implemented a VMWare Metro Cluster to provide highly available and resilient file shares for an internal batch processing system, before implementation the batch processing system was suffering multiple outages causing significant financial losses.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Absolute Software MDM Proof of concept, creation and analysis of testing criteria and results to define the implementation of Absolute MDM.</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Analysis of requirements to generate in advance firewall rule requirements and security requirements allowing advanced firewall rules to be implemented and appropriate groups to be engaged in advance.</w:t>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Oct17 – Dec18</w:t>
        <w:tab/>
        <w:t>DXC @ Rolls Royce</w:t>
      </w:r>
    </w:p>
    <w:p>
      <w:pPr>
        <w:pStyle w:val="Normal"/>
        <w:pBdr/>
        <w:tabs>
          <w:tab w:val="clear" w:pos="709"/>
          <w:tab w:val="left" w:pos="-5104" w:leader="none"/>
          <w:tab w:val="left" w:pos="-4515"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Solution/Infrastructure Architect</w:t>
      </w:r>
    </w:p>
    <w:p>
      <w:pPr>
        <w:pStyle w:val="Normal"/>
        <w:pBdr/>
        <w:spacing w:before="40" w:after="40"/>
        <w:ind w:left="-1170" w:hanging="0"/>
        <w:jc w:val="left"/>
        <w:rPr>
          <w:rFonts w:ascii="Calibri" w:hAnsi="Calibri" w:eastAsia="Calibri" w:cs="Calibri"/>
          <w:i/>
          <w:i/>
          <w:color w:val="000000"/>
          <w:sz w:val="18"/>
          <w:szCs w:val="18"/>
        </w:rPr>
      </w:pPr>
      <w:r>
        <w:rPr>
          <w:rFonts w:eastAsia="Calibri" w:cs="Calibri" w:ascii="Calibri" w:hAnsi="Calibri"/>
          <w:i/>
          <w:color w:val="000000"/>
          <w:sz w:val="18"/>
          <w:szCs w:val="18"/>
        </w:rPr>
      </w:r>
    </w:p>
    <w:p>
      <w:pPr>
        <w:pStyle w:val="Normal"/>
        <w:numPr>
          <w:ilvl w:val="0"/>
          <w:numId w:val="1"/>
        </w:numPr>
        <w:spacing w:before="0" w:after="120"/>
        <w:ind w:left="-900" w:hanging="360"/>
        <w:jc w:val="left"/>
        <w:rPr>
          <w:rFonts w:ascii="Calibri" w:hAnsi="Calibri" w:eastAsia="Calibri" w:cs="Calibri"/>
          <w:sz w:val="18"/>
          <w:szCs w:val="18"/>
        </w:rPr>
      </w:pPr>
      <w:r>
        <w:rPr>
          <w:rFonts w:eastAsia="Calibri" w:cs="Calibri" w:ascii="Calibri" w:hAnsi="Calibri"/>
          <w:sz w:val="18"/>
          <w:szCs w:val="18"/>
        </w:rPr>
        <w:t>Lead Azure/AWS proof of concept for none sensitive applications.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VDI investigation / analysis – analysis and recommendations for stabilisation of a 150 VDI’s used by Offshore resources. The problem was a 3d rendering issue causing £200,000 a day loss in productivity</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FileCatalyst upgrade and implementation from 3.5 to 3.72</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and deployment of Filecatalyst onto Linux Suse and Redhat Distros</w:t>
        <w:tab/>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Analysis of requirements to generate in advance firewall rule requirements and security requirements allowing advanced firewall rules to be implemented and appropriate groups to be engaged in advance</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Creation of Multiple documents ranging from HLD to LLD,  including Diagrams and SOW’s and Responses to RFQ.</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Design and implementation of a highly redundant SFTP implementation to allow extranet clients to transfer files.</w:t>
      </w:r>
    </w:p>
    <w:p>
      <w:pPr>
        <w:pStyle w:val="Normal"/>
        <w:numPr>
          <w:ilvl w:val="0"/>
          <w:numId w:val="1"/>
        </w:numPr>
        <w:spacing w:before="0" w:after="120"/>
        <w:ind w:left="-990" w:hanging="270"/>
        <w:jc w:val="left"/>
        <w:rPr>
          <w:rFonts w:ascii="Calibri" w:hAnsi="Calibri" w:eastAsia="Calibri" w:cs="Calibri"/>
          <w:color w:val="000000"/>
          <w:sz w:val="18"/>
          <w:szCs w:val="18"/>
        </w:rPr>
      </w:pPr>
      <w:r>
        <w:rPr>
          <w:rFonts w:eastAsia="Calibri" w:cs="Calibri" w:ascii="Calibri" w:hAnsi="Calibri"/>
          <w:color w:val="000000"/>
          <w:sz w:val="18"/>
          <w:szCs w:val="18"/>
        </w:rPr>
        <w:t>Implementation Engineer on HPC 40k project allowing the project to implement a 40k cores HPC project. Working to assist with Software and network related issues including but not limited to Appsense on VDI. Load Balancing issues and configs on F5. Firewall issues on Checkpoint and Cisco. Nice DCV Testing and rendering issues.</w:t>
      </w:r>
    </w:p>
    <w:p>
      <w:pPr>
        <w:pStyle w:val="Normal"/>
        <w:spacing w:before="0" w:after="120"/>
        <w:ind w:left="-1123" w:hanging="0"/>
        <w:jc w:val="left"/>
        <w:rPr>
          <w:rFonts w:ascii="Calibri" w:hAnsi="Calibri" w:eastAsia="Calibri" w:cs="Calibri"/>
          <w:color w:val="000000"/>
          <w:sz w:val="18"/>
          <w:szCs w:val="18"/>
        </w:rPr>
      </w:pPr>
      <w:r>
        <w:rPr>
          <w:rFonts w:eastAsia="Calibri" w:cs="Calibri" w:ascii="Calibri" w:hAnsi="Calibri"/>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bookmarkStart w:id="1" w:name="_GoBack"/>
      <w:bookmarkEnd w:id="1"/>
      <w:r>
        <w:rPr>
          <w:rFonts w:eastAsia="Calibri" w:cs="Calibri" w:ascii="Calibri" w:hAnsi="Calibri"/>
          <w:b/>
          <w:color w:val="000000"/>
          <w:sz w:val="18"/>
          <w:szCs w:val="18"/>
        </w:rPr>
        <w:t>Mar17 – Jul17</w:t>
        <w:tab/>
        <w:t>Prosource @ TNT</w:t>
      </w:r>
    </w:p>
    <w:p>
      <w:pPr>
        <w:pStyle w:val="Normal"/>
        <w:pBdr/>
        <w:tabs>
          <w:tab w:val="clear" w:pos="709"/>
          <w:tab w:val="left" w:pos="-5104" w:leader="none"/>
          <w:tab w:val="left" w:pos="-4515"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Solution Architect</w:t>
      </w:r>
    </w:p>
    <w:p>
      <w:pPr>
        <w:pStyle w:val="Normal"/>
        <w:pBdr/>
        <w:spacing w:before="40" w:after="40"/>
        <w:ind w:left="-1170" w:hanging="0"/>
        <w:jc w:val="left"/>
        <w:rPr>
          <w:rFonts w:ascii="Calibri" w:hAnsi="Calibri" w:eastAsia="Calibri" w:cs="Calibri"/>
          <w:i/>
          <w:i/>
          <w:color w:val="000000"/>
          <w:sz w:val="18"/>
          <w:szCs w:val="18"/>
        </w:rPr>
      </w:pPr>
      <w:r>
        <w:rPr>
          <w:rFonts w:eastAsia="Calibri" w:cs="Calibri" w:ascii="Calibri" w:hAnsi="Calibri"/>
          <w:i/>
          <w:color w:val="000000"/>
          <w:sz w:val="18"/>
          <w:szCs w:val="18"/>
        </w:rPr>
      </w:r>
    </w:p>
    <w:p>
      <w:pPr>
        <w:pStyle w:val="Normal"/>
        <w:numPr>
          <w:ilvl w:val="0"/>
          <w:numId w:val="1"/>
        </w:numPr>
        <w:spacing w:before="0" w:after="120"/>
        <w:ind w:left="-990" w:hanging="180"/>
        <w:jc w:val="left"/>
        <w:rPr>
          <w:rFonts w:ascii="Calibri" w:hAnsi="Calibri" w:eastAsia="Calibri" w:cs="Calibri"/>
          <w:sz w:val="18"/>
          <w:szCs w:val="18"/>
        </w:rPr>
      </w:pPr>
      <w:r>
        <w:rPr>
          <w:rFonts w:eastAsia="Calibri" w:cs="Calibri" w:ascii="Calibri" w:hAnsi="Calibri"/>
          <w:sz w:val="18"/>
          <w:szCs w:val="18"/>
        </w:rPr>
        <w:t>Lead Azure/AWS proof of concept for IaaS approach.</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VDI Stabilisation – analysis and recommendations for stabilisation of a 750 VDI existing solution.</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Future Road Map Creation for VDI / Development Environments</w:t>
        <w:tab/>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Tactical Analysis of Existing VDI Estate to creating cost savings in excess of £49 million, around licensing and storage.</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Design of cloud based Future Development Environments</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Creation of Forward demand plan for use of the Development Environments, to allow rapid increase and crash and burn of existing and excess environments.</w:t>
      </w:r>
    </w:p>
    <w:p>
      <w:pPr>
        <w:pStyle w:val="Normal"/>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Feb12 – Mar17</w:t>
        <w:tab/>
        <w:t>Hewlett Packard Enterprise, @BP</w:t>
      </w:r>
    </w:p>
    <w:p>
      <w:pPr>
        <w:pStyle w:val="Normal"/>
        <w:pBdr/>
        <w:tabs>
          <w:tab w:val="clear" w:pos="709"/>
          <w:tab w:val="left" w:pos="-5104" w:leader="none"/>
          <w:tab w:val="left" w:pos="-4515" w:leader="none"/>
        </w:tabs>
        <w:spacing w:before="120" w:after="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Solution Architect</w:t>
      </w:r>
    </w:p>
    <w:p>
      <w:pPr>
        <w:pStyle w:val="Normal"/>
        <w:pBdr/>
        <w:tabs>
          <w:tab w:val="clear" w:pos="709"/>
          <w:tab w:val="left" w:pos="-5104" w:leader="none"/>
          <w:tab w:val="left" w:pos="-4515" w:leader="none"/>
        </w:tabs>
        <w:spacing w:before="100" w:after="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p>
      <w:pPr>
        <w:pStyle w:val="Normal"/>
        <w:numPr>
          <w:ilvl w:val="0"/>
          <w:numId w:val="1"/>
        </w:numPr>
        <w:spacing w:before="0" w:after="120"/>
        <w:ind w:left="-900" w:hanging="270"/>
        <w:jc w:val="left"/>
        <w:rPr>
          <w:rFonts w:ascii="Calibri" w:hAnsi="Calibri" w:eastAsia="Calibri" w:cs="Calibri"/>
          <w:sz w:val="18"/>
          <w:szCs w:val="18"/>
          <w:highlight w:val="red"/>
        </w:rPr>
      </w:pPr>
      <w:r>
        <w:rPr>
          <w:rFonts w:eastAsia="Calibri" w:cs="Calibri" w:ascii="Calibri" w:hAnsi="Calibri"/>
          <w:sz w:val="18"/>
          <w:szCs w:val="18"/>
          <w:shd w:fill="F4CCCC" w:val="clear"/>
        </w:rPr>
        <w:t xml:space="preserve">Lead engineer on multiple cloud projects to Azure and AWS including designing a high availability  Azure IaaS/PaaS and SaaS environment. </w:t>
      </w:r>
    </w:p>
    <w:p>
      <w:pPr>
        <w:pStyle w:val="Normal"/>
        <w:numPr>
          <w:ilvl w:val="0"/>
          <w:numId w:val="1"/>
        </w:numPr>
        <w:spacing w:before="0" w:after="120"/>
        <w:ind w:left="-900" w:hanging="270"/>
        <w:jc w:val="left"/>
        <w:rPr>
          <w:rFonts w:ascii="Calibri" w:hAnsi="Calibri" w:eastAsia="Calibri" w:cs="Calibri"/>
          <w:sz w:val="18"/>
          <w:szCs w:val="18"/>
          <w:highlight w:val="red"/>
        </w:rPr>
      </w:pPr>
      <w:r>
        <w:rPr>
          <w:rFonts w:eastAsia="Calibri" w:cs="Calibri" w:ascii="Calibri" w:hAnsi="Calibri"/>
          <w:sz w:val="18"/>
          <w:szCs w:val="18"/>
          <w:shd w:fill="F4CCCC" w:val="clear"/>
        </w:rPr>
        <w:t xml:space="preserve">Designing and implementing a geo-redundant Azure environment utlising Azure load balancing, ExpressRoute  </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Responsible for Solution Design Standards around Infrastructure and Application Integration onto the Infrastructure</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Application Analysis to ensure suitable infrastructure design is completed</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Infrastructure Analysis to ensure on demand implementations can be completed to enable HP to offer BP Infrastructure as a service. Equivalent too HP at a cloud computing provider.</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Roadmap Analysis / Creation to enable BP to have a 3 year future view of the estate.</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Infrastructure / Security architect for the migration of BP’s remedy system to complete new architecture, including virtualisation/f5 apm, asm, gtm, ltm/ SQL 2012</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Implementation and Tutoring around Custom Frameworks BP use to the broader HP Staff</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Senior Security Architect working on Fireye netwitness and dambala deployments</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Senior Security Architect working on Arcsight expansion, including EOSL and custom requirements for the BP estate.</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Senior Security Architect working on NFR/HLD/LLD of CyberArk for BP, build and deployment and migration to CyberArk were all covered in the project</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Senior Architect on the BSM End to End solution monitoring solution</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 xml:space="preserve">Security/Infrastructure Architect / Engineer for F5 implementation and migrations, Migrations cover both internet and intranet using APM/ASM/LTM/GTM. This includes log analysis of APM/ASM to determine application use case suitability, LTM Profile design to include custom IRULES. </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Perform regular infrastructure assessments covering both Vulnerabilities and Network Impact assessments.</w:t>
      </w:r>
    </w:p>
    <w:p>
      <w:pPr>
        <w:pStyle w:val="Normal"/>
        <w:numPr>
          <w:ilvl w:val="0"/>
          <w:numId w:val="1"/>
        </w:numPr>
        <w:spacing w:before="0" w:after="120"/>
        <w:ind w:left="-990" w:hanging="180"/>
        <w:jc w:val="left"/>
        <w:rPr>
          <w:rFonts w:ascii="Calibri" w:hAnsi="Calibri" w:eastAsia="Calibri" w:cs="Calibri"/>
          <w:color w:val="000000"/>
          <w:sz w:val="18"/>
          <w:szCs w:val="18"/>
        </w:rPr>
      </w:pPr>
      <w:r>
        <w:rPr>
          <w:rFonts w:eastAsia="Calibri" w:cs="Calibri" w:ascii="Calibri" w:hAnsi="Calibri"/>
          <w:color w:val="000000"/>
          <w:sz w:val="18"/>
          <w:szCs w:val="18"/>
        </w:rPr>
        <w:t>Member of the Solution Governance Board that review and approve designs to make sure all standards are adhered too.</w:t>
      </w:r>
    </w:p>
    <w:p>
      <w:pPr>
        <w:pStyle w:val="Normal"/>
        <w:pBdr/>
        <w:tabs>
          <w:tab w:val="clear" w:pos="709"/>
          <w:tab w:val="left" w:pos="-5104" w:leader="none"/>
          <w:tab w:val="left" w:pos="-4515" w:leader="none"/>
          <w:tab w:val="right" w:pos="7938" w:leader="none"/>
        </w:tabs>
        <w:spacing w:before="120" w:after="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p>
      <w:pPr>
        <w:pStyle w:val="Normal"/>
        <w:keepNext w:val="true"/>
        <w:pBdr>
          <w:bottom w:val="single" w:sz="4" w:space="0" w:color="808080"/>
        </w:pBdr>
        <w:spacing w:before="100" w:after="0"/>
        <w:ind w:left="-1170" w:hanging="0"/>
        <w:jc w:val="left"/>
        <w:rPr>
          <w:rFonts w:ascii="Calibri" w:hAnsi="Calibri" w:eastAsia="Calibri" w:cs="Calibri"/>
          <w:smallCaps/>
          <w:color w:val="000000"/>
          <w:sz w:val="18"/>
          <w:szCs w:val="18"/>
        </w:rPr>
      </w:pPr>
      <w:r>
        <w:rPr>
          <w:rFonts w:eastAsia="Calibri" w:cs="Calibri" w:ascii="Calibri" w:hAnsi="Calibri"/>
          <w:smallCaps/>
          <w:color w:val="000000"/>
          <w:sz w:val="18"/>
          <w:szCs w:val="18"/>
        </w:rPr>
        <w:t>Education</w:t>
      </w:r>
    </w:p>
    <w:p>
      <w:pPr>
        <w:pStyle w:val="Normal"/>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r>
    </w:p>
    <w:p>
      <w:pPr>
        <w:pStyle w:val="Normal"/>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 xml:space="preserve">         </w:t>
      </w:r>
      <w:r>
        <w:rPr>
          <w:rFonts w:eastAsia="Calibri" w:cs="Calibri" w:ascii="Calibri" w:hAnsi="Calibri"/>
          <w:color w:val="000000"/>
          <w:sz w:val="18"/>
          <w:szCs w:val="18"/>
        </w:rPr>
        <w:t>1990 – 1993, Solihull College of Technology</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BTEC National Diploma in Computer Studies</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1985- 1990</w:t>
        <w:tab/>
        <w:t>Arden Secondary School, Knowle</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7 GCSE’s</w:t>
      </w:r>
    </w:p>
    <w:p>
      <w:pPr>
        <w:pStyle w:val="Normal"/>
        <w:spacing w:before="0" w:after="120"/>
        <w:ind w:left="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0" w:hanging="0"/>
        <w:jc w:val="left"/>
        <w:rPr>
          <w:rFonts w:ascii="Calibri" w:hAnsi="Calibri" w:eastAsia="Calibri" w:cs="Calibri"/>
          <w:sz w:val="18"/>
          <w:szCs w:val="18"/>
        </w:rPr>
      </w:pPr>
      <w:r>
        <w:rPr>
          <w:rFonts w:eastAsia="Calibri" w:cs="Calibri" w:ascii="Calibri" w:hAnsi="Calibri"/>
          <w:sz w:val="18"/>
          <w:szCs w:val="18"/>
        </w:rPr>
      </w:r>
    </w:p>
    <w:p>
      <w:pPr>
        <w:pStyle w:val="Normal"/>
        <w:spacing w:before="0" w:after="120"/>
        <w:ind w:left="-1170" w:hanging="0"/>
        <w:jc w:val="left"/>
        <w:rPr>
          <w:rFonts w:ascii="Calibri" w:hAnsi="Calibri" w:eastAsia="Calibri" w:cs="Calibri"/>
          <w:b/>
          <w:b/>
          <w:color w:val="000000"/>
          <w:sz w:val="18"/>
          <w:szCs w:val="18"/>
        </w:rPr>
      </w:pPr>
      <w:r>
        <w:rPr>
          <w:rFonts w:eastAsia="Calibri" w:cs="Calibri" w:ascii="Calibri" w:hAnsi="Calibri"/>
          <w:b/>
          <w:color w:val="000000"/>
          <w:sz w:val="18"/>
          <w:szCs w:val="18"/>
        </w:rPr>
        <w:t>Professional Qualifications</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ISS Ethical Hacking</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ISS Intrusion Detection and Response</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MCSE + I</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CISSP – Awaiting Results</w:t>
      </w:r>
    </w:p>
    <w:p>
      <w:pPr>
        <w:pStyle w:val="Normal"/>
        <w:numPr>
          <w:ilvl w:val="0"/>
          <w:numId w:val="1"/>
        </w:numPr>
        <w:spacing w:before="0" w:after="120"/>
        <w:ind w:left="-1170" w:hanging="0"/>
        <w:jc w:val="left"/>
        <w:rPr>
          <w:rFonts w:ascii="Calibri" w:hAnsi="Calibri" w:eastAsia="Calibri" w:cs="Calibri"/>
          <w:color w:val="000000"/>
          <w:sz w:val="18"/>
          <w:szCs w:val="18"/>
        </w:rPr>
      </w:pPr>
      <w:r>
        <w:rPr>
          <w:rFonts w:eastAsia="Calibri" w:cs="Calibri" w:ascii="Calibri" w:hAnsi="Calibri"/>
          <w:color w:val="000000"/>
          <w:sz w:val="18"/>
          <w:szCs w:val="18"/>
        </w:rPr>
        <w:t>CCNA &amp; CCSE – Training Undertaken</w:t>
      </w:r>
    </w:p>
    <w:p>
      <w:pPr>
        <w:pStyle w:val="Normal"/>
        <w:ind w:left="-1170" w:hanging="0"/>
        <w:rPr/>
      </w:pPr>
      <w:r>
        <w:rPr/>
      </w:r>
    </w:p>
    <w:sectPr>
      <w:headerReference w:type="default" r:id="rId4"/>
      <w:type w:val="nextPage"/>
      <w:pgSz w:w="11906" w:h="16838"/>
      <w:pgMar w:left="2421" w:right="1349" w:header="680" w:top="145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20" w:after="220"/>
      <w:ind w:left="-2160" w:firstLine="2160"/>
      <w:jc w:val="right"/>
      <w:rPr>
        <w:rFonts w:ascii="Arial" w:hAnsi="Arial" w:eastAsia="Arial" w:cs="Arial"/>
        <w:smallCaps/>
        <w:color w:val="000000"/>
        <w:sz w:val="24"/>
        <w:szCs w:val="24"/>
      </w:rPr>
    </w:pPr>
    <w:r>
      <w:rPr>
        <w:rFonts w:eastAsia="Arial" w:cs="Arial" w:ascii="Arial" w:hAnsi="Arial"/>
        <w:smallCaps/>
        <w:color w:val="000000"/>
        <w:sz w:val="24"/>
        <w:szCs w:val="24"/>
      </w:rPr>
      <w:t>CURRICULUM VITAE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20" w:after="220"/>
      <w:ind w:left="-2160" w:firstLine="2160"/>
      <w:jc w:val="right"/>
      <w:rPr>
        <w:rFonts w:ascii="Arial" w:hAnsi="Arial" w:eastAsia="Arial" w:cs="Arial"/>
        <w:smallCaps/>
        <w:color w:val="000000"/>
        <w:sz w:val="24"/>
        <w:szCs w:val="24"/>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eastAsia="Arial" w:cs="Arial" w:ascii="Arial" w:hAnsi="Arial"/>
        <w:smallCaps/>
        <w:color w:val="000000"/>
        <w:sz w:val="24"/>
        <w:szCs w:val="24"/>
      </w:rPr>
      <w:t>CURRICULUM VITAE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23" w:hanging="360"/>
      </w:pPr>
      <w:rPr>
        <w:rFonts w:ascii="Noto Sans Symbols" w:hAnsi="Noto Sans Symbols" w:cs="Noto Sans Symbols" w:hint="default"/>
        <w:sz w:val="18"/>
        <w:rFonts w:cs="Noto Sans Symbols"/>
      </w:rPr>
    </w:lvl>
    <w:lvl w:ilvl="1">
      <w:start w:val="1"/>
      <w:numFmt w:val="bullet"/>
      <w:lvlText w:val="o"/>
      <w:lvlJc w:val="left"/>
      <w:pPr>
        <w:ind w:left="-403" w:hanging="360"/>
      </w:pPr>
      <w:rPr>
        <w:rFonts w:ascii="Courier New" w:hAnsi="Courier New" w:cs="Courier New" w:hint="default"/>
        <w:rFonts w:cs="Courier New"/>
      </w:rPr>
    </w:lvl>
    <w:lvl w:ilvl="2">
      <w:start w:val="1"/>
      <w:numFmt w:val="bullet"/>
      <w:lvlText w:val="▪"/>
      <w:lvlJc w:val="left"/>
      <w:pPr>
        <w:ind w:left="317" w:hanging="360"/>
      </w:pPr>
      <w:rPr>
        <w:rFonts w:ascii="Noto Sans Symbols" w:hAnsi="Noto Sans Symbols" w:cs="Noto Sans Symbols" w:hint="default"/>
        <w:rFonts w:cs="Noto Sans Symbols"/>
      </w:rPr>
    </w:lvl>
    <w:lvl w:ilvl="3">
      <w:start w:val="1"/>
      <w:numFmt w:val="bullet"/>
      <w:lvlText w:val="●"/>
      <w:lvlJc w:val="left"/>
      <w:pPr>
        <w:ind w:left="1037" w:hanging="360"/>
      </w:pPr>
      <w:rPr>
        <w:rFonts w:ascii="Noto Sans Symbols" w:hAnsi="Noto Sans Symbols" w:cs="Noto Sans Symbols" w:hint="default"/>
        <w:rFonts w:cs="Noto Sans Symbols"/>
      </w:rPr>
    </w:lvl>
    <w:lvl w:ilvl="4">
      <w:start w:val="1"/>
      <w:numFmt w:val="bullet"/>
      <w:lvlText w:val="o"/>
      <w:lvlJc w:val="left"/>
      <w:pPr>
        <w:ind w:left="1757" w:hanging="360"/>
      </w:pPr>
      <w:rPr>
        <w:rFonts w:ascii="Courier New" w:hAnsi="Courier New" w:cs="Courier New" w:hint="default"/>
        <w:rFonts w:cs="Courier New"/>
      </w:rPr>
    </w:lvl>
    <w:lvl w:ilvl="5">
      <w:start w:val="1"/>
      <w:numFmt w:val="bullet"/>
      <w:lvlText w:val="▪"/>
      <w:lvlJc w:val="left"/>
      <w:pPr>
        <w:ind w:left="2477" w:hanging="360"/>
      </w:pPr>
      <w:rPr>
        <w:rFonts w:ascii="Noto Sans Symbols" w:hAnsi="Noto Sans Symbols" w:cs="Noto Sans Symbols" w:hint="default"/>
        <w:rFonts w:cs="Noto Sans Symbols"/>
      </w:rPr>
    </w:lvl>
    <w:lvl w:ilvl="6">
      <w:start w:val="1"/>
      <w:numFmt w:val="bullet"/>
      <w:lvlText w:val="●"/>
      <w:lvlJc w:val="left"/>
      <w:pPr>
        <w:ind w:left="3197" w:hanging="360"/>
      </w:pPr>
      <w:rPr>
        <w:rFonts w:ascii="Noto Sans Symbols" w:hAnsi="Noto Sans Symbols" w:cs="Noto Sans Symbols" w:hint="default"/>
        <w:rFonts w:cs="Noto Sans Symbols"/>
      </w:rPr>
    </w:lvl>
    <w:lvl w:ilvl="7">
      <w:start w:val="1"/>
      <w:numFmt w:val="bullet"/>
      <w:lvlText w:val="o"/>
      <w:lvlJc w:val="left"/>
      <w:pPr>
        <w:ind w:left="3917" w:hanging="360"/>
      </w:pPr>
      <w:rPr>
        <w:rFonts w:ascii="Courier New" w:hAnsi="Courier New" w:cs="Courier New" w:hint="default"/>
        <w:rFonts w:cs="Courier New"/>
      </w:rPr>
    </w:lvl>
    <w:lvl w:ilvl="8">
      <w:start w:val="1"/>
      <w:numFmt w:val="bullet"/>
      <w:lvlText w:val="▪"/>
      <w:lvlJc w:val="left"/>
      <w:pPr>
        <w:ind w:left="4637"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ind w:left="142" w:hanging="0"/>
      <w:jc w:val="both"/>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Noto Sans Symbols" w:cs="Noto Sans Symbols"/>
      <w:sz w:val="1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Calibri" w:hAnsi="Calibri" w:eastAsia="Calibri" w:cs="Calibri"/>
      <w:color w:val="0000FF"/>
      <w:sz w:val="18"/>
      <w:szCs w:val="1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mmings_steve@hot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LibreOffice/6.2.6.2$Linux_X86_64 LibreOffice_project/93e3be01c591ba6e7311e581ba65aae4a8cb3de2</Application>
  <Pages>5</Pages>
  <Words>2095</Words>
  <Characters>11942</Characters>
  <CharactersWithSpaces>14009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2019-11-11T11:48:00Z</dcterms:created>
  <dc:creator>Steve Cummings</dc:creator>
  <dc:description/>
  <dc:language>en-US</dc:language>
  <cp:lastModifiedBy/>
  <dcterms:modified xsi:type="dcterms:W3CDTF">2019-11-11T12:25:49Z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