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right="-442" w:hanging="0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Barry Critchley</w:t>
      </w:r>
    </w:p>
    <w:p>
      <w:pPr>
        <w:pStyle w:val="Normal"/>
        <w:ind w:left="-540" w:right="-442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St Helens</w:t>
      </w:r>
    </w:p>
    <w:p>
      <w:pPr>
        <w:pStyle w:val="Normal"/>
        <w:ind w:left="-540" w:right="-442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Telephone: 01270 368655 Mobile: 07580 510322</w:t>
      </w:r>
    </w:p>
    <w:p>
      <w:pPr>
        <w:pStyle w:val="Normal"/>
        <w:ind w:left="-540" w:right="-442" w:hanging="0"/>
        <w:jc w:val="center"/>
        <w:rPr/>
      </w:pPr>
      <w:r>
        <w:rPr>
          <w:rFonts w:cs="Arial" w:ascii="Arial" w:hAnsi="Arial"/>
          <w:sz w:val="22"/>
          <w:szCs w:val="22"/>
        </w:rPr>
        <w:t xml:space="preserve">Email: </w:t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barry.critchley20@talktalk.net</w:t>
        </w:r>
      </w:hyperlink>
    </w:p>
    <w:p>
      <w:pPr>
        <w:pStyle w:val="Normal"/>
        <w:ind w:left="-540"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 have a professional, practical and organised approach to my work.  I work well under pressure both as a leader and taking direction, working well on my own initiative.  I am flexible in my approach to work and I am very happy to take on any necessary training in order to carry out my duties.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Completed first year of study towards my degree from the University of Derby in person centered counselling through South Cheshire College.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40" w:right="-442" w:hanging="0"/>
        <w:rPr>
          <w:rFonts w:ascii="Arial" w:hAnsi="Arial" w:cs="Arial"/>
          <w:b/>
          <w:b/>
          <w:bCs/>
          <w:i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As a person who has first-hand experience of person centred caring services for a dependent, I have a wealth of experience in the care of vulnerable people.</w:t>
      </w:r>
    </w:p>
    <w:p>
      <w:pPr>
        <w:pStyle w:val="Normal"/>
        <w:ind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Extensive experience</w:t>
      </w:r>
    </w:p>
    <w:tbl>
      <w:tblPr>
        <w:tblW w:w="10260" w:type="dxa"/>
        <w:jc w:val="left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769"/>
        <w:gridCol w:w="5490"/>
      </w:tblGrid>
      <w:tr>
        <w:trPr/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Microsoft  Office 2013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VMWare (Cloud Infrastructure)</w:t>
            </w:r>
          </w:p>
        </w:tc>
      </w:tr>
      <w:tr>
        <w:trPr/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Microsoft Office 365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Ericsson Telephony Solutions </w:t>
            </w:r>
          </w:p>
        </w:tc>
      </w:tr>
      <w:tr>
        <w:trPr/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Active Directory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Avaya Telephony Solutions</w:t>
            </w:r>
          </w:p>
        </w:tc>
      </w:tr>
      <w:tr>
        <w:trPr>
          <w:trHeight w:val="611" w:hRule="atLeast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Atlassian/Vivadesk/Assyst/Manage Engine</w:t>
            </w:r>
          </w:p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Servicedesk tools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Wyse terminals</w:t>
            </w:r>
          </w:p>
        </w:tc>
      </w:tr>
      <w:tr>
        <w:trPr/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Citrix XenApps support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Citrix Desktop support</w:t>
            </w:r>
          </w:p>
        </w:tc>
      </w:tr>
      <w:tr>
        <w:trPr/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Person Centred Counselling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460" w:leader="none"/>
              </w:tabs>
              <w:ind w:right="-442" w:hanging="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ind w:left="-540"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40"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POINTS / KEY ACHIEVEMENTS:</w:t>
      </w:r>
    </w:p>
    <w:p>
      <w:pPr>
        <w:pStyle w:val="Normal"/>
        <w:ind w:right="-442" w:hanging="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-360" w:leader="none"/>
        </w:tabs>
        <w:ind w:left="270" w:right="-442" w:hanging="90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Customer focussed to provide exceptional customer service delivering the best possible outcome.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-360" w:leader="none"/>
        </w:tabs>
        <w:ind w:left="-360" w:right="-442" w:hanging="27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Process and procedure driven, striving to develop standardised processes within teams allowing   greater resource flexibility throughout businesses.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-360" w:leader="none"/>
        </w:tabs>
        <w:ind w:left="-360" w:right="-442" w:hanging="27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Excellent Change Management skills, understanding the change journey and the importance of promoting positive movement to ensure smooth sustainable transitions within teams.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-360" w:leader="none"/>
        </w:tabs>
        <w:ind w:left="270" w:right="-442" w:hanging="90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Expert problem solver gaining an understanding of issues and coaching teams to reach solutions.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-360" w:leader="none"/>
        </w:tabs>
        <w:ind w:left="270" w:right="-442" w:hanging="900"/>
        <w:rPr>
          <w:rFonts w:ascii="Arial" w:hAnsi="Arial" w:cs="Arial"/>
          <w:b/>
          <w:b/>
          <w:iCs/>
          <w:sz w:val="22"/>
          <w:szCs w:val="22"/>
          <w:u w:val="single"/>
        </w:rPr>
      </w:pPr>
      <w:r>
        <w:rPr>
          <w:rFonts w:cs="Arial" w:ascii="Arial" w:hAnsi="Arial"/>
          <w:bCs/>
          <w:iCs/>
          <w:sz w:val="22"/>
          <w:szCs w:val="22"/>
        </w:rPr>
        <w:t>Decisive and incisive making informed decisions where appropriate ensuring the best possible result.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-360" w:leader="none"/>
          <w:tab w:val="left" w:pos="1843" w:leader="none"/>
          <w:tab w:val="left" w:pos="9000" w:leader="none"/>
        </w:tabs>
        <w:ind w:left="-360" w:right="-442" w:hanging="27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>Awarded</w:t>
      </w:r>
      <w:r>
        <w:rPr>
          <w:rFonts w:cs="Arial" w:ascii="Arial" w:hAnsi="Arial"/>
          <w:b/>
          <w:iCs/>
          <w:sz w:val="22"/>
          <w:szCs w:val="22"/>
        </w:rPr>
        <w:t xml:space="preserve"> </w:t>
      </w:r>
      <w:r>
        <w:rPr>
          <w:rFonts w:cs="Arial" w:ascii="Arial" w:hAnsi="Arial"/>
          <w:iCs/>
          <w:sz w:val="22"/>
          <w:szCs w:val="22"/>
        </w:rPr>
        <w:t xml:space="preserve">Network Rail’s highest accolade “Can do Will do” award for outstanding contribution in the delivery of a first class service centre. 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-360" w:leader="none"/>
          <w:tab w:val="left" w:pos="1843" w:leader="none"/>
          <w:tab w:val="left" w:pos="9000" w:leader="none"/>
        </w:tabs>
        <w:ind w:left="-360" w:right="-442" w:hanging="27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>Ability to understand ideas quickly and practically apply within the confines of legislation.</w:t>
      </w:r>
    </w:p>
    <w:p>
      <w:pPr>
        <w:pStyle w:val="Normal"/>
        <w:tabs>
          <w:tab w:val="clear" w:pos="709"/>
          <w:tab w:val="left" w:pos="-360" w:leader="none"/>
          <w:tab w:val="left" w:pos="1843" w:leader="none"/>
          <w:tab w:val="left" w:pos="9000" w:leader="none"/>
        </w:tabs>
        <w:ind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  <w:tab w:val="left" w:pos="1843" w:leader="none"/>
          <w:tab w:val="left" w:pos="9000" w:leader="none"/>
        </w:tabs>
        <w:ind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tabs>
          <w:tab w:val="clear" w:pos="709"/>
          <w:tab w:val="left" w:pos="1843" w:leader="none"/>
          <w:tab w:val="left" w:pos="9000" w:leader="none"/>
        </w:tabs>
        <w:ind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40" w:right="-442" w:hanging="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CAREER HISTORY:</w:t>
      </w:r>
    </w:p>
    <w:p>
      <w:pPr>
        <w:pStyle w:val="Normal"/>
        <w:ind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Trak Global Telematics Solutions</w:t>
        <w:tab/>
        <w:tab/>
        <w:tab/>
        <w:t>Systems Administrator</w:t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January 2019 – Present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First point of contact for system defects, analysing and assigning to resolver groups.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Input of information to cross service providers.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Ensuring all information is correct and evidenced when assigning to resolver groups.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Management of third party system providers in meeting SLA’s.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Providing reports to senior management on service performance.</w:t>
      </w:r>
    </w:p>
    <w:p>
      <w:pPr>
        <w:pStyle w:val="ListParagraph"/>
        <w:numPr>
          <w:ilvl w:val="0"/>
          <w:numId w:val="7"/>
        </w:numPr>
        <w:ind w:left="-540" w:right="-442" w:hanging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Scheduling of test and release of solutions to live systems.</w:t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Carrot Insurance Solutions</w:t>
        <w:tab/>
        <w:tab/>
        <w:tab/>
        <w:tab/>
        <w:t>Claims and Risk manager</w:t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March 2017 – January2019 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Registering detailed car insurance claims for young drivers.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Empathetically understanding emotional young drivers who had been involved in road traffic accidents.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Helping financially vulnerable young drivers with finance of their annual car insurance costs.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Taking payments for Insurance premiums.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Advising young drivers on how they can improve their driving skills.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Understanding technical data, evidencing location data for Fault/Non-Fault claims.</w:t>
      </w:r>
    </w:p>
    <w:p>
      <w:pPr>
        <w:pStyle w:val="ListParagraph"/>
        <w:numPr>
          <w:ilvl w:val="0"/>
          <w:numId w:val="6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Communicating with parents on the poor driving scores of young drivers. </w:t>
      </w:r>
    </w:p>
    <w:p>
      <w:pPr>
        <w:pStyle w:val="Normal"/>
        <w:ind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Avios Ltd</w:t>
        <w:tab/>
        <w:tab/>
        <w:tab/>
        <w:tab/>
        <w:tab/>
        <w:tab/>
        <w:tab/>
        <w:t>IT Servicedesk Transition support</w:t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(May 2016-December 2016)</w:t>
      </w:r>
    </w:p>
    <w:p>
      <w:pPr>
        <w:pStyle w:val="ListParagraph"/>
        <w:numPr>
          <w:ilvl w:val="0"/>
          <w:numId w:val="4"/>
        </w:numPr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Supporting the transition of IT Support services to 3</w:t>
      </w:r>
      <w:r>
        <w:rPr>
          <w:rFonts w:cs="Arial" w:ascii="Arial" w:hAnsi="Arial"/>
          <w:sz w:val="22"/>
          <w:szCs w:val="22"/>
          <w:vertAlign w:val="superscript"/>
        </w:rPr>
        <w:t>rd</w:t>
      </w:r>
      <w:r>
        <w:rPr>
          <w:rFonts w:cs="Arial" w:ascii="Arial" w:hAnsi="Arial"/>
          <w:sz w:val="22"/>
          <w:szCs w:val="22"/>
        </w:rPr>
        <w:t xml:space="preserve"> party Service management provider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9000" w:leader="none"/>
        </w:tabs>
        <w:ind w:left="-540" w:right="-442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Providing first line support to 750 IT business users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-851" w:leader="none"/>
          <w:tab w:val="left" w:pos="-567" w:leader="none"/>
        </w:tabs>
        <w:ind w:left="270" w:right="-442" w:hanging="117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Logging requests and queries submitted via telephone or IT Portal.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-851" w:leader="none"/>
          <w:tab w:val="left" w:pos="-567" w:leader="none"/>
        </w:tabs>
        <w:ind w:left="270" w:right="-442" w:hanging="117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Resolution of 1st line issues to agreed SLA's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-851" w:leader="none"/>
          <w:tab w:val="left" w:pos="-567" w:leader="none"/>
        </w:tabs>
        <w:ind w:left="270" w:right="-442" w:hanging="117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Account administration.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-851" w:leader="none"/>
          <w:tab w:val="left" w:pos="-567" w:leader="none"/>
        </w:tabs>
        <w:ind w:left="270" w:right="-442" w:hanging="117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Office 365 support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-851" w:leader="none"/>
          <w:tab w:val="left" w:pos="-567" w:leader="none"/>
        </w:tabs>
        <w:ind w:left="270" w:right="-442" w:hanging="117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Resolving Microsoft Outlook and Lotus Notes email issues</w:t>
      </w:r>
    </w:p>
    <w:p>
      <w:pPr>
        <w:pStyle w:val="Normal"/>
        <w:tabs>
          <w:tab w:val="clear" w:pos="709"/>
          <w:tab w:val="left" w:pos="-851" w:leader="none"/>
          <w:tab w:val="left" w:pos="-567" w:leader="none"/>
        </w:tabs>
        <w:ind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Radius Payment Solutions</w:t>
        <w:tab/>
        <w:t xml:space="preserve">                         IT Service Support Manager</w:t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(May 2014-November 2015)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Selection, procurement and configuration of an ITSM Servicedesk tool including self-service feature.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 and implementation of an IT Servicedesk including resource planning and recruitment of a team of Servicedesk/incident managers.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Implementation of an incident management process providing end to end service of faults and requests through SLA’s to measure performance against realistic initial targets.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540" w:leader="none"/>
          <w:tab w:val="left" w:pos="1418" w:leader="none"/>
          <w:tab w:val="left" w:pos="1843" w:leader="none"/>
        </w:tabs>
        <w:ind w:left="-567" w:right="-442" w:hanging="333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>Administration,</w:t>
      </w:r>
      <w:r>
        <w:rPr>
          <w:rFonts w:cs="Arial" w:ascii="Arial" w:hAnsi="Arial"/>
          <w:b/>
          <w:iCs/>
          <w:sz w:val="22"/>
          <w:szCs w:val="22"/>
        </w:rPr>
        <w:t xml:space="preserve"> </w:t>
      </w:r>
      <w:r>
        <w:rPr>
          <w:rFonts w:cs="Arial" w:ascii="Arial" w:hAnsi="Arial"/>
          <w:iCs/>
          <w:sz w:val="22"/>
          <w:szCs w:val="22"/>
        </w:rPr>
        <w:t xml:space="preserve">organisation and management of a rapidly growing Avaya IP office 500v2 telephony solution covering UK, Ireland and 17 European offices. Maintaining availability during core business hours.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Alignment of support services including infrastructure and development functions.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Provision of support services to 17 remote European offices including ROI and 12 UK offices.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851" w:leader="none"/>
          <w:tab w:val="left" w:pos="-567" w:leader="none"/>
        </w:tabs>
        <w:ind w:left="-567" w:right="-442" w:hanging="284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Implementation of an IT procurement function improving ordering through 3</w:t>
      </w:r>
      <w:r>
        <w:rPr>
          <w:rFonts w:cs="Arial" w:ascii="Arial" w:hAnsi="Arial"/>
          <w:sz w:val="22"/>
          <w:szCs w:val="22"/>
          <w:vertAlign w:val="superscript"/>
        </w:rPr>
        <w:t>rd</w:t>
      </w:r>
      <w:r>
        <w:rPr>
          <w:rFonts w:cs="Arial" w:ascii="Arial" w:hAnsi="Arial"/>
          <w:sz w:val="22"/>
          <w:szCs w:val="22"/>
        </w:rPr>
        <w:t xml:space="preserve"> party suppliers reducing </w:t>
      </w:r>
    </w:p>
    <w:p>
      <w:pPr>
        <w:pStyle w:val="Normal"/>
        <w:tabs>
          <w:tab w:val="clear" w:pos="709"/>
          <w:tab w:val="left" w:pos="-567" w:leader="none"/>
        </w:tabs>
        <w:ind w:left="-567"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delivery times from two weeks to five days.</w:t>
      </w:r>
    </w:p>
    <w:p>
      <w:pPr>
        <w:pStyle w:val="Normal"/>
        <w:tabs>
          <w:tab w:val="clear" w:pos="709"/>
          <w:tab w:val="left" w:pos="9000" w:leader="none"/>
        </w:tabs>
        <w:ind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5040" w:right="-442" w:hanging="558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Lancashire County Council                                     2013           Service Delivery Manager</w:t>
      </w:r>
    </w:p>
    <w:p>
      <w:pPr>
        <w:pStyle w:val="Normal"/>
        <w:ind w:left="-540" w:right="-4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AI Claims Solutions</w:t>
      </w:r>
      <w:r>
        <w:rPr>
          <w:rFonts w:cs="Arial" w:ascii="Arial" w:hAnsi="Arial"/>
          <w:sz w:val="22"/>
          <w:szCs w:val="22"/>
        </w:rPr>
        <w:t xml:space="preserve"> – </w:t>
      </w:r>
      <w:r>
        <w:rPr>
          <w:rFonts w:cs="Arial" w:ascii="Arial" w:hAnsi="Arial"/>
          <w:b/>
          <w:sz w:val="22"/>
          <w:szCs w:val="22"/>
        </w:rPr>
        <w:t>Contract</w:t>
        <w:tab/>
        <w:tab/>
        <w:tab/>
        <w:t xml:space="preserve">    2012   </w:t>
        <w:tab/>
        <w:t xml:space="preserve">Service Level Manager </w:t>
      </w:r>
    </w:p>
    <w:p>
      <w:pPr>
        <w:pStyle w:val="Normal"/>
        <w:ind w:left="-851" w:right="-442" w:firstLine="284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Network Rail 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</w:rPr>
        <w:t>2005–2011</w:t>
        <w:tab/>
        <w:t xml:space="preserve">Project Manager      </w:t>
      </w:r>
      <w:r>
        <w:rPr>
          <w:rFonts w:cs="Arial" w:ascii="Arial" w:hAnsi="Arial"/>
          <w:b/>
          <w:sz w:val="22"/>
          <w:szCs w:val="22"/>
        </w:rPr>
        <w:t xml:space="preserve">            </w:t>
      </w:r>
    </w:p>
    <w:p>
      <w:pPr>
        <w:pStyle w:val="Normal"/>
        <w:ind w:left="-851" w:right="-442" w:firstLine="284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Network Rail (Track and Signalling provider)        2004-2011 </w:t>
        <w:tab/>
        <w:t xml:space="preserve">Service Delivery Manager </w:t>
      </w:r>
    </w:p>
    <w:p>
      <w:pPr>
        <w:pStyle w:val="Normal"/>
        <w:ind w:left="-851" w:right="-442" w:firstLine="284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Railtrack (Unisys Outsourced Service provider)   2000-2004 </w:t>
        <w:tab/>
        <w:t xml:space="preserve">Team Leader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2292" w:leader="none"/>
        </w:tabs>
        <w:ind w:left="-540"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XKO Isle of Man                                                        2000 Team</w:t>
        <w:tab/>
        <w:t xml:space="preserve"> Leader (3 Month Contract)               Royal Liver Assurance</w:t>
        <w:tab/>
        <w:tab/>
        <w:t xml:space="preserve">                           1999 Team </w:t>
        <w:tab/>
        <w:t xml:space="preserve"> Leader (6 Week Contract) </w:t>
      </w:r>
    </w:p>
    <w:p>
      <w:pPr>
        <w:pStyle w:val="Normal"/>
        <w:tabs>
          <w:tab w:val="clear" w:pos="709"/>
          <w:tab w:val="left" w:pos="-540" w:leader="none"/>
          <w:tab w:val="left" w:pos="72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Littlewoods </w:t>
      </w:r>
      <w:r>
        <w:rPr>
          <w:rFonts w:cs="Arial" w:ascii="Arial" w:hAnsi="Arial"/>
          <w:sz w:val="22"/>
          <w:szCs w:val="22"/>
        </w:rPr>
        <w:t xml:space="preserve">                    </w:t>
      </w:r>
      <w:r>
        <w:rPr>
          <w:rFonts w:cs="Arial" w:ascii="Arial" w:hAnsi="Arial"/>
          <w:b/>
          <w:bCs/>
          <w:sz w:val="22"/>
          <w:szCs w:val="22"/>
        </w:rPr>
        <w:tab/>
        <w:t xml:space="preserve">                                       1999 Team </w:t>
        <w:tab/>
        <w:t xml:space="preserve"> Leader (9 Month Contract)</w:t>
      </w:r>
    </w:p>
    <w:p>
      <w:pPr>
        <w:pStyle w:val="Normal"/>
        <w:tabs>
          <w:tab w:val="clear" w:pos="709"/>
          <w:tab w:val="left" w:pos="-540" w:leader="none"/>
          <w:tab w:val="left" w:pos="72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Rail freight Distribution          </w:t>
        <w:tab/>
        <w:tab/>
        <w:tab/>
        <w:t xml:space="preserve">    1989-1998   Stores Supervisor</w:t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Royal Air Force                    </w:t>
        <w:tab/>
        <w:tab/>
        <w:tab/>
        <w:t xml:space="preserve">    1982-1988   Senior Aircraftsmen</w:t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left" w:pos="-54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EDUCATION, TRAINING AND QUALIFICATIONS:</w:t>
      </w:r>
    </w:p>
    <w:p>
      <w:pPr>
        <w:pStyle w:val="Normal"/>
        <w:ind w:left="-540" w:right="-4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Introduction to Counselling level 2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Person Centred Counselling Level 3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Prince2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ITIL Service Management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ITIL Practitioner Certified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 xml:space="preserve">ITIL Foundation Certified 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Microsoft Outlook specialist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NVQ level 3 Microsoft Windows technology implementation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NVQ level 3 Microsoft Windows Office implementation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INTERESTS: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 xml:space="preserve">Rugby League 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Rugby Union (Under 14’s through to Under 16’s Coach)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Darts</w:t>
      </w:r>
      <w:bookmarkStart w:id="0" w:name="_GoBack"/>
      <w:bookmarkEnd w:id="0"/>
      <w:r>
        <w:rPr>
          <w:rFonts w:cs="Arial" w:ascii="Arial" w:hAnsi="Arial"/>
          <w:bCs/>
          <w:iCs/>
          <w:sz w:val="22"/>
          <w:szCs w:val="22"/>
        </w:rPr>
        <w:t xml:space="preserve">  </w:t>
      </w:r>
    </w:p>
    <w:p>
      <w:pPr>
        <w:pStyle w:val="Normal"/>
        <w:ind w:left="-851" w:right="-442" w:firstLine="284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>Cooking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460" w:leader="none"/>
        </w:tabs>
        <w:ind w:left="-540" w:right="-442" w:hanging="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418" w:right="1418" w:header="1134" w:top="1693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ill Sans">
    <w:charset w:val="01"/>
    <w:family w:val="roman"/>
    <w:pitch w:val="variable"/>
  </w:font>
  <w:font w:name="Myriad Pro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2600"/>
        </w:tabs>
        <w:ind w:left="12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4760"/>
        </w:tabs>
        <w:ind w:left="14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2600"/>
        </w:tabs>
        <w:ind w:left="12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4760"/>
        </w:tabs>
        <w:ind w:left="14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19af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d64a4f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484151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64a4f"/>
    <w:rPr>
      <w:b/>
      <w:bCs/>
      <w:kern w:val="2"/>
      <w:sz w:val="48"/>
      <w:szCs w:val="4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a59a3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b w:val="false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b w:val="false"/>
    </w:rPr>
  </w:style>
  <w:style w:type="character" w:styleId="ListLabel39">
    <w:name w:val="ListLabel 39"/>
    <w:qFormat/>
    <w:rPr>
      <w:b w:val="false"/>
    </w:rPr>
  </w:style>
  <w:style w:type="character" w:styleId="ListLabel40">
    <w:name w:val="ListLabel 40"/>
    <w:qFormat/>
    <w:rPr>
      <w:b w:val="false"/>
    </w:rPr>
  </w:style>
  <w:style w:type="character" w:styleId="ListLabel41">
    <w:name w:val="ListLabel 41"/>
    <w:qFormat/>
    <w:rPr>
      <w:b w:val="false"/>
    </w:rPr>
  </w:style>
  <w:style w:type="character" w:styleId="ListLabel42">
    <w:name w:val="ListLabel 42"/>
    <w:qFormat/>
    <w:rPr>
      <w:b w:val="false"/>
    </w:rPr>
  </w:style>
  <w:style w:type="character" w:styleId="ListLabel43">
    <w:name w:val="ListLabel 43"/>
    <w:qFormat/>
    <w:rPr>
      <w:b w:val="false"/>
    </w:rPr>
  </w:style>
  <w:style w:type="character" w:styleId="ListLabel44">
    <w:name w:val="ListLabel 44"/>
    <w:qFormat/>
    <w:rPr>
      <w:b w:val="false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ascii="Arial" w:hAnsi="Arial" w:cs="Aria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KeyAccountabilities" w:customStyle="1">
    <w:name w:val="Key Accountabilities"/>
    <w:qFormat/>
    <w:rsid w:val="00217a51"/>
    <w:pPr>
      <w:widowControl/>
      <w:tabs>
        <w:tab w:val="clear" w:pos="709"/>
        <w:tab w:val="left" w:pos="720" w:leader="none"/>
      </w:tabs>
      <w:kinsoku w:val="true"/>
      <w:overflowPunct w:val="true"/>
      <w:autoSpaceDE w:val="true"/>
      <w:bidi w:val="0"/>
      <w:spacing w:before="60" w:after="60"/>
      <w:ind w:left="720" w:hanging="360"/>
      <w:jc w:val="left"/>
    </w:pPr>
    <w:rPr>
      <w:rFonts w:ascii="Gill Sans" w:hAnsi="Gill Sans" w:eastAsia="DejaVu Sans" w:cs="Denemo"/>
      <w:color w:val="auto"/>
      <w:kern w:val="0"/>
      <w:sz w:val="22"/>
      <w:szCs w:val="24"/>
      <w:lang w:eastAsia="en-US" w:val="en-GB" w:bidi="hi-IN"/>
    </w:rPr>
  </w:style>
  <w:style w:type="paragraph" w:styleId="ListParagraph">
    <w:name w:val="List Paragraph"/>
    <w:basedOn w:val="Normal"/>
    <w:uiPriority w:val="34"/>
    <w:qFormat/>
    <w:rsid w:val="002704b7"/>
    <w:pPr>
      <w:ind w:left="720" w:hanging="0"/>
    </w:pPr>
    <w:rPr/>
  </w:style>
  <w:style w:type="paragraph" w:styleId="Default" w:customStyle="1">
    <w:name w:val="Default"/>
    <w:qFormat/>
    <w:rsid w:val="00bb51a0"/>
    <w:pPr>
      <w:widowControl/>
      <w:kinsoku w:val="true"/>
      <w:overflowPunct w:val="true"/>
      <w:autoSpaceDE w:val="true"/>
      <w:bidi w:val="0"/>
      <w:jc w:val="left"/>
    </w:pPr>
    <w:rPr>
      <w:rFonts w:ascii="Myriad Pro" w:hAnsi="Myriad Pro" w:cs="Myriad Pro" w:eastAsia="DejaVu Sans"/>
      <w:color w:val="000000"/>
      <w:kern w:val="0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unhideWhenUsed/>
    <w:qFormat/>
    <w:rsid w:val="00c74f89"/>
    <w:pPr>
      <w:spacing w:beforeAutospacing="1" w:after="144"/>
    </w:pPr>
    <w:rPr>
      <w:color w:val="494949"/>
    </w:rPr>
  </w:style>
  <w:style w:type="paragraph" w:styleId="NoSpacing">
    <w:name w:val="No Spacing"/>
    <w:uiPriority w:val="1"/>
    <w:qFormat/>
    <w:rsid w:val="00a862d6"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Denemo"/>
      <w:color w:val="auto"/>
      <w:kern w:val="0"/>
      <w:sz w:val="22"/>
      <w:szCs w:val="22"/>
      <w:lang w:eastAsia="en-US" w:val="en-GB" w:bidi="hi-IN"/>
    </w:rPr>
  </w:style>
  <w:style w:type="paragraph" w:styleId="BalloonText">
    <w:name w:val="Balloon Text"/>
    <w:basedOn w:val="Normal"/>
    <w:link w:val="BalloonTextChar"/>
    <w:semiHidden/>
    <w:unhideWhenUsed/>
    <w:qFormat/>
    <w:rsid w:val="006a59a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35" w:leader="none"/>
        <w:tab w:val="right" w:pos="907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63a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rry.critchley20@talktalk.net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Application>LibreOffice/6.2.6.2$Linux_X86_64 LibreOffice_project/93e3be01c591ba6e7311e581ba65aae4a8cb3de2</Application>
  <Pages>3</Pages>
  <Words>897</Words>
  <Characters>5119</Characters>
  <CharactersWithSpaces>6004</CharactersWithSpaces>
  <Paragraphs>12</Paragraphs>
  <Company>My Own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2017-01-31T09:38:00Z</dcterms:created>
  <dc:creator>Barry</dc:creator>
  <dc:description/>
  <dc:language>en-US</dc:language>
  <cp:lastModifiedBy/>
  <cp:lastPrinted>2016-11-22T10:48:00Z</cp:lastPrinted>
  <dcterms:modified xsi:type="dcterms:W3CDTF">2019-09-29T09:02:26Z</dcterms:modified>
  <cp:revision>33</cp:revision>
  <dc:subject/>
  <dc:title>OBJECTIVE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My Own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