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1x48fhd7rc92"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Document</w:t>
      </w:r>
      <w:r w:rsidDel="00000000" w:rsidR="00000000" w:rsidRPr="00000000">
        <w:rPr>
          <w:rtl w:val="0"/>
        </w:rPr>
      </w:r>
    </w:p>
    <w:p w:rsidR="00000000" w:rsidDel="00000000" w:rsidP="00000000" w:rsidRDefault="00000000" w:rsidRPr="00000000" w14:paraId="00000002">
      <w:pPr>
        <w:pStyle w:val="Heading1"/>
        <w:spacing w:after="120" w:before="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AI Trust Deficit: Workday AI Adoption &amp; Revenue</w:t>
      </w:r>
      <w:r w:rsidDel="00000000" w:rsidR="00000000" w:rsidRPr="00000000">
        <w:rPr>
          <w:rtl w:val="0"/>
        </w:rPr>
      </w:r>
    </w:p>
    <w:p w:rsidR="00000000" w:rsidDel="00000000" w:rsidP="00000000" w:rsidRDefault="00000000" w:rsidRPr="00000000" w14:paraId="00000003">
      <w:pPr>
        <w:pStyle w:val="Heading3"/>
        <w:spacing w:after="120" w:before="0" w:line="276" w:lineRule="auto"/>
        <w:rPr>
          <w:rFonts w:ascii="Inter" w:cs="Inter" w:eastAsia="Inter" w:hAnsi="Inter"/>
          <w:color w:val="434343"/>
        </w:rPr>
      </w:pPr>
      <w:commentRangeStart w:id="0"/>
      <w:r w:rsidDel="00000000" w:rsidR="00000000" w:rsidRPr="00000000">
        <w:rPr>
          <w:rFonts w:ascii="Inter" w:cs="Inter" w:eastAsia="Inter" w:hAnsi="Inter"/>
          <w:color w:val="434343"/>
          <w:rtl w:val="0"/>
        </w:rPr>
        <w:t xml:space="preserve">Bottom Line Upfront (BLUF)</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12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Our ability to hit 2026 AI revenue targets is at immediate risk, not because of a lack of technical capability, but because of a widening trust deficit. Early data from our first organic agent launch (SSSA) shows a </w:t>
      </w:r>
      <w:r w:rsidDel="00000000" w:rsidR="00000000" w:rsidRPr="00000000">
        <w:rPr>
          <w:rFonts w:ascii="Inter" w:cs="Inter" w:eastAsia="Inter" w:hAnsi="Inter"/>
          <w:b w:val="1"/>
          <w:bCs w:val="1"/>
          <w:color w:val="434343"/>
          <w:rtl w:val="0"/>
        </w:rPr>
        <w:t xml:space="preserve">15.9% retention rate</w:t>
      </w:r>
      <w:r w:rsidDel="00000000" w:rsidR="00000000" w:rsidRPr="00000000">
        <w:rPr>
          <w:rFonts w:ascii="Inter" w:cs="Inter" w:eastAsia="Inter" w:hAnsi="Inter"/>
          <w:color w:val="434343"/>
          <w:rtl w:val="0"/>
        </w:rPr>
        <w:t xml:space="preserve"> and </w:t>
      </w:r>
      <w:r w:rsidDel="00000000" w:rsidR="00000000" w:rsidRPr="00000000">
        <w:rPr>
          <w:rFonts w:ascii="Inter" w:cs="Inter" w:eastAsia="Inter" w:hAnsi="Inter"/>
          <w:b w:val="1"/>
          <w:bCs w:val="1"/>
          <w:color w:val="434343"/>
          <w:rtl w:val="0"/>
        </w:rPr>
        <w:t xml:space="preserve">57.3% negative feedback</w:t>
      </w:r>
      <w:r w:rsidDel="00000000" w:rsidR="00000000" w:rsidRPr="00000000">
        <w:rPr>
          <w:rFonts w:ascii="Inter" w:cs="Inter" w:eastAsia="Inter" w:hAnsi="Inter"/>
          <w:color w:val="434343"/>
          <w:rtl w:val="0"/>
        </w:rPr>
        <w:t xml:space="preserve">. </w:t>
      </w:r>
      <w:commentRangeStart w:id="1"/>
      <w:commentRangeStart w:id="2"/>
      <w:commentRangeStart w:id="3"/>
      <w:r w:rsidDel="00000000" w:rsidR="00000000" w:rsidRPr="00000000">
        <w:rPr>
          <w:rFonts w:ascii="Inter" w:cs="Inter" w:eastAsia="Inter" w:hAnsi="Inter"/>
          <w:color w:val="434343"/>
          <w:rtl w:val="0"/>
        </w:rPr>
        <w:t xml:space="preserve">Users are trying our AI, encountering data integrity issues, and not coming back.</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Inter" w:cs="Inter" w:eastAsia="Inter" w:hAnsi="Inter"/>
          <w:color w:val="434343"/>
          <w:rtl w:val="0"/>
        </w:rPr>
        <w:t xml:space="preserve"> To protect our brand as a system of record and ensure the ROI our customers demand, we need to collectively decide on a unified minimum bar for release that prioritizes foundational reliability over rapid feature expansion.</w:t>
      </w:r>
    </w:p>
    <w:p w:rsidR="00000000" w:rsidDel="00000000" w:rsidP="00000000" w:rsidRDefault="00000000" w:rsidRPr="00000000" w14:paraId="00000005">
      <w:pPr>
        <w:pStyle w:val="Heading3"/>
        <w:spacing w:after="120" w:before="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The Reality of the Enterprise AI Lag</w:t>
      </w:r>
    </w:p>
    <w:p w:rsidR="00000000" w:rsidDel="00000000" w:rsidP="00000000" w:rsidRDefault="00000000" w:rsidRPr="00000000" w14:paraId="00000006">
      <w:pPr>
        <w:spacing w:after="12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Enterprise AI adoption is not following the consumer viral curve. </w:t>
      </w:r>
      <w:commentRangeStart w:id="4"/>
      <w:r w:rsidDel="00000000" w:rsidR="00000000" w:rsidRPr="00000000">
        <w:rPr>
          <w:rFonts w:ascii="Inter" w:cs="Inter" w:eastAsia="Inter" w:hAnsi="Inter"/>
          <w:color w:val="434343"/>
          <w:rtl w:val="0"/>
        </w:rPr>
        <w:t xml:space="preserve">Across the industry, nearly 85% of AI initiatives fail to deliver expected outcomes due to a lack of trust and technical complexity.</w:t>
      </w:r>
      <w:commentRangeEnd w:id="4"/>
      <w:r w:rsidDel="00000000" w:rsidR="00000000" w:rsidRPr="00000000">
        <w:commentReference w:id="4"/>
      </w:r>
      <w:r w:rsidDel="00000000" w:rsidR="00000000" w:rsidRPr="00000000">
        <w:rPr>
          <w:rFonts w:ascii="Inter" w:cs="Inter" w:eastAsia="Inter" w:hAnsi="Inter"/>
          <w:color w:val="434343"/>
          <w:rtl w:val="0"/>
        </w:rPr>
        <w:t xml:space="preserve"> For Workday, this is compounded by the </w:t>
      </w:r>
      <w:r w:rsidDel="00000000" w:rsidR="00000000" w:rsidRPr="00000000">
        <w:rPr>
          <w:rFonts w:ascii="Inter" w:cs="Inter" w:eastAsia="Inter" w:hAnsi="Inter"/>
          <w:b w:val="1"/>
          <w:bCs w:val="1"/>
          <w:color w:val="434343"/>
          <w:rtl w:val="0"/>
        </w:rPr>
        <w:t xml:space="preserve">Maintenance Trap</w:t>
      </w:r>
      <w:r w:rsidDel="00000000" w:rsidR="00000000" w:rsidRPr="00000000">
        <w:rPr>
          <w:rFonts w:ascii="Inter" w:cs="Inter" w:eastAsia="Inter" w:hAnsi="Inter"/>
          <w:color w:val="434343"/>
          <w:rtl w:val="0"/>
        </w:rPr>
        <w:t xml:space="preserve">: 48% of our HCM customers have only adopted 10% of available features because they are buried in "Business as Usual" maintenance.</w:t>
      </w:r>
    </w:p>
    <w:p w:rsidR="00000000" w:rsidDel="00000000" w:rsidP="00000000" w:rsidRDefault="00000000" w:rsidRPr="00000000" w14:paraId="00000007">
      <w:pPr>
        <w:spacing w:after="12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When we ask these resource-constrained customers to adopt AI, we are asking them to trust an unproven paradigm. If that paradigm fails because of inaccurate data or security loopholes, we don't just lose a user; we reinforce the idea that AI  is a risk to their operational stability.</w:t>
      </w:r>
    </w:p>
    <w:p w:rsidR="00000000" w:rsidDel="00000000" w:rsidP="00000000" w:rsidRDefault="00000000" w:rsidRPr="00000000" w14:paraId="00000008">
      <w:pPr>
        <w:pStyle w:val="Heading3"/>
        <w:spacing w:after="120" w:before="0" w:line="276" w:lineRule="auto"/>
        <w:rPr>
          <w:rFonts w:ascii="Inter" w:cs="Inter" w:eastAsia="Inter" w:hAnsi="Inter"/>
          <w:color w:val="434343"/>
        </w:rPr>
      </w:pPr>
      <w:commentRangeStart w:id="5"/>
      <w:r w:rsidDel="00000000" w:rsidR="00000000" w:rsidRPr="00000000">
        <w:rPr>
          <w:rFonts w:ascii="Inter" w:cs="Inter" w:eastAsia="Inter" w:hAnsi="Inter"/>
          <w:color w:val="434343"/>
          <w:rtl w:val="0"/>
        </w:rPr>
        <w:t xml:space="preserve">The Case Study: Lessons from SSSA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9">
      <w:pPr>
        <w:spacing w:after="240" w:before="24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The Sana Self Services Agent (SSSA) launch on March 14, 2026, serves as our baseline. While the agent is more intelligent than previous versions, deeper engagement has surfaced high-stakes risks (</w:t>
      </w:r>
      <w:r w:rsidDel="00000000" w:rsidR="00000000" w:rsidRPr="00000000">
        <w:rPr>
          <w:rFonts w:ascii="Inter" w:cs="Inter" w:eastAsia="Inter" w:hAnsi="Inter"/>
          <w:i w:val="1"/>
          <w:iCs w:val="1"/>
          <w:color w:val="434343"/>
          <w:rtl w:val="0"/>
        </w:rPr>
        <w:t xml:space="preserve">Source: WSSA Evolution March 2026 Executive Summary</w:t>
      </w:r>
      <w:r w:rsidDel="00000000" w:rsidR="00000000" w:rsidRPr="00000000">
        <w:rPr>
          <w:rFonts w:ascii="Inter" w:cs="Inter" w:eastAsia="Inter" w:hAnsi="Inter"/>
          <w:color w:val="434343"/>
          <w:rtl w:val="0"/>
        </w:rPr>
        <w:t xml:space="preserve">):</w:t>
      </w:r>
    </w:p>
    <w:p w:rsidR="00000000" w:rsidDel="00000000" w:rsidP="00000000" w:rsidRDefault="00000000" w:rsidRPr="00000000" w14:paraId="0000000A">
      <w:pPr>
        <w:numPr>
          <w:ilvl w:val="0"/>
          <w:numId w:val="14"/>
        </w:numPr>
        <w:spacing w:after="0" w:afterAutospacing="0" w:before="240" w:line="276" w:lineRule="auto"/>
        <w:ind w:left="720" w:hanging="360"/>
        <w:rPr>
          <w:rFonts w:ascii="Inter" w:cs="Inter" w:eastAsia="Inter" w:hAnsi="Inter"/>
          <w:color w:val="434343"/>
        </w:rPr>
      </w:pPr>
      <w:r w:rsidDel="00000000" w:rsidR="00000000" w:rsidRPr="00000000">
        <w:rPr>
          <w:rFonts w:ascii="Inter" w:cs="Inter" w:eastAsia="Inter" w:hAnsi="Inter"/>
          <w:b w:val="1"/>
          <w:bCs w:val="1"/>
          <w:color w:val="434343"/>
          <w:rtl w:val="0"/>
        </w:rPr>
        <w:t xml:space="preserve">Data Integrity:</w:t>
      </w:r>
      <w:r w:rsidDel="00000000" w:rsidR="00000000" w:rsidRPr="00000000">
        <w:rPr>
          <w:rFonts w:ascii="Inter" w:cs="Inter" w:eastAsia="Inter" w:hAnsi="Inter"/>
          <w:color w:val="434343"/>
          <w:rtl w:val="0"/>
        </w:rPr>
        <w:t xml:space="preserve"> "False failure" reporting is creating duplicate records and manager confusion. Updating personal data is erroneously creating new records instead of modifying existing ones.</w:t>
      </w:r>
    </w:p>
    <w:p w:rsidR="00000000" w:rsidDel="00000000" w:rsidP="00000000" w:rsidRDefault="00000000" w:rsidRPr="00000000" w14:paraId="0000000B">
      <w:pPr>
        <w:numPr>
          <w:ilvl w:val="0"/>
          <w:numId w:val="14"/>
        </w:numPr>
        <w:spacing w:after="0" w:afterAutospacing="0" w:before="0" w:beforeAutospacing="0" w:line="276" w:lineRule="auto"/>
        <w:ind w:left="720" w:hanging="360"/>
        <w:rPr>
          <w:rFonts w:ascii="Inter" w:cs="Inter" w:eastAsia="Inter" w:hAnsi="Inter"/>
          <w:color w:val="434343"/>
        </w:rPr>
      </w:pPr>
      <w:commentRangeStart w:id="6"/>
      <w:r w:rsidDel="00000000" w:rsidR="00000000" w:rsidRPr="00000000">
        <w:rPr>
          <w:rFonts w:ascii="Inter" w:cs="Inter" w:eastAsia="Inter" w:hAnsi="Inter"/>
          <w:b w:val="1"/>
          <w:bCs w:val="1"/>
          <w:color w:val="434343"/>
          <w:rtl w:val="0"/>
        </w:rPr>
        <w:t xml:space="preserve">Security:</w:t>
      </w:r>
      <w:r w:rsidDel="00000000" w:rsidR="00000000" w:rsidRPr="00000000">
        <w:rPr>
          <w:rFonts w:ascii="Inter" w:cs="Inter" w:eastAsia="Inter" w:hAnsi="Inter"/>
          <w:color w:val="434343"/>
          <w:rtl w:val="0"/>
        </w:rPr>
        <w:t xml:space="preserve"> A critical bug identified in mid-March allowed unauthorized time-off requests without proper delegation, a non-negotiable breach for an enterprise partner.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C">
      <w:pPr>
        <w:numPr>
          <w:ilvl w:val="0"/>
          <w:numId w:val="14"/>
        </w:numPr>
        <w:spacing w:after="240" w:before="0" w:beforeAutospacing="0" w:line="276" w:lineRule="auto"/>
        <w:ind w:left="720" w:hanging="360"/>
        <w:rPr>
          <w:rFonts w:ascii="Inter" w:cs="Inter" w:eastAsia="Inter" w:hAnsi="Inter"/>
          <w:color w:val="434343"/>
        </w:rPr>
      </w:pPr>
      <w:r w:rsidDel="00000000" w:rsidR="00000000" w:rsidRPr="00000000">
        <w:rPr>
          <w:rFonts w:ascii="Inter" w:cs="Inter" w:eastAsia="Inter" w:hAnsi="Inter"/>
          <w:b w:val="1"/>
          <w:bCs w:val="1"/>
          <w:color w:val="434343"/>
          <w:rtl w:val="0"/>
        </w:rPr>
        <w:t xml:space="preserve">The Quality Paradox:</w:t>
      </w:r>
      <w:r w:rsidDel="00000000" w:rsidR="00000000" w:rsidRPr="00000000">
        <w:rPr>
          <w:rFonts w:ascii="Inter" w:cs="Inter" w:eastAsia="Inter" w:hAnsi="Inter"/>
          <w:color w:val="434343"/>
          <w:rtl w:val="0"/>
        </w:rPr>
        <w:t xml:space="preserve"> As we move into high-value tasks like RSU vesting or tax breakdowns, users report significant chronological hallucinations and balance inaccuracies (</w:t>
      </w:r>
      <w:r w:rsidDel="00000000" w:rsidR="00000000" w:rsidRPr="00000000">
        <w:rPr>
          <w:rFonts w:ascii="Inter" w:cs="Inter" w:eastAsia="Inter" w:hAnsi="Inter"/>
          <w:i w:val="1"/>
          <w:iCs w:val="1"/>
          <w:color w:val="434343"/>
          <w:rtl w:val="0"/>
        </w:rPr>
        <w:t xml:space="preserve">Source: Accelya &amp; Salesforce Customer Deep Dives, Q1 2026</w:t>
      </w:r>
      <w:r w:rsidDel="00000000" w:rsidR="00000000" w:rsidRPr="00000000">
        <w:rPr>
          <w:rFonts w:ascii="Inter" w:cs="Inter" w:eastAsia="Inter" w:hAnsi="Inter"/>
          <w:color w:val="434343"/>
          <w:rtl w:val="0"/>
        </w:rPr>
        <w:t xml:space="preserve">).</w:t>
      </w:r>
    </w:p>
    <w:p w:rsidR="00000000" w:rsidDel="00000000" w:rsidP="00000000" w:rsidRDefault="00000000" w:rsidRPr="00000000" w14:paraId="0000000D">
      <w:pPr>
        <w:pStyle w:val="Heading3"/>
        <w:spacing w:after="120" w:before="0" w:line="276" w:lineRule="auto"/>
        <w:rPr>
          <w:rFonts w:ascii="Inter" w:cs="Inter" w:eastAsia="Inter" w:hAnsi="Inter"/>
          <w:color w:val="434343"/>
        </w:rPr>
      </w:pPr>
      <w:commentRangeStart w:id="7"/>
      <w:r w:rsidDel="00000000" w:rsidR="00000000" w:rsidRPr="00000000">
        <w:rPr>
          <w:rFonts w:ascii="Inter" w:cs="Inter" w:eastAsia="Inter" w:hAnsi="Inter"/>
          <w:color w:val="434343"/>
          <w:rtl w:val="0"/>
        </w:rPr>
        <w:t xml:space="preserve">The Interim Standard: Defining the Minimum Bar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E">
      <w:pPr>
        <w:spacing w:after="12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True agentic AI is a spectrum and we are currently in an interim phase. </w:t>
      </w:r>
      <w:commentRangeStart w:id="8"/>
      <w:r w:rsidDel="00000000" w:rsidR="00000000" w:rsidRPr="00000000">
        <w:rPr>
          <w:rFonts w:ascii="Inter" w:cs="Inter" w:eastAsia="Inter" w:hAnsi="Inter"/>
          <w:color w:val="434343"/>
          <w:rtl w:val="0"/>
        </w:rPr>
        <w:t xml:space="preserve">However, we cannot afford to beta test the Workday brand.</w:t>
      </w:r>
      <w:commentRangeEnd w:id="8"/>
      <w:r w:rsidDel="00000000" w:rsidR="00000000" w:rsidRPr="00000000">
        <w:commentReference w:id="8"/>
      </w:r>
      <w:r w:rsidDel="00000000" w:rsidR="00000000" w:rsidRPr="00000000">
        <w:rPr>
          <w:rFonts w:ascii="Inter" w:cs="Inter" w:eastAsia="Inter" w:hAnsi="Inter"/>
          <w:color w:val="434343"/>
          <w:rtl w:val="0"/>
        </w:rPr>
        <w:t xml:space="preserve"> To protect our standing, our collective strategy requires a rigorous minimum bar for all semi-agentic releases:</w:t>
      </w:r>
    </w:p>
    <w:p w:rsidR="00000000" w:rsidDel="00000000" w:rsidP="00000000" w:rsidRDefault="00000000" w:rsidRPr="00000000" w14:paraId="0000000F">
      <w:pPr>
        <w:numPr>
          <w:ilvl w:val="0"/>
          <w:numId w:val="9"/>
        </w:numPr>
        <w:spacing w:after="120" w:line="276" w:lineRule="auto"/>
        <w:ind w:left="600" w:hanging="360"/>
        <w:rPr>
          <w:color w:val="434343"/>
        </w:rPr>
      </w:pPr>
      <w:commentRangeStart w:id="9"/>
      <w:r w:rsidDel="00000000" w:rsidR="00000000" w:rsidRPr="00000000">
        <w:rPr>
          <w:rFonts w:ascii="Inter" w:cs="Inter" w:eastAsia="Inter" w:hAnsi="Inter"/>
          <w:b w:val="1"/>
          <w:bCs w:val="1"/>
          <w:color w:val="434343"/>
          <w:rtl w:val="0"/>
        </w:rPr>
        <w:t xml:space="preserve">Absolute Retrieval Accuracy:</w:t>
      </w:r>
      <w:r w:rsidDel="00000000" w:rsidR="00000000" w:rsidRPr="00000000">
        <w:rPr>
          <w:rFonts w:ascii="Inter" w:cs="Inter" w:eastAsia="Inter" w:hAnsi="Inter"/>
          <w:color w:val="434343"/>
          <w:rtl w:val="0"/>
        </w:rPr>
        <w:t xml:space="preserve"> Zero tolerance for hallucinations on core data (PTO, Comp, Dates). If the system isn't 100% sure, it should default to a direct link rather than a summary.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0">
      <w:pPr>
        <w:numPr>
          <w:ilvl w:val="0"/>
          <w:numId w:val="9"/>
        </w:numPr>
        <w:spacing w:after="120" w:line="276" w:lineRule="auto"/>
        <w:ind w:left="600" w:hanging="360"/>
        <w:rPr>
          <w:color w:val="434343"/>
        </w:rPr>
      </w:pPr>
      <w:r w:rsidDel="00000000" w:rsidR="00000000" w:rsidRPr="00000000">
        <w:rPr>
          <w:rFonts w:ascii="Inter" w:cs="Inter" w:eastAsia="Inter" w:hAnsi="Inter"/>
          <w:b w:val="1"/>
          <w:bCs w:val="1"/>
          <w:color w:val="434343"/>
          <w:rtl w:val="0"/>
        </w:rPr>
        <w:t xml:space="preserve">Zero Data Corruption:</w:t>
      </w:r>
      <w:r w:rsidDel="00000000" w:rsidR="00000000" w:rsidRPr="00000000">
        <w:rPr>
          <w:rFonts w:ascii="Inter" w:cs="Inter" w:eastAsia="Inter" w:hAnsi="Inter"/>
          <w:color w:val="434343"/>
          <w:rtl w:val="0"/>
        </w:rPr>
        <w:t xml:space="preserve"> Fail-safe mechanisms are required for any action that writes to the Workday database.</w:t>
      </w:r>
    </w:p>
    <w:p w:rsidR="00000000" w:rsidDel="00000000" w:rsidP="00000000" w:rsidRDefault="00000000" w:rsidRPr="00000000" w14:paraId="00000011">
      <w:pPr>
        <w:numPr>
          <w:ilvl w:val="0"/>
          <w:numId w:val="9"/>
        </w:numPr>
        <w:spacing w:after="120" w:line="276" w:lineRule="auto"/>
        <w:ind w:left="600" w:hanging="360"/>
        <w:rPr>
          <w:color w:val="434343"/>
        </w:rPr>
      </w:pPr>
      <w:r w:rsidDel="00000000" w:rsidR="00000000" w:rsidRPr="00000000">
        <w:rPr>
          <w:rFonts w:ascii="Inter" w:cs="Inter" w:eastAsia="Inter" w:hAnsi="Inter"/>
          <w:b w:val="1"/>
          <w:bCs w:val="1"/>
          <w:color w:val="434343"/>
          <w:rtl w:val="0"/>
        </w:rPr>
        <w:t xml:space="preserve">Context-Aware Hand-offs:</w:t>
      </w:r>
      <w:r w:rsidDel="00000000" w:rsidR="00000000" w:rsidRPr="00000000">
        <w:rPr>
          <w:rFonts w:ascii="Inter" w:cs="Inter" w:eastAsia="Inter" w:hAnsi="Inter"/>
          <w:color w:val="434343"/>
          <w:rtl w:val="0"/>
        </w:rPr>
        <w:t xml:space="preserve"> If an agent cannot finish a task, it must "carry the bags" for the user, pre-populating the subsequent manual template with all gathered context.</w:t>
      </w:r>
    </w:p>
    <w:p w:rsidR="00000000" w:rsidDel="00000000" w:rsidP="00000000" w:rsidRDefault="00000000" w:rsidRPr="00000000" w14:paraId="00000012">
      <w:pPr>
        <w:pStyle w:val="Heading3"/>
        <w:spacing w:after="120" w:before="0" w:line="276" w:lineRule="auto"/>
        <w:rPr>
          <w:rFonts w:ascii="Inter" w:cs="Inter" w:eastAsia="Inter" w:hAnsi="Inter"/>
          <w:color w:val="434343"/>
        </w:rPr>
      </w:pPr>
      <w:commentRangeStart w:id="10"/>
      <w:commentRangeStart w:id="11"/>
      <w:r w:rsidDel="00000000" w:rsidR="00000000" w:rsidRPr="00000000">
        <w:rPr>
          <w:rFonts w:ascii="Inter" w:cs="Inter" w:eastAsia="Inter" w:hAnsi="Inter"/>
          <w:color w:val="434343"/>
          <w:rtl w:val="0"/>
        </w:rPr>
        <w:t xml:space="preserve">The Forward-Looking Roadmap</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3">
      <w:pPr>
        <w:spacing w:after="12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As we scale our agent portfolio, we are defining a new standard for Workday Agents. Success requires a shift from reactive chatbots to proactive partners that show their work.</w:t>
      </w:r>
    </w:p>
    <w:p w:rsidR="00000000" w:rsidDel="00000000" w:rsidP="00000000" w:rsidRDefault="00000000" w:rsidRPr="00000000" w14:paraId="00000014">
      <w:pPr>
        <w:numPr>
          <w:ilvl w:val="0"/>
          <w:numId w:val="10"/>
        </w:numPr>
        <w:spacing w:after="120" w:line="276" w:lineRule="auto"/>
        <w:ind w:left="600" w:hanging="360"/>
        <w:rPr>
          <w:color w:val="434343"/>
        </w:rPr>
      </w:pPr>
      <w:r w:rsidDel="00000000" w:rsidR="00000000" w:rsidRPr="00000000">
        <w:rPr>
          <w:rFonts w:ascii="Inter" w:cs="Inter" w:eastAsia="Inter" w:hAnsi="Inter"/>
          <w:b w:val="1"/>
          <w:bCs w:val="1"/>
          <w:color w:val="434343"/>
          <w:rtl w:val="0"/>
        </w:rPr>
        <w:t xml:space="preserve">Proactivity:</w:t>
      </w:r>
      <w:r w:rsidDel="00000000" w:rsidR="00000000" w:rsidRPr="00000000">
        <w:rPr>
          <w:rFonts w:ascii="Inter" w:cs="Inter" w:eastAsia="Inter" w:hAnsi="Inter"/>
          <w:color w:val="434343"/>
          <w:rtl w:val="0"/>
        </w:rPr>
        <w:t xml:space="preserve"> Agents must push insights and approvals based on context, rather than waiting for a prompt.</w:t>
      </w:r>
    </w:p>
    <w:p w:rsidR="00000000" w:rsidDel="00000000" w:rsidP="00000000" w:rsidRDefault="00000000" w:rsidRPr="00000000" w14:paraId="00000015">
      <w:pPr>
        <w:numPr>
          <w:ilvl w:val="0"/>
          <w:numId w:val="10"/>
        </w:numPr>
        <w:spacing w:after="120" w:line="276" w:lineRule="auto"/>
        <w:ind w:left="600" w:hanging="360"/>
        <w:rPr>
          <w:color w:val="434343"/>
        </w:rPr>
      </w:pPr>
      <w:commentRangeStart w:id="12"/>
      <w:r w:rsidDel="00000000" w:rsidR="00000000" w:rsidRPr="00000000">
        <w:rPr>
          <w:rFonts w:ascii="Inter" w:cs="Inter" w:eastAsia="Inter" w:hAnsi="Inter"/>
          <w:b w:val="1"/>
          <w:bCs w:val="1"/>
          <w:color w:val="434343"/>
          <w:rtl w:val="0"/>
        </w:rPr>
        <w:t xml:space="preserve">Legibility</w:t>
      </w:r>
      <w:commentRangeEnd w:id="12"/>
      <w:r w:rsidDel="00000000" w:rsidR="00000000" w:rsidRPr="00000000">
        <w:commentReference w:id="12"/>
      </w:r>
      <w:r w:rsidDel="00000000" w:rsidR="00000000" w:rsidRPr="00000000">
        <w:rPr>
          <w:rFonts w:ascii="Inter" w:cs="Inter" w:eastAsia="Inter" w:hAnsi="Inter"/>
          <w:b w:val="1"/>
          <w:bCs w:val="1"/>
          <w:color w:val="434343"/>
          <w:rtl w:val="0"/>
        </w:rPr>
        <w:t xml:space="preserve">:</w:t>
      </w:r>
      <w:r w:rsidDel="00000000" w:rsidR="00000000" w:rsidRPr="00000000">
        <w:rPr>
          <w:rFonts w:ascii="Inter" w:cs="Inter" w:eastAsia="Inter" w:hAnsi="Inter"/>
          <w:color w:val="434343"/>
          <w:rtl w:val="0"/>
        </w:rPr>
        <w:t xml:space="preserve"> Every agent is required to explain its reasoning (Human-in-the-Loop), particularly in financial workflows where accountability is paramount.</w:t>
      </w:r>
    </w:p>
    <w:p w:rsidR="00000000" w:rsidDel="00000000" w:rsidP="00000000" w:rsidRDefault="00000000" w:rsidRPr="00000000" w14:paraId="00000016">
      <w:pPr>
        <w:pStyle w:val="Heading3"/>
        <w:spacing w:after="120" w:before="0" w:line="276" w:lineRule="auto"/>
        <w:rPr>
          <w:rFonts w:ascii="Inter" w:cs="Inter" w:eastAsia="Inter" w:hAnsi="Inter"/>
          <w:color w:val="434343"/>
        </w:rPr>
      </w:pPr>
      <w:r w:rsidDel="00000000" w:rsidR="00000000" w:rsidRPr="00000000">
        <w:rPr>
          <w:rtl w:val="0"/>
        </w:rPr>
      </w:r>
    </w:p>
    <w:p w:rsidR="00000000" w:rsidDel="00000000" w:rsidP="00000000" w:rsidRDefault="00000000" w:rsidRPr="00000000" w14:paraId="00000017">
      <w:pPr>
        <w:pStyle w:val="Heading3"/>
        <w:spacing w:after="120" w:before="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Three Decisions for Joint Accountability</w:t>
      </w:r>
    </w:p>
    <w:p w:rsidR="00000000" w:rsidDel="00000000" w:rsidP="00000000" w:rsidRDefault="00000000" w:rsidRPr="00000000" w14:paraId="00000018">
      <w:pPr>
        <w:spacing w:after="120" w:line="276" w:lineRule="auto"/>
        <w:rPr>
          <w:rFonts w:ascii="Inter" w:cs="Inter" w:eastAsia="Inter" w:hAnsi="Inter"/>
          <w:color w:val="434343"/>
        </w:rPr>
      </w:pPr>
      <w:r w:rsidDel="00000000" w:rsidR="00000000" w:rsidRPr="00000000">
        <w:rPr>
          <w:rFonts w:ascii="Inter" w:cs="Inter" w:eastAsia="Inter" w:hAnsi="Inter"/>
          <w:color w:val="434343"/>
          <w:rtl w:val="0"/>
        </w:rPr>
        <w:t xml:space="preserve">To secure our AI trajectory, I am proposing that we connect at the earliest possible date to decide on the following:</w:t>
      </w:r>
    </w:p>
    <w:p w:rsidR="00000000" w:rsidDel="00000000" w:rsidP="00000000" w:rsidRDefault="00000000" w:rsidRPr="00000000" w14:paraId="00000019">
      <w:pPr>
        <w:numPr>
          <w:ilvl w:val="0"/>
          <w:numId w:val="11"/>
        </w:numPr>
        <w:spacing w:after="120" w:line="276" w:lineRule="auto"/>
        <w:ind w:left="600" w:hanging="360"/>
        <w:rPr>
          <w:color w:val="434343"/>
        </w:rPr>
      </w:pPr>
      <w:r w:rsidDel="00000000" w:rsidR="00000000" w:rsidRPr="00000000">
        <w:rPr>
          <w:rFonts w:ascii="Inter" w:cs="Inter" w:eastAsia="Inter" w:hAnsi="Inter"/>
          <w:b w:val="1"/>
          <w:bCs w:val="1"/>
          <w:color w:val="434343"/>
          <w:rtl w:val="0"/>
        </w:rPr>
        <w:t xml:space="preserve">Collaborative Release Thresholds:</w:t>
      </w:r>
      <w:r w:rsidDel="00000000" w:rsidR="00000000" w:rsidRPr="00000000">
        <w:rPr>
          <w:rFonts w:ascii="Inter" w:cs="Inter" w:eastAsia="Inter" w:hAnsi="Inter"/>
          <w:color w:val="434343"/>
          <w:rtl w:val="0"/>
        </w:rPr>
        <w:t xml:space="preserve"> How can we collectively define the quality gates required to halt a release?</w:t>
      </w:r>
    </w:p>
    <w:p w:rsidR="00000000" w:rsidDel="00000000" w:rsidP="00000000" w:rsidRDefault="00000000" w:rsidRPr="00000000" w14:paraId="0000001A">
      <w:pPr>
        <w:numPr>
          <w:ilvl w:val="0"/>
          <w:numId w:val="11"/>
        </w:numPr>
        <w:spacing w:after="120" w:line="276" w:lineRule="auto"/>
        <w:ind w:left="600" w:hanging="360"/>
        <w:rPr>
          <w:color w:val="434343"/>
        </w:rPr>
      </w:pPr>
      <w:r w:rsidDel="00000000" w:rsidR="00000000" w:rsidRPr="00000000">
        <w:rPr>
          <w:rFonts w:ascii="Inter" w:cs="Inter" w:eastAsia="Inter" w:hAnsi="Inter"/>
          <w:b w:val="1"/>
          <w:bCs w:val="1"/>
          <w:color w:val="434343"/>
          <w:rtl w:val="0"/>
        </w:rPr>
        <w:t xml:space="preserve">Architectural Non-Negotiables:</w:t>
      </w:r>
      <w:r w:rsidDel="00000000" w:rsidR="00000000" w:rsidRPr="00000000">
        <w:rPr>
          <w:rFonts w:ascii="Inter" w:cs="Inter" w:eastAsia="Inter" w:hAnsi="Inter"/>
          <w:color w:val="434343"/>
          <w:rtl w:val="0"/>
        </w:rPr>
        <w:t xml:space="preserve"> Will we commit to legibility (showing the AI’s work) as a P0 requirement for all agents moving forward?</w:t>
      </w:r>
    </w:p>
    <w:p w:rsidR="00000000" w:rsidDel="00000000" w:rsidP="00000000" w:rsidRDefault="00000000" w:rsidRPr="00000000" w14:paraId="0000001B">
      <w:pPr>
        <w:numPr>
          <w:ilvl w:val="0"/>
          <w:numId w:val="11"/>
        </w:numPr>
        <w:spacing w:after="120" w:line="276" w:lineRule="auto"/>
        <w:ind w:left="600" w:hanging="360"/>
        <w:rPr>
          <w:color w:val="434343"/>
        </w:rPr>
      </w:pPr>
      <w:r w:rsidDel="00000000" w:rsidR="00000000" w:rsidRPr="00000000">
        <w:rPr>
          <w:rFonts w:ascii="Inter" w:cs="Inter" w:eastAsia="Inter" w:hAnsi="Inter"/>
          <w:b w:val="1"/>
          <w:bCs w:val="1"/>
          <w:color w:val="434343"/>
          <w:rtl w:val="0"/>
        </w:rPr>
        <w:t xml:space="preserve">Unified GTM Strategy:</w:t>
      </w:r>
      <w:r w:rsidDel="00000000" w:rsidR="00000000" w:rsidRPr="00000000">
        <w:rPr>
          <w:rFonts w:ascii="Inter" w:cs="Inter" w:eastAsia="Inter" w:hAnsi="Inter"/>
          <w:color w:val="434343"/>
          <w:rtl w:val="0"/>
        </w:rPr>
        <w:t xml:space="preserve"> Can we align on a </w:t>
      </w:r>
      <w:commentRangeStart w:id="13"/>
      <w:r w:rsidDel="00000000" w:rsidR="00000000" w:rsidRPr="00000000">
        <w:rPr>
          <w:rFonts w:ascii="Inter" w:cs="Inter" w:eastAsia="Inter" w:hAnsi="Inter"/>
          <w:color w:val="434343"/>
          <w:rtl w:val="0"/>
        </w:rPr>
        <w:t xml:space="preserve">single “AI Readiness" package</w:t>
      </w:r>
      <w:commentRangeEnd w:id="13"/>
      <w:r w:rsidDel="00000000" w:rsidR="00000000" w:rsidRPr="00000000">
        <w:commentReference w:id="13"/>
      </w:r>
      <w:r w:rsidDel="00000000" w:rsidR="00000000" w:rsidRPr="00000000">
        <w:rPr>
          <w:rFonts w:ascii="Inter" w:cs="Inter" w:eastAsia="Inter" w:hAnsi="Inter"/>
          <w:color w:val="434343"/>
          <w:rtl w:val="0"/>
        </w:rPr>
        <w:t xml:space="preserve"> for our field teams to help customers clear their maintenance backlog before they deploy our agents?</w:t>
      </w:r>
    </w:p>
    <w:p w:rsidR="00000000" w:rsidDel="00000000" w:rsidP="00000000" w:rsidRDefault="00000000" w:rsidRPr="00000000" w14:paraId="0000001C">
      <w:pPr>
        <w:spacing w:after="120" w:line="276" w:lineRule="auto"/>
        <w:rPr>
          <w:rFonts w:ascii="Inter" w:cs="Inter" w:eastAsia="Inter" w:hAnsi="Inter"/>
          <w:color w:val="434343"/>
        </w:rPr>
        <w:sectPr>
          <w:type w:val="nextPage"/>
          <w:pgSz w:h="15840" w:w="12240" w:orient="portrait"/>
          <w:pgMar w:bottom="1440" w:top="1440" w:left="1440" w:right="1440" w:header="0" w:footer="720"/>
          <w:pgNumType w:start="1"/>
        </w:sectPr>
      </w:pPr>
      <w:r w:rsidDel="00000000" w:rsidR="00000000" w:rsidRPr="00000000">
        <w:rPr>
          <w:rFonts w:ascii="Inter" w:cs="Inter" w:eastAsia="Inter" w:hAnsi="Inter"/>
          <w:color w:val="434343"/>
          <w:rtl w:val="0"/>
        </w:rPr>
        <w:t xml:space="preserve">The future of Workday will be </w:t>
      </w:r>
      <w:commentRangeStart w:id="14"/>
      <w:r w:rsidDel="00000000" w:rsidR="00000000" w:rsidRPr="00000000">
        <w:rPr>
          <w:rFonts w:ascii="Inter" w:cs="Inter" w:eastAsia="Inter" w:hAnsi="Inter"/>
          <w:color w:val="434343"/>
          <w:rtl w:val="0"/>
        </w:rPr>
        <w:t xml:space="preserve">defined by the success of our agents</w:t>
      </w:r>
      <w:commentRangeEnd w:id="14"/>
      <w:r w:rsidDel="00000000" w:rsidR="00000000" w:rsidRPr="00000000">
        <w:commentReference w:id="14"/>
      </w:r>
      <w:r w:rsidDel="00000000" w:rsidR="00000000" w:rsidRPr="00000000">
        <w:rPr>
          <w:rFonts w:ascii="Inter" w:cs="Inter" w:eastAsia="Inter" w:hAnsi="Inter"/>
          <w:color w:val="434343"/>
          <w:rtl w:val="0"/>
        </w:rPr>
        <w:t xml:space="preserve">. By finding the optimal balance between expansion and stability, we ensure that our AI doesn't just exist—it earns the trust required to drive our revenue.</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434343"/>
        </w:rPr>
        <w:sectPr>
          <w:type w:val="nextPage"/>
          <w:pgSz w:h="15840" w:w="12240" w:orient="portrait"/>
          <w:pgMar w:bottom="1440" w:top="1440" w:left="1440" w:right="1440" w:header="0" w:footer="720"/>
          <w:pgNumType w:start="1"/>
        </w:sectPr>
      </w:pPr>
      <w:bookmarkStart w:colFirst="0" w:colLast="0" w:name="_mm6499q83dmg" w:id="1"/>
      <w:bookmarkEnd w:id="1"/>
      <w:r w:rsidDel="00000000" w:rsidR="00000000" w:rsidRPr="00000000">
        <w:rPr>
          <w:rFonts w:ascii="Archivo" w:cs="Archivo" w:eastAsia="Archivo" w:hAnsi="Archivo"/>
          <w:b w:val="1"/>
          <w:bCs w:val="1"/>
          <w:i w:val="0"/>
          <w:iCs w:val="0"/>
          <w:smallCaps w:val="0"/>
          <w:strike w:val="0"/>
          <w:color w:val="fc5b05"/>
          <w:sz w:val="64"/>
          <w:szCs w:val="64"/>
          <w:u w:val="none"/>
          <w:shd w:fill="auto" w:val="clear"/>
          <w:vertAlign w:val="baseline"/>
          <w:rtl w:val="0"/>
        </w:rPr>
        <w:t xml:space="preserve">Claude Summary</w:t>
      </w:r>
      <w:r w:rsidDel="00000000" w:rsidR="00000000" w:rsidRPr="00000000">
        <w:rPr>
          <w:rtl w:val="0"/>
        </w:rPr>
      </w:r>
    </w:p>
    <w:p w:rsidR="00000000" w:rsidDel="00000000" w:rsidP="00000000" w:rsidRDefault="00000000" w:rsidRPr="00000000" w14:paraId="0000001E">
      <w:pPr>
        <w:widowControl w:val="1"/>
        <w:spacing w:line="312" w:lineRule="auto"/>
        <w:rPr>
          <w:rFonts w:ascii="Archivo" w:cs="Archivo" w:eastAsia="Archivo" w:hAnsi="Archivo"/>
          <w:color w:val="9900ff"/>
          <w:sz w:val="24"/>
          <w:szCs w:val="24"/>
        </w:rPr>
      </w:pPr>
      <w:r w:rsidDel="00000000" w:rsidR="00000000" w:rsidRPr="00000000">
        <w:rPr>
          <w:rFonts w:ascii="Archivo" w:cs="Archivo" w:eastAsia="Archivo" w:hAnsi="Archivo"/>
          <w:color w:val="9900ff"/>
          <w:sz w:val="24"/>
          <w:szCs w:val="24"/>
          <w:rtl w:val="0"/>
        </w:rPr>
        <w:t xml:space="preserve">As generated by </w:t>
      </w:r>
      <w:hyperlink r:id="rId7">
        <w:r w:rsidDel="00000000" w:rsidR="00000000" w:rsidRPr="00000000">
          <w:rPr>
            <w:rFonts w:ascii="Archivo" w:cs="Archivo" w:eastAsia="Archivo" w:hAnsi="Archivo"/>
            <w:color w:val="0000ee"/>
            <w:sz w:val="24"/>
            <w:szCs w:val="24"/>
            <w:u w:val="single"/>
            <w:rtl w:val="0"/>
          </w:rPr>
          <w:t xml:space="preserve">Document Summary Gem</w:t>
        </w:r>
      </w:hyperlink>
      <w:r w:rsidDel="00000000" w:rsidR="00000000" w:rsidRPr="00000000">
        <w:rPr>
          <w:rtl w:val="0"/>
        </w:rPr>
      </w:r>
    </w:p>
    <w:p w:rsidR="00000000" w:rsidDel="00000000" w:rsidP="00000000" w:rsidRDefault="00000000" w:rsidRPr="00000000" w14:paraId="0000001F">
      <w:pPr>
        <w:pStyle w:val="Heading1"/>
        <w:keepNext w:val="1"/>
        <w:keepLines w:val="1"/>
        <w:widowControl w:val="1"/>
        <w:spacing w:after="200" w:lineRule="auto"/>
        <w:rPr>
          <w:rFonts w:ascii="Archivo" w:cs="Archivo" w:eastAsia="Archivo" w:hAnsi="Archivo"/>
          <w:color w:val="022043"/>
          <w:sz w:val="40"/>
          <w:szCs w:val="40"/>
        </w:rPr>
      </w:pPr>
      <w:bookmarkStart w:colFirst="0" w:colLast="0" w:name="_vi20exoe6hlr" w:id="2"/>
      <w:bookmarkEnd w:id="2"/>
      <w:r w:rsidDel="00000000" w:rsidR="00000000" w:rsidRPr="00000000">
        <w:rPr>
          <w:rFonts w:ascii="Archivo" w:cs="Archivo" w:eastAsia="Archivo" w:hAnsi="Archivo"/>
          <w:color w:val="022043"/>
          <w:sz w:val="40"/>
          <w:szCs w:val="40"/>
          <w:rtl w:val="0"/>
        </w:rPr>
        <w:t xml:space="preserve">Document Summary: AI Trust Deficit — Workday AI Adoption &amp; Revenue</w:t>
      </w:r>
    </w:p>
    <w:p w:rsidR="00000000" w:rsidDel="00000000" w:rsidP="00000000" w:rsidRDefault="00000000" w:rsidRPr="00000000" w14:paraId="00000020">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pqdy0bk1lbwh" w:id="3"/>
      <w:bookmarkEnd w:id="3"/>
      <w:r w:rsidDel="00000000" w:rsidR="00000000" w:rsidRPr="00000000">
        <w:rPr>
          <w:rFonts w:ascii="Archivo SemiBold" w:cs="Archivo SemiBold" w:eastAsia="Archivo SemiBold" w:hAnsi="Archivo SemiBold"/>
          <w:b w:val="0"/>
          <w:bCs w:val="0"/>
          <w:color w:val="0057ae"/>
          <w:rtl w:val="0"/>
        </w:rPr>
        <w:t xml:space="preserve">Executive Summary (TL;DR)</w:t>
      </w:r>
    </w:p>
    <w:p w:rsidR="00000000" w:rsidDel="00000000" w:rsidP="00000000" w:rsidRDefault="00000000" w:rsidRPr="00000000" w14:paraId="00000021">
      <w:pPr>
        <w:widowControl w:val="1"/>
        <w:spacing w:line="312" w:lineRule="auto"/>
        <w:rPr>
          <w:rFonts w:ascii="Archivo" w:cs="Archivo" w:eastAsia="Archivo" w:hAnsi="Archivo"/>
          <w:color w:val="022043"/>
          <w:sz w:val="24"/>
          <w:szCs w:val="24"/>
        </w:rPr>
      </w:pPr>
      <w:r w:rsidDel="00000000" w:rsidR="00000000" w:rsidRPr="00000000">
        <w:rPr>
          <w:rFonts w:ascii="Archivo" w:cs="Archivo" w:eastAsia="Archivo" w:hAnsi="Archivo"/>
          <w:color w:val="022043"/>
          <w:sz w:val="24"/>
          <w:szCs w:val="24"/>
          <w:rtl w:val="0"/>
        </w:rPr>
        <w:t xml:space="preserve">Workday's 2026 AI revenue targets are threatened not by technology gaps but by a widening trust deficit. The first organic agent launch (SSSA) posted a 15.9% retention rate and 57.3% negative feedback, driven by data integrity failures, security bugs, and hallucinations in financial workflows. The document proposes a strict minimum quality bar for all semi-agentic releases — prioritizing retrieval accuracy, zero data corruption, and context-aware hand-offs — and calls for a cross-functional decision on release thresholds, architectural standards, and a unified go-to-market readiness strategy.</w:t>
      </w:r>
    </w:p>
    <w:p w:rsidR="00000000" w:rsidDel="00000000" w:rsidP="00000000" w:rsidRDefault="00000000" w:rsidRPr="00000000" w14:paraId="00000022">
      <w:pPr>
        <w:widowControl w:val="1"/>
        <w:spacing w:line="312" w:lineRule="auto"/>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23">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gkpn1zeu14k5" w:id="4"/>
      <w:bookmarkEnd w:id="4"/>
      <w:r w:rsidDel="00000000" w:rsidR="00000000" w:rsidRPr="00000000">
        <w:rPr>
          <w:rFonts w:ascii="Archivo SemiBold" w:cs="Archivo SemiBold" w:eastAsia="Archivo SemiBold" w:hAnsi="Archivo SemiBold"/>
          <w:b w:val="0"/>
          <w:bCs w:val="0"/>
          <w:color w:val="0057ae"/>
          <w:rtl w:val="0"/>
        </w:rPr>
        <w:t xml:space="preserve">Comprehensive Brief</w:t>
      </w:r>
    </w:p>
    <w:p w:rsidR="00000000" w:rsidDel="00000000" w:rsidP="00000000" w:rsidRDefault="00000000" w:rsidRPr="00000000" w14:paraId="00000024">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Audience:</w:t>
      </w:r>
      <w:r w:rsidDel="00000000" w:rsidR="00000000" w:rsidRPr="00000000">
        <w:rPr>
          <w:rFonts w:ascii="Archivo" w:cs="Archivo" w:eastAsia="Archivo" w:hAnsi="Archivo"/>
          <w:color w:val="022043"/>
          <w:sz w:val="24"/>
          <w:szCs w:val="24"/>
          <w:rtl w:val="0"/>
        </w:rPr>
        <w:t xml:space="preserve"> Senior product, engineering, and GTM leadership at Workday responsible for AI agent strategy and enterprise customer trust.</w:t>
      </w:r>
    </w:p>
    <w:p w:rsidR="00000000" w:rsidDel="00000000" w:rsidP="00000000" w:rsidRDefault="00000000" w:rsidRPr="00000000" w14:paraId="00000025">
      <w:pPr>
        <w:ind w:left="720" w:firstLine="0"/>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26">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Problem Statement:</w:t>
      </w:r>
      <w:r w:rsidDel="00000000" w:rsidR="00000000" w:rsidRPr="00000000">
        <w:rPr>
          <w:rFonts w:ascii="Archivo" w:cs="Archivo" w:eastAsia="Archivo" w:hAnsi="Archivo"/>
          <w:color w:val="022043"/>
          <w:sz w:val="24"/>
          <w:szCs w:val="24"/>
          <w:rtl w:val="0"/>
        </w:rPr>
        <w:t xml:space="preserve"> </w:t>
      </w:r>
      <w:r w:rsidDel="00000000" w:rsidR="00000000" w:rsidRPr="00000000">
        <w:rPr>
          <w:rFonts w:ascii="Archivo" w:cs="Archivo" w:eastAsia="Archivo" w:hAnsi="Archivo"/>
          <w:i w:val="1"/>
          <w:iCs w:val="1"/>
          <w:color w:val="022043"/>
          <w:sz w:val="24"/>
          <w:szCs w:val="24"/>
          <w:rtl w:val="0"/>
        </w:rPr>
        <w:t xml:space="preserve">How might we</w:t>
      </w:r>
      <w:r w:rsidDel="00000000" w:rsidR="00000000" w:rsidRPr="00000000">
        <w:rPr>
          <w:rFonts w:ascii="Archivo" w:cs="Archivo" w:eastAsia="Archivo" w:hAnsi="Archivo"/>
          <w:color w:val="022043"/>
          <w:sz w:val="24"/>
          <w:szCs w:val="24"/>
          <w:rtl w:val="0"/>
        </w:rPr>
        <w:t xml:space="preserve"> establish a shared quality standard for AI agent releases so that resource-constrained enterprise customers can adopt Workday AI without risking their operational stability or data integrity?</w:t>
      </w:r>
    </w:p>
    <w:p w:rsidR="00000000" w:rsidDel="00000000" w:rsidP="00000000" w:rsidRDefault="00000000" w:rsidRPr="00000000" w14:paraId="00000027">
      <w:pPr>
        <w:ind w:left="720" w:firstLine="0"/>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28">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Business Outcomes:</w:t>
      </w:r>
      <w:r w:rsidDel="00000000" w:rsidR="00000000" w:rsidRPr="00000000">
        <w:rPr>
          <w:rtl w:val="0"/>
        </w:rPr>
      </w:r>
    </w:p>
    <w:p w:rsidR="00000000" w:rsidDel="00000000" w:rsidP="00000000" w:rsidRDefault="00000000" w:rsidRPr="00000000" w14:paraId="00000029">
      <w:pPr>
        <w:ind w:left="720" w:firstLine="0"/>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2A">
      <w:pPr>
        <w:widowControl w:val="1"/>
        <w:numPr>
          <w:ilvl w:val="1"/>
          <w:numId w:val="8"/>
        </w:numPr>
        <w:spacing w:line="312" w:lineRule="auto"/>
        <w:ind w:left="1440" w:hanging="360"/>
      </w:pPr>
      <w:r w:rsidDel="00000000" w:rsidR="00000000" w:rsidRPr="00000000">
        <w:rPr>
          <w:rFonts w:ascii="Archivo" w:cs="Archivo" w:eastAsia="Archivo" w:hAnsi="Archivo"/>
          <w:color w:val="022043"/>
          <w:sz w:val="24"/>
          <w:szCs w:val="24"/>
          <w:rtl w:val="0"/>
        </w:rPr>
        <w:t xml:space="preserve">Protect the Workday "system of record" brand reputation.</w:t>
      </w:r>
    </w:p>
    <w:p w:rsidR="00000000" w:rsidDel="00000000" w:rsidP="00000000" w:rsidRDefault="00000000" w:rsidRPr="00000000" w14:paraId="0000002B">
      <w:pPr>
        <w:widowControl w:val="1"/>
        <w:numPr>
          <w:ilvl w:val="1"/>
          <w:numId w:val="8"/>
        </w:numPr>
        <w:spacing w:line="312" w:lineRule="auto"/>
        <w:ind w:left="1440" w:hanging="360"/>
      </w:pPr>
      <w:r w:rsidDel="00000000" w:rsidR="00000000" w:rsidRPr="00000000">
        <w:rPr>
          <w:rFonts w:ascii="Archivo" w:cs="Archivo" w:eastAsia="Archivo" w:hAnsi="Archivo"/>
          <w:color w:val="022043"/>
          <w:sz w:val="24"/>
          <w:szCs w:val="24"/>
          <w:rtl w:val="0"/>
        </w:rPr>
        <w:t xml:space="preserve">Improve agent retention from the current 15.9% baseline.</w:t>
      </w:r>
    </w:p>
    <w:p w:rsidR="00000000" w:rsidDel="00000000" w:rsidP="00000000" w:rsidRDefault="00000000" w:rsidRPr="00000000" w14:paraId="0000002C">
      <w:pPr>
        <w:widowControl w:val="1"/>
        <w:numPr>
          <w:ilvl w:val="1"/>
          <w:numId w:val="8"/>
        </w:numPr>
        <w:spacing w:line="312" w:lineRule="auto"/>
        <w:ind w:left="1440" w:hanging="360"/>
      </w:pPr>
      <w:r w:rsidDel="00000000" w:rsidR="00000000" w:rsidRPr="00000000">
        <w:rPr>
          <w:rFonts w:ascii="Archivo" w:cs="Archivo" w:eastAsia="Archivo" w:hAnsi="Archivo"/>
          <w:color w:val="022043"/>
          <w:sz w:val="24"/>
          <w:szCs w:val="24"/>
          <w:rtl w:val="0"/>
        </w:rPr>
        <w:t xml:space="preserve">Reduce negative feedback (currently 57.3%) through reliability improvements.</w:t>
      </w:r>
    </w:p>
    <w:p w:rsidR="00000000" w:rsidDel="00000000" w:rsidP="00000000" w:rsidRDefault="00000000" w:rsidRPr="00000000" w14:paraId="0000002D">
      <w:pPr>
        <w:widowControl w:val="1"/>
        <w:numPr>
          <w:ilvl w:val="1"/>
          <w:numId w:val="8"/>
        </w:numPr>
        <w:spacing w:line="312" w:lineRule="auto"/>
        <w:ind w:left="1440" w:hanging="360"/>
      </w:pPr>
      <w:r w:rsidDel="00000000" w:rsidR="00000000" w:rsidRPr="00000000">
        <w:rPr>
          <w:rFonts w:ascii="Archivo" w:cs="Archivo" w:eastAsia="Archivo" w:hAnsi="Archivo"/>
          <w:color w:val="022043"/>
          <w:sz w:val="24"/>
          <w:szCs w:val="24"/>
          <w:rtl w:val="0"/>
        </w:rPr>
        <w:t xml:space="preserve">De-risk the 2026 AI revenue plan by ensuring customer ROI before scaling feature expansion.</w:t>
      </w:r>
    </w:p>
    <w:p w:rsidR="00000000" w:rsidDel="00000000" w:rsidP="00000000" w:rsidRDefault="00000000" w:rsidRPr="00000000" w14:paraId="0000002E">
      <w:pPr>
        <w:widowControl w:val="1"/>
        <w:spacing w:line="312" w:lineRule="auto"/>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2F">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6z2inxi0rwhy" w:id="5"/>
      <w:bookmarkEnd w:id="5"/>
      <w:r w:rsidDel="00000000" w:rsidR="00000000" w:rsidRPr="00000000">
        <w:rPr>
          <w:rFonts w:ascii="Archivo SemiBold" w:cs="Archivo SemiBold" w:eastAsia="Archivo SemiBold" w:hAnsi="Archivo SemiBold"/>
          <w:b w:val="0"/>
          <w:bCs w:val="0"/>
          <w:color w:val="0057ae"/>
          <w:rtl w:val="0"/>
        </w:rPr>
        <w:t xml:space="preserve">SDLC &amp; Product Context</w:t>
      </w:r>
    </w:p>
    <w:p w:rsidR="00000000" w:rsidDel="00000000" w:rsidP="00000000" w:rsidRDefault="00000000" w:rsidRPr="00000000" w14:paraId="00000030">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Requirements Gathering:</w:t>
      </w:r>
      <w:r w:rsidDel="00000000" w:rsidR="00000000" w:rsidRPr="00000000">
        <w:rPr>
          <w:rFonts w:ascii="Archivo" w:cs="Archivo" w:eastAsia="Archivo" w:hAnsi="Archivo"/>
          <w:color w:val="022043"/>
          <w:sz w:val="24"/>
          <w:szCs w:val="24"/>
          <w:rtl w:val="0"/>
        </w:rPr>
        <w:t xml:space="preserve"> The document implicitly defines non-functional requirements — 100% retrieval accuracy on core data (PTO, Comp, Dates), zero write-side data corruption, and mandatory graceful degradation (link fallback when confidence is low). These read as acceptance criteria, not yet as testable specifications.</w:t>
      </w:r>
    </w:p>
    <w:p w:rsidR="00000000" w:rsidDel="00000000" w:rsidP="00000000" w:rsidRDefault="00000000" w:rsidRPr="00000000" w14:paraId="00000031">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Design/Architecture:</w:t>
      </w:r>
      <w:r w:rsidDel="00000000" w:rsidR="00000000" w:rsidRPr="00000000">
        <w:rPr>
          <w:rFonts w:ascii="Archivo" w:cs="Archivo" w:eastAsia="Archivo" w:hAnsi="Archivo"/>
          <w:color w:val="022043"/>
          <w:sz w:val="24"/>
          <w:szCs w:val="24"/>
          <w:rtl w:val="0"/>
        </w:rPr>
        <w:t xml:space="preserve"> Proposes architectural principles rather than detailed designs: Human-in-the-Loop legibility for financial workflows, fail-safe write mechanisms, and context-carrying hand-offs that pre-populate manual templates. No API schemas or system diagrams are included.</w:t>
      </w:r>
    </w:p>
    <w:p w:rsidR="00000000" w:rsidDel="00000000" w:rsidP="00000000" w:rsidRDefault="00000000" w:rsidRPr="00000000" w14:paraId="00000032">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Agile Methodology:</w:t>
      </w:r>
      <w:r w:rsidDel="00000000" w:rsidR="00000000" w:rsidRPr="00000000">
        <w:rPr>
          <w:rFonts w:ascii="Archivo" w:cs="Archivo" w:eastAsia="Archivo" w:hAnsi="Archivo"/>
          <w:color w:val="022043"/>
          <w:sz w:val="24"/>
          <w:szCs w:val="24"/>
          <w:rtl w:val="0"/>
        </w:rPr>
        <w:t xml:space="preserve"> No sprint-level breakdown is present. The three closing decisions function as epic-level alignment asks that would need to be decomposed into stories and acceptance criteria.</w:t>
      </w:r>
    </w:p>
    <w:p w:rsidR="00000000" w:rsidDel="00000000" w:rsidP="00000000" w:rsidRDefault="00000000" w:rsidRPr="00000000" w14:paraId="00000033">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QA/Deployment:</w:t>
      </w:r>
      <w:r w:rsidDel="00000000" w:rsidR="00000000" w:rsidRPr="00000000">
        <w:rPr>
          <w:rFonts w:ascii="Archivo" w:cs="Archivo" w:eastAsia="Archivo" w:hAnsi="Archivo"/>
          <w:color w:val="022043"/>
          <w:sz w:val="24"/>
          <w:szCs w:val="24"/>
          <w:rtl w:val="0"/>
        </w:rPr>
        <w:t xml:space="preserve"> The "Collaborative Release Thresholds" proposal is essentially a call for quality gates in the CI/CD pipeline, but the specific metrics, tooling, and halt criteria are left for the proposed cross-functional meeting.</w:t>
      </w:r>
    </w:p>
    <w:p w:rsidR="00000000" w:rsidDel="00000000" w:rsidP="00000000" w:rsidRDefault="00000000" w:rsidRPr="00000000" w14:paraId="00000034">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Standard Processes:</w:t>
      </w:r>
      <w:r w:rsidDel="00000000" w:rsidR="00000000" w:rsidRPr="00000000">
        <w:rPr>
          <w:rFonts w:ascii="Archivo" w:cs="Archivo" w:eastAsia="Archivo" w:hAnsi="Archivo"/>
          <w:color w:val="022043"/>
          <w:sz w:val="24"/>
          <w:szCs w:val="24"/>
          <w:rtl w:val="0"/>
        </w:rPr>
        <w:t xml:space="preserve"> The language leans on standard product-management frameworks (minimum bar, P0 requirements, GTM readiness). The "Interim Standard" section borrows from incident-response thinking (zero tolerance, fail-safes). Most concepts are industry-standard; the framing is Workday-specific.</w:t>
      </w:r>
    </w:p>
    <w:p w:rsidR="00000000" w:rsidDel="00000000" w:rsidP="00000000" w:rsidRDefault="00000000" w:rsidRPr="00000000" w14:paraId="00000035">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32ma1th0tipz" w:id="6"/>
      <w:bookmarkEnd w:id="6"/>
      <w:r w:rsidDel="00000000" w:rsidR="00000000" w:rsidRPr="00000000">
        <w:rPr>
          <w:rFonts w:ascii="Archivo SemiBold" w:cs="Archivo SemiBold" w:eastAsia="Archivo SemiBold" w:hAnsi="Archivo SemiBold"/>
          <w:b w:val="0"/>
          <w:bCs w:val="0"/>
          <w:color w:val="0057ae"/>
          <w:rtl w:val="0"/>
        </w:rPr>
        <w:t xml:space="preserve">Successes</w:t>
      </w:r>
    </w:p>
    <w:p w:rsidR="00000000" w:rsidDel="00000000" w:rsidP="00000000" w:rsidRDefault="00000000" w:rsidRPr="00000000" w14:paraId="00000036">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Quantification:</w:t>
      </w:r>
      <w:r w:rsidDel="00000000" w:rsidR="00000000" w:rsidRPr="00000000">
        <w:rPr>
          <w:rFonts w:ascii="Archivo" w:cs="Archivo" w:eastAsia="Archivo" w:hAnsi="Archivo"/>
          <w:color w:val="022043"/>
          <w:sz w:val="24"/>
          <w:szCs w:val="24"/>
          <w:rtl w:val="0"/>
        </w:rPr>
        <w:t xml:space="preserve"> The document leads with concrete, uncomfortable numbers — 15.9% retention, 57.3% negative feedback, 85% industry failure rate, 48% feature-adoption ceiling — which lend immediate credibility and urgency.</w:t>
      </w:r>
    </w:p>
    <w:p w:rsidR="00000000" w:rsidDel="00000000" w:rsidP="00000000" w:rsidRDefault="00000000" w:rsidRPr="00000000" w14:paraId="00000037">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Clarity:</w:t>
      </w:r>
      <w:r w:rsidDel="00000000" w:rsidR="00000000" w:rsidRPr="00000000">
        <w:rPr>
          <w:rFonts w:ascii="Archivo" w:cs="Archivo" w:eastAsia="Archivo" w:hAnsi="Archivo"/>
          <w:color w:val="022043"/>
          <w:sz w:val="24"/>
          <w:szCs w:val="24"/>
          <w:rtl w:val="0"/>
        </w:rPr>
        <w:t xml:space="preserve"> The BLUF format is effective. The core argument ("trust deficit, not tech deficit") is stated in the first sentence and never buried.</w:t>
      </w:r>
    </w:p>
    <w:p w:rsidR="00000000" w:rsidDel="00000000" w:rsidP="00000000" w:rsidRDefault="00000000" w:rsidRPr="00000000" w14:paraId="00000038">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Alignment:</w:t>
      </w:r>
      <w:r w:rsidDel="00000000" w:rsidR="00000000" w:rsidRPr="00000000">
        <w:rPr>
          <w:rFonts w:ascii="Archivo" w:cs="Archivo" w:eastAsia="Archivo" w:hAnsi="Archivo"/>
          <w:color w:val="022043"/>
          <w:sz w:val="24"/>
          <w:szCs w:val="24"/>
          <w:rtl w:val="0"/>
        </w:rPr>
        <w:t xml:space="preserve"> The problem (trust erosion) maps directly to the proposed solution (minimum quality bar + three decisions). The SSSA case study bridges abstract risk with lived product evidence.</w:t>
      </w:r>
    </w:p>
    <w:p w:rsidR="00000000" w:rsidDel="00000000" w:rsidP="00000000" w:rsidRDefault="00000000" w:rsidRPr="00000000" w14:paraId="00000039">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Audience Awareness:</w:t>
      </w:r>
      <w:r w:rsidDel="00000000" w:rsidR="00000000" w:rsidRPr="00000000">
        <w:rPr>
          <w:rFonts w:ascii="Archivo" w:cs="Archivo" w:eastAsia="Archivo" w:hAnsi="Archivo"/>
          <w:color w:val="022043"/>
          <w:sz w:val="24"/>
          <w:szCs w:val="24"/>
          <w:rtl w:val="0"/>
        </w:rPr>
        <w:t xml:space="preserve"> The tone is calibrated for senior cross-functional leaders — it avoids blame, frames issues as shared accountability, and closes with discrete, decidable questions rather than an open-ended ask.</w:t>
      </w:r>
    </w:p>
    <w:p w:rsidR="00000000" w:rsidDel="00000000" w:rsidP="00000000" w:rsidRDefault="00000000" w:rsidRPr="00000000" w14:paraId="0000003A">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Objective Analysis:</w:t>
      </w:r>
      <w:r w:rsidDel="00000000" w:rsidR="00000000" w:rsidRPr="00000000">
        <w:rPr>
          <w:rFonts w:ascii="Archivo" w:cs="Archivo" w:eastAsia="Archivo" w:hAnsi="Archivo"/>
          <w:color w:val="022043"/>
          <w:sz w:val="24"/>
          <w:szCs w:val="24"/>
          <w:rtl w:val="0"/>
        </w:rPr>
        <w:t xml:space="preserve"> The "Quality Paradox" observation — that higher-value tasks surface worse accuracy problems — is a genuinely useful strategic insight that reframes the roadmap conversation.</w:t>
      </w:r>
    </w:p>
    <w:p w:rsidR="00000000" w:rsidDel="00000000" w:rsidP="00000000" w:rsidRDefault="00000000" w:rsidRPr="00000000" w14:paraId="0000003B">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ehutk23f22sx" w:id="7"/>
      <w:bookmarkEnd w:id="7"/>
      <w:r w:rsidDel="00000000" w:rsidR="00000000" w:rsidRPr="00000000">
        <w:rPr>
          <w:rFonts w:ascii="Archivo SemiBold" w:cs="Archivo SemiBold" w:eastAsia="Archivo SemiBold" w:hAnsi="Archivo SemiBold"/>
          <w:b w:val="0"/>
          <w:bCs w:val="0"/>
          <w:color w:val="0057ae"/>
          <w:rtl w:val="0"/>
        </w:rPr>
        <w:t xml:space="preserve">Opportunities</w:t>
      </w:r>
    </w:p>
    <w:p w:rsidR="00000000" w:rsidDel="00000000" w:rsidP="00000000" w:rsidRDefault="00000000" w:rsidRPr="00000000" w14:paraId="0000003C">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Quantification:</w:t>
      </w:r>
      <w:r w:rsidDel="00000000" w:rsidR="00000000" w:rsidRPr="00000000">
        <w:rPr>
          <w:rFonts w:ascii="Archivo" w:cs="Archivo" w:eastAsia="Archivo" w:hAnsi="Archivo"/>
          <w:color w:val="022043"/>
          <w:sz w:val="24"/>
          <w:szCs w:val="24"/>
          <w:rtl w:val="0"/>
        </w:rPr>
        <w:t xml:space="preserve"> The "zero tolerance" and "100% sure" language for retrieval accuracy is aspirational but not measurable as written. Defining a concrete accuracy threshold (e.g., ≥99.5% on core fields with a defined test set) would make the standard enforceable. Similarly, the 15.9% retention figure lacks a target — what retention rate would signal readiness to scale?</w:t>
      </w:r>
    </w:p>
    <w:p w:rsidR="00000000" w:rsidDel="00000000" w:rsidP="00000000" w:rsidRDefault="00000000" w:rsidRPr="00000000" w14:paraId="0000003D">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Clarity:</w:t>
      </w:r>
      <w:r w:rsidDel="00000000" w:rsidR="00000000" w:rsidRPr="00000000">
        <w:rPr>
          <w:rFonts w:ascii="Archivo" w:cs="Archivo" w:eastAsia="Archivo" w:hAnsi="Archivo"/>
          <w:color w:val="022043"/>
          <w:sz w:val="24"/>
          <w:szCs w:val="24"/>
          <w:rtl w:val="0"/>
        </w:rPr>
        <w:t xml:space="preserve"> Phrases like "carry the bags," "earn the trust," and "beta test the Workday brand" are vivid but risk reading as slogans rather than specifications. Each could be sharpened into a testable requirement.</w:t>
      </w:r>
    </w:p>
    <w:p w:rsidR="00000000" w:rsidDel="00000000" w:rsidP="00000000" w:rsidRDefault="00000000" w:rsidRPr="00000000" w14:paraId="0000003E">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Alignment:</w:t>
      </w:r>
      <w:r w:rsidDel="00000000" w:rsidR="00000000" w:rsidRPr="00000000">
        <w:rPr>
          <w:rFonts w:ascii="Archivo" w:cs="Archivo" w:eastAsia="Archivo" w:hAnsi="Archivo"/>
          <w:color w:val="022043"/>
          <w:sz w:val="24"/>
          <w:szCs w:val="24"/>
          <w:rtl w:val="0"/>
        </w:rPr>
        <w:t xml:space="preserve"> The three closing decisions are framed as questions, not proposals. Providing a strawman answer for each (e.g., a draft release gate checklist) would accelerate the meeting and reduce the chance of an inconclusive discussion.</w:t>
      </w:r>
    </w:p>
    <w:p w:rsidR="00000000" w:rsidDel="00000000" w:rsidP="00000000" w:rsidRDefault="00000000" w:rsidRPr="00000000" w14:paraId="0000003F">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Bias Check:</w:t>
      </w:r>
      <w:r w:rsidDel="00000000" w:rsidR="00000000" w:rsidRPr="00000000">
        <w:rPr>
          <w:rFonts w:ascii="Archivo" w:cs="Archivo" w:eastAsia="Archivo" w:hAnsi="Archivo"/>
          <w:color w:val="022043"/>
          <w:sz w:val="24"/>
          <w:szCs w:val="24"/>
          <w:rtl w:val="0"/>
        </w:rPr>
        <w:t xml:space="preserve"> The document frames the tension as "expansion vs. stability" but doesn't quantify the cost of slowing releases — revenue delay, competitive exposure, or internal team morale. Acknowledging that trade-off would strengthen the argument by preempting the obvious counter.</w:t>
      </w:r>
    </w:p>
    <w:p w:rsidR="00000000" w:rsidDel="00000000" w:rsidP="00000000" w:rsidRDefault="00000000" w:rsidRPr="00000000" w14:paraId="00000040">
      <w:pPr>
        <w:widowControl w:val="1"/>
        <w:numPr>
          <w:ilvl w:val="0"/>
          <w:numId w:val="8"/>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Audience Awareness:</w:t>
      </w:r>
      <w:r w:rsidDel="00000000" w:rsidR="00000000" w:rsidRPr="00000000">
        <w:rPr>
          <w:rFonts w:ascii="Archivo" w:cs="Archivo" w:eastAsia="Archivo" w:hAnsi="Archivo"/>
          <w:color w:val="022043"/>
          <w:sz w:val="24"/>
          <w:szCs w:val="24"/>
          <w:rtl w:val="0"/>
        </w:rPr>
        <w:t xml:space="preserve"> The "AI Readiness" GTM package is mentioned once without detail. For field and CS leaders in the audience, a one-line scope definition (e.g., "a 90-day maintenance-reduction engagement before agent deployment") would make the ask concrete.</w:t>
      </w:r>
    </w:p>
    <w:p w:rsidR="00000000" w:rsidDel="00000000" w:rsidP="00000000" w:rsidRDefault="00000000" w:rsidRPr="00000000" w14:paraId="00000041">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hqk2dk6miwod" w:id="8"/>
      <w:bookmarkEnd w:id="8"/>
      <w:commentRangeStart w:id="15"/>
      <w:r w:rsidDel="00000000" w:rsidR="00000000" w:rsidRPr="00000000">
        <w:rPr>
          <w:rFonts w:ascii="Archivo SemiBold" w:cs="Archivo SemiBold" w:eastAsia="Archivo SemiBold" w:hAnsi="Archivo SemiBold"/>
          <w:b w:val="0"/>
          <w:bCs w:val="0"/>
          <w:color w:val="0057ae"/>
          <w:rtl w:val="0"/>
        </w:rPr>
        <w:t xml:space="preserve">Selling The Idea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2">
      <w:pPr>
        <w:widowControl w:val="1"/>
        <w:numPr>
          <w:ilvl w:val="0"/>
          <w:numId w:val="2"/>
        </w:numPr>
        <w:spacing w:after="0" w:afterAutospacing="0" w:before="240" w:line="312" w:lineRule="auto"/>
        <w:ind w:left="720" w:hanging="360"/>
        <w:rPr>
          <w:rFonts w:ascii="Archivo" w:cs="Archivo" w:eastAsia="Archivo" w:hAnsi="Archivo"/>
          <w:color w:val="022043"/>
          <w:sz w:val="24"/>
          <w:szCs w:val="24"/>
        </w:rPr>
      </w:pPr>
      <w:r w:rsidDel="00000000" w:rsidR="00000000" w:rsidRPr="00000000">
        <w:rPr>
          <w:rFonts w:ascii="Archivo" w:cs="Archivo" w:eastAsia="Archivo" w:hAnsi="Archivo"/>
          <w:b w:val="1"/>
          <w:bCs w:val="1"/>
          <w:color w:val="022043"/>
          <w:sz w:val="24"/>
          <w:szCs w:val="24"/>
          <w:rtl w:val="0"/>
        </w:rPr>
        <w:t xml:space="preserve">Failure:</w:t>
      </w:r>
      <w:r w:rsidDel="00000000" w:rsidR="00000000" w:rsidRPr="00000000">
        <w:rPr>
          <w:rFonts w:ascii="Archivo" w:cs="Archivo" w:eastAsia="Archivo" w:hAnsi="Archivo"/>
          <w:color w:val="022043"/>
          <w:sz w:val="24"/>
          <w:szCs w:val="24"/>
          <w:rtl w:val="0"/>
        </w:rPr>
        <w:t xml:space="preserve"> The SSSA launch already serves as the cautionary pilot data. Reframe it explicitly: "We have our pilot results — they tell us exactly what to fix before scaling." Propose a structured re-launch with the quality gates applied as a proof point.</w:t>
      </w:r>
    </w:p>
    <w:p w:rsidR="00000000" w:rsidDel="00000000" w:rsidP="00000000" w:rsidRDefault="00000000" w:rsidRPr="00000000" w14:paraId="00000043">
      <w:pPr>
        <w:widowControl w:val="1"/>
        <w:numPr>
          <w:ilvl w:val="0"/>
          <w:numId w:val="2"/>
        </w:numPr>
        <w:spacing w:after="0" w:afterAutospacing="0" w:before="0" w:beforeAutospacing="0" w:line="312" w:lineRule="auto"/>
        <w:ind w:left="720" w:hanging="360"/>
        <w:rPr>
          <w:rFonts w:ascii="Archivo" w:cs="Archivo" w:eastAsia="Archivo" w:hAnsi="Archivo"/>
          <w:color w:val="022043"/>
          <w:sz w:val="24"/>
          <w:szCs w:val="24"/>
        </w:rPr>
      </w:pPr>
      <w:r w:rsidDel="00000000" w:rsidR="00000000" w:rsidRPr="00000000">
        <w:rPr>
          <w:rFonts w:ascii="Archivo" w:cs="Archivo" w:eastAsia="Archivo" w:hAnsi="Archivo"/>
          <w:b w:val="1"/>
          <w:bCs w:val="1"/>
          <w:color w:val="022043"/>
          <w:sz w:val="24"/>
          <w:szCs w:val="24"/>
          <w:rtl w:val="0"/>
        </w:rPr>
        <w:t xml:space="preserve">Cost:</w:t>
      </w:r>
      <w:r w:rsidDel="00000000" w:rsidR="00000000" w:rsidRPr="00000000">
        <w:rPr>
          <w:rFonts w:ascii="Archivo" w:cs="Archivo" w:eastAsia="Archivo" w:hAnsi="Archivo"/>
          <w:color w:val="022043"/>
          <w:sz w:val="24"/>
          <w:szCs w:val="24"/>
          <w:rtl w:val="0"/>
        </w:rPr>
        <w:t xml:space="preserve"> Quantify the cost of inaction. If 57.3% negative feedback translates to X churned accounts or Y dollars at risk, state it. The cost of a security breach in an enterprise system of record (compliance fines, lost renewals) is likely orders of magnitude larger than the cost of delaying a release.</w:t>
      </w:r>
    </w:p>
    <w:p w:rsidR="00000000" w:rsidDel="00000000" w:rsidP="00000000" w:rsidRDefault="00000000" w:rsidRPr="00000000" w14:paraId="00000044">
      <w:pPr>
        <w:widowControl w:val="1"/>
        <w:numPr>
          <w:ilvl w:val="0"/>
          <w:numId w:val="2"/>
        </w:numPr>
        <w:spacing w:after="0" w:afterAutospacing="0" w:before="0" w:beforeAutospacing="0" w:line="312" w:lineRule="auto"/>
        <w:ind w:left="720" w:hanging="360"/>
        <w:rPr>
          <w:rFonts w:ascii="Archivo" w:cs="Archivo" w:eastAsia="Archivo" w:hAnsi="Archivo"/>
          <w:color w:val="022043"/>
          <w:sz w:val="24"/>
          <w:szCs w:val="24"/>
        </w:rPr>
      </w:pPr>
      <w:r w:rsidDel="00000000" w:rsidR="00000000" w:rsidRPr="00000000">
        <w:rPr>
          <w:rFonts w:ascii="Archivo" w:cs="Archivo" w:eastAsia="Archivo" w:hAnsi="Archivo"/>
          <w:b w:val="1"/>
          <w:bCs w:val="1"/>
          <w:color w:val="022043"/>
          <w:sz w:val="24"/>
          <w:szCs w:val="24"/>
          <w:rtl w:val="0"/>
        </w:rPr>
        <w:t xml:space="preserve">Unproven Technology:</w:t>
      </w:r>
      <w:r w:rsidDel="00000000" w:rsidR="00000000" w:rsidRPr="00000000">
        <w:rPr>
          <w:rFonts w:ascii="Archivo" w:cs="Archivo" w:eastAsia="Archivo" w:hAnsi="Archivo"/>
          <w:color w:val="022043"/>
          <w:sz w:val="24"/>
          <w:szCs w:val="24"/>
          <w:rtl w:val="0"/>
        </w:rPr>
        <w:t xml:space="preserve"> Reference enterprise peers who have shipped gated AI successfully — e.g., Salesforce's Einstein Copilot trust layer, ServiceNow's "confidence score" model. These validate the architectural approach being proposed (legibility, fallback links).</w:t>
      </w:r>
    </w:p>
    <w:p w:rsidR="00000000" w:rsidDel="00000000" w:rsidP="00000000" w:rsidRDefault="00000000" w:rsidRPr="00000000" w14:paraId="00000045">
      <w:pPr>
        <w:widowControl w:val="1"/>
        <w:numPr>
          <w:ilvl w:val="0"/>
          <w:numId w:val="2"/>
        </w:numPr>
        <w:spacing w:after="0" w:afterAutospacing="0" w:before="0" w:beforeAutospacing="0" w:line="312" w:lineRule="auto"/>
        <w:ind w:left="720" w:hanging="360"/>
        <w:rPr>
          <w:rFonts w:ascii="Archivo" w:cs="Archivo" w:eastAsia="Archivo" w:hAnsi="Archivo"/>
          <w:color w:val="022043"/>
          <w:sz w:val="24"/>
          <w:szCs w:val="24"/>
        </w:rPr>
      </w:pPr>
      <w:r w:rsidDel="00000000" w:rsidR="00000000" w:rsidRPr="00000000">
        <w:rPr>
          <w:rFonts w:ascii="Archivo" w:cs="Archivo" w:eastAsia="Archivo" w:hAnsi="Archivo"/>
          <w:b w:val="1"/>
          <w:bCs w:val="1"/>
          <w:color w:val="022043"/>
          <w:sz w:val="24"/>
          <w:szCs w:val="24"/>
          <w:rtl w:val="0"/>
        </w:rPr>
        <w:t xml:space="preserve">Unknown:</w:t>
      </w:r>
      <w:r w:rsidDel="00000000" w:rsidR="00000000" w:rsidRPr="00000000">
        <w:rPr>
          <w:rFonts w:ascii="Archivo" w:cs="Archivo" w:eastAsia="Archivo" w:hAnsi="Archivo"/>
          <w:color w:val="022043"/>
          <w:sz w:val="24"/>
          <w:szCs w:val="24"/>
          <w:rtl w:val="0"/>
        </w:rPr>
        <w:t xml:space="preserve"> The "context-aware hand-off" pattern is the document's best answer to the unknown — when the AI doesn't know, it fails gracefully. Emphasize this as a risk management mechanism, not a limitation.</w:t>
      </w:r>
    </w:p>
    <w:p w:rsidR="00000000" w:rsidDel="00000000" w:rsidP="00000000" w:rsidRDefault="00000000" w:rsidRPr="00000000" w14:paraId="00000046">
      <w:pPr>
        <w:widowControl w:val="1"/>
        <w:numPr>
          <w:ilvl w:val="0"/>
          <w:numId w:val="2"/>
        </w:numPr>
        <w:spacing w:after="240" w:before="0" w:beforeAutospacing="0" w:line="312" w:lineRule="auto"/>
        <w:ind w:left="720" w:hanging="360"/>
        <w:rPr>
          <w:rFonts w:ascii="Archivo" w:cs="Archivo" w:eastAsia="Archivo" w:hAnsi="Archivo"/>
          <w:color w:val="022043"/>
          <w:sz w:val="24"/>
          <w:szCs w:val="24"/>
        </w:rPr>
      </w:pPr>
      <w:r w:rsidDel="00000000" w:rsidR="00000000" w:rsidRPr="00000000">
        <w:rPr>
          <w:rFonts w:ascii="Archivo" w:cs="Archivo" w:eastAsia="Archivo" w:hAnsi="Archivo"/>
          <w:b w:val="1"/>
          <w:bCs w:val="1"/>
          <w:color w:val="022043"/>
          <w:sz w:val="24"/>
          <w:szCs w:val="24"/>
          <w:rtl w:val="0"/>
        </w:rPr>
        <w:t xml:space="preserve">Wasted Effort:</w:t>
      </w:r>
      <w:r w:rsidDel="00000000" w:rsidR="00000000" w:rsidRPr="00000000">
        <w:rPr>
          <w:rFonts w:ascii="Archivo" w:cs="Archivo" w:eastAsia="Archivo" w:hAnsi="Archivo"/>
          <w:color w:val="022043"/>
          <w:sz w:val="24"/>
          <w:szCs w:val="24"/>
          <w:rtl w:val="0"/>
        </w:rPr>
        <w:t xml:space="preserve"> Tie the three decisions directly to the 2026 revenue target. Frame it as: "These gates are not slowing us down — they are the only path to hitting the number, because without them, adoption math doesn't work."</w:t>
      </w:r>
    </w:p>
    <w:p w:rsidR="00000000" w:rsidDel="00000000" w:rsidP="00000000" w:rsidRDefault="00000000" w:rsidRPr="00000000" w14:paraId="00000047">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zc647r3yw9s8" w:id="9"/>
      <w:bookmarkEnd w:id="9"/>
      <w:r w:rsidDel="00000000" w:rsidR="00000000" w:rsidRPr="00000000">
        <w:rPr>
          <w:rFonts w:ascii="Archivo SemiBold" w:cs="Archivo SemiBold" w:eastAsia="Archivo SemiBold" w:hAnsi="Archivo SemiBold"/>
          <w:b w:val="0"/>
          <w:bCs w:val="0"/>
          <w:color w:val="0057ae"/>
          <w:rtl w:val="0"/>
        </w:rPr>
        <w:t xml:space="preserve">Strategic Action Items</w:t>
      </w:r>
    </w:p>
    <w:p w:rsidR="00000000" w:rsidDel="00000000" w:rsidP="00000000" w:rsidRDefault="00000000" w:rsidRPr="00000000" w14:paraId="00000048">
      <w:pPr>
        <w:widowControl w:val="1"/>
        <w:numPr>
          <w:ilvl w:val="0"/>
          <w:numId w:val="1"/>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Priority High:</w:t>
      </w:r>
      <w:r w:rsidDel="00000000" w:rsidR="00000000" w:rsidRPr="00000000">
        <w:rPr>
          <w:rFonts w:ascii="Archivo" w:cs="Archivo" w:eastAsia="Archivo" w:hAnsi="Archivo"/>
          <w:color w:val="022043"/>
          <w:sz w:val="24"/>
          <w:szCs w:val="24"/>
          <w:rtl w:val="0"/>
        </w:rPr>
        <w:t xml:space="preserve"> Convene the proposed cross-functional meeting to ratify release quality gates — define specific metrics, halt criteria, and ownership for each gate.</w:t>
      </w:r>
    </w:p>
    <w:p w:rsidR="00000000" w:rsidDel="00000000" w:rsidP="00000000" w:rsidRDefault="00000000" w:rsidRPr="00000000" w14:paraId="00000049">
      <w:pPr>
        <w:widowControl w:val="1"/>
        <w:numPr>
          <w:ilvl w:val="0"/>
          <w:numId w:val="1"/>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Priority High:</w:t>
      </w:r>
      <w:r w:rsidDel="00000000" w:rsidR="00000000" w:rsidRPr="00000000">
        <w:rPr>
          <w:rFonts w:ascii="Archivo" w:cs="Archivo" w:eastAsia="Archivo" w:hAnsi="Archivo"/>
          <w:color w:val="022043"/>
          <w:sz w:val="24"/>
          <w:szCs w:val="24"/>
          <w:rtl w:val="0"/>
        </w:rPr>
        <w:t xml:space="preserve"> Remediate the SSSA security bug (unauthorized time-off requests without delegation) and conduct a retroactive audit of affected records.</w:t>
      </w:r>
    </w:p>
    <w:p w:rsidR="00000000" w:rsidDel="00000000" w:rsidP="00000000" w:rsidRDefault="00000000" w:rsidRPr="00000000" w14:paraId="0000004A">
      <w:pPr>
        <w:widowControl w:val="1"/>
        <w:numPr>
          <w:ilvl w:val="0"/>
          <w:numId w:val="1"/>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Priority High:</w:t>
      </w:r>
      <w:r w:rsidDel="00000000" w:rsidR="00000000" w:rsidRPr="00000000">
        <w:rPr>
          <w:rFonts w:ascii="Archivo" w:cs="Archivo" w:eastAsia="Archivo" w:hAnsi="Archivo"/>
          <w:color w:val="022043"/>
          <w:sz w:val="24"/>
          <w:szCs w:val="24"/>
          <w:rtl w:val="0"/>
        </w:rPr>
        <w:t xml:space="preserve"> Establish a measurable accuracy benchmark for core data retrieval (PTO, Comp, Dates) and integrate it into the pre-release testing pipeline.</w:t>
      </w:r>
    </w:p>
    <w:p w:rsidR="00000000" w:rsidDel="00000000" w:rsidP="00000000" w:rsidRDefault="00000000" w:rsidRPr="00000000" w14:paraId="0000004B">
      <w:pPr>
        <w:widowControl w:val="1"/>
        <w:numPr>
          <w:ilvl w:val="0"/>
          <w:numId w:val="1"/>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Priority Medium:</w:t>
      </w:r>
      <w:r w:rsidDel="00000000" w:rsidR="00000000" w:rsidRPr="00000000">
        <w:rPr>
          <w:rFonts w:ascii="Archivo" w:cs="Archivo" w:eastAsia="Archivo" w:hAnsi="Archivo"/>
          <w:color w:val="022043"/>
          <w:sz w:val="24"/>
          <w:szCs w:val="24"/>
          <w:rtl w:val="0"/>
        </w:rPr>
        <w:t xml:space="preserve"> Design the "context-aware hand-off" pattern as a reusable component so that all future agents inherit graceful degradation behavior.</w:t>
      </w:r>
    </w:p>
    <w:p w:rsidR="00000000" w:rsidDel="00000000" w:rsidP="00000000" w:rsidRDefault="00000000" w:rsidRPr="00000000" w14:paraId="0000004C">
      <w:pPr>
        <w:widowControl w:val="1"/>
        <w:numPr>
          <w:ilvl w:val="0"/>
          <w:numId w:val="1"/>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Priority Medium:</w:t>
      </w:r>
      <w:r w:rsidDel="00000000" w:rsidR="00000000" w:rsidRPr="00000000">
        <w:rPr>
          <w:rFonts w:ascii="Archivo" w:cs="Archivo" w:eastAsia="Archivo" w:hAnsi="Archivo"/>
          <w:color w:val="022043"/>
          <w:sz w:val="24"/>
          <w:szCs w:val="24"/>
          <w:rtl w:val="0"/>
        </w:rPr>
        <w:t xml:space="preserve"> Draft the "AI Readiness" GTM package with scope, timeline, and pilot customer criteria for field team alignment.</w:t>
      </w:r>
    </w:p>
    <w:p w:rsidR="00000000" w:rsidDel="00000000" w:rsidP="00000000" w:rsidRDefault="00000000" w:rsidRPr="00000000" w14:paraId="0000004D">
      <w:pPr>
        <w:widowControl w:val="1"/>
        <w:numPr>
          <w:ilvl w:val="0"/>
          <w:numId w:val="1"/>
        </w:numPr>
        <w:spacing w:line="312" w:lineRule="auto"/>
        <w:ind w:left="720" w:hanging="360"/>
      </w:pPr>
      <w:r w:rsidDel="00000000" w:rsidR="00000000" w:rsidRPr="00000000">
        <w:rPr>
          <w:rFonts w:ascii="Archivo" w:cs="Archivo" w:eastAsia="Archivo" w:hAnsi="Archivo"/>
          <w:b w:val="1"/>
          <w:bCs w:val="1"/>
          <w:color w:val="022043"/>
          <w:sz w:val="24"/>
          <w:szCs w:val="24"/>
          <w:rtl w:val="0"/>
        </w:rPr>
        <w:t xml:space="preserve">Priority Low:</w:t>
      </w:r>
      <w:r w:rsidDel="00000000" w:rsidR="00000000" w:rsidRPr="00000000">
        <w:rPr>
          <w:rFonts w:ascii="Archivo" w:cs="Archivo" w:eastAsia="Archivo" w:hAnsi="Archivo"/>
          <w:color w:val="022043"/>
          <w:sz w:val="24"/>
          <w:szCs w:val="24"/>
          <w:rtl w:val="0"/>
        </w:rPr>
        <w:t xml:space="preserve"> Document the SSSA launch as a formal case study (metrics, root causes, remediations) to serve as the internal reference baseline for future agent launches.</w:t>
      </w:r>
    </w:p>
    <w:p w:rsidR="00000000" w:rsidDel="00000000" w:rsidP="00000000" w:rsidRDefault="00000000" w:rsidRPr="00000000" w14:paraId="0000004E">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pl5lul4zkt99" w:id="10"/>
      <w:bookmarkEnd w:id="10"/>
      <w:r w:rsidDel="00000000" w:rsidR="00000000" w:rsidRPr="00000000">
        <w:rPr>
          <w:rFonts w:ascii="Archivo SemiBold" w:cs="Archivo SemiBold" w:eastAsia="Archivo SemiBold" w:hAnsi="Archivo SemiBold"/>
          <w:b w:val="0"/>
          <w:bCs w:val="0"/>
          <w:color w:val="0057ae"/>
          <w:rtl w:val="0"/>
        </w:rPr>
        <w:t xml:space="preserve">Related Documentation</w:t>
      </w:r>
    </w:p>
    <w:p w:rsidR="00000000" w:rsidDel="00000000" w:rsidP="00000000" w:rsidRDefault="00000000" w:rsidRPr="00000000" w14:paraId="0000004F">
      <w:pPr>
        <w:widowControl w:val="1"/>
        <w:numPr>
          <w:ilvl w:val="0"/>
          <w:numId w:val="6"/>
        </w:numPr>
        <w:spacing w:line="312" w:lineRule="auto"/>
        <w:ind w:left="720" w:hanging="360"/>
      </w:pPr>
      <w:r w:rsidDel="00000000" w:rsidR="00000000" w:rsidRPr="00000000">
        <w:rPr>
          <w:rFonts w:ascii="Archivo" w:cs="Archivo" w:eastAsia="Archivo" w:hAnsi="Archivo"/>
          <w:color w:val="022043"/>
          <w:sz w:val="24"/>
          <w:szCs w:val="24"/>
          <w:rtl w:val="0"/>
        </w:rPr>
        <w:t xml:space="preserve">WSSA Evolution March 2026 Executive Summary (referenced as source for SSSA engagement data)</w:t>
      </w:r>
    </w:p>
    <w:p w:rsidR="00000000" w:rsidDel="00000000" w:rsidP="00000000" w:rsidRDefault="00000000" w:rsidRPr="00000000" w14:paraId="00000050">
      <w:pPr>
        <w:widowControl w:val="1"/>
        <w:numPr>
          <w:ilvl w:val="0"/>
          <w:numId w:val="6"/>
        </w:numPr>
        <w:spacing w:line="312" w:lineRule="auto"/>
        <w:ind w:left="720" w:hanging="360"/>
      </w:pPr>
      <w:r w:rsidDel="00000000" w:rsidR="00000000" w:rsidRPr="00000000">
        <w:rPr>
          <w:rFonts w:ascii="Archivo" w:cs="Archivo" w:eastAsia="Archivo" w:hAnsi="Archivo"/>
          <w:color w:val="022043"/>
          <w:sz w:val="24"/>
          <w:szCs w:val="24"/>
          <w:rtl w:val="0"/>
        </w:rPr>
        <w:t xml:space="preserve">Accelya &amp; Salesforce Customer Deep Dives, Q1 2026 (referenced for hallucination and balance-inaccuracy findings)</w:t>
      </w:r>
    </w:p>
    <w:p w:rsidR="00000000" w:rsidDel="00000000" w:rsidP="00000000" w:rsidRDefault="00000000" w:rsidRPr="00000000" w14:paraId="00000051">
      <w:pPr>
        <w:widowControl w:val="1"/>
        <w:numPr>
          <w:ilvl w:val="0"/>
          <w:numId w:val="6"/>
        </w:numPr>
        <w:spacing w:line="312" w:lineRule="auto"/>
        <w:ind w:left="720" w:hanging="360"/>
      </w:pPr>
      <w:r w:rsidDel="00000000" w:rsidR="00000000" w:rsidRPr="00000000">
        <w:rPr>
          <w:rFonts w:ascii="Archivo" w:cs="Archivo" w:eastAsia="Archivo" w:hAnsi="Archivo"/>
          <w:color w:val="022043"/>
          <w:sz w:val="24"/>
          <w:szCs w:val="24"/>
          <w:rtl w:val="0"/>
        </w:rPr>
        <w:t xml:space="preserve">Workday Agent Portfolio Roadmap (implied; not directly cited)</w:t>
      </w:r>
    </w:p>
    <w:p w:rsidR="00000000" w:rsidDel="00000000" w:rsidP="00000000" w:rsidRDefault="00000000" w:rsidRPr="00000000" w14:paraId="00000052">
      <w:pPr>
        <w:widowControl w:val="1"/>
        <w:spacing w:line="312" w:lineRule="auto"/>
        <w:rPr>
          <w:rFonts w:ascii="Archivo" w:cs="Archivo" w:eastAsia="Archivo" w:hAnsi="Archivo"/>
          <w:color w:val="022043"/>
          <w:sz w:val="24"/>
          <w:szCs w:val="24"/>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ivo" w:cs="Archivo" w:eastAsia="Archivo" w:hAnsi="Archivo"/>
          <w:color w:val="022043"/>
          <w:sz w:val="24"/>
          <w:szCs w:val="24"/>
        </w:rPr>
        <w:sectPr>
          <w:type w:val="nextPage"/>
          <w:pgSz w:h="15840" w:w="12240" w:orient="portrait"/>
          <w:pgMar w:bottom="1440" w:top="1440" w:left="1440" w:right="1440" w:header="0" w:footer="720"/>
          <w:pgNumType w:start="1"/>
        </w:sectPr>
      </w:pPr>
      <w:bookmarkStart w:colFirst="0" w:colLast="0" w:name="_2ski92dzm7eu" w:id="11"/>
      <w:bookmarkEnd w:id="11"/>
      <w:r w:rsidDel="00000000" w:rsidR="00000000" w:rsidRPr="00000000">
        <w:rPr>
          <w:rFonts w:ascii="Archivo" w:cs="Archivo" w:eastAsia="Archivo" w:hAnsi="Archivo"/>
          <w:b w:val="1"/>
          <w:bCs w:val="1"/>
          <w:i w:val="0"/>
          <w:iCs w:val="0"/>
          <w:smallCaps w:val="0"/>
          <w:strike w:val="0"/>
          <w:color w:val="fc5b05"/>
          <w:sz w:val="64"/>
          <w:szCs w:val="64"/>
          <w:u w:val="none"/>
          <w:shd w:fill="auto" w:val="clear"/>
          <w:vertAlign w:val="baseline"/>
          <w:rtl w:val="0"/>
        </w:rPr>
        <w:t xml:space="preserve">Other Research</w:t>
      </w:r>
      <w:r w:rsidDel="00000000" w:rsidR="00000000" w:rsidRPr="00000000">
        <w:rPr>
          <w:rtl w:val="0"/>
        </w:rPr>
      </w:r>
    </w:p>
    <w:p w:rsidR="00000000" w:rsidDel="00000000" w:rsidP="00000000" w:rsidRDefault="00000000" w:rsidRPr="00000000" w14:paraId="00000054">
      <w:pPr>
        <w:pStyle w:val="Title"/>
        <w:widowControl w:val="1"/>
        <w:spacing w:before="0" w:lineRule="auto"/>
        <w:rPr>
          <w:rFonts w:ascii="Archivo" w:cs="Archivo" w:eastAsia="Archivo" w:hAnsi="Archivo"/>
          <w:color w:val="fc5b05"/>
          <w:sz w:val="64"/>
          <w:szCs w:val="64"/>
        </w:rPr>
      </w:pPr>
      <w:bookmarkStart w:colFirst="0" w:colLast="0" w:name="_b21oidmaeifa" w:id="12"/>
      <w:bookmarkEnd w:id="12"/>
      <w:r w:rsidDel="00000000" w:rsidR="00000000" w:rsidRPr="00000000">
        <w:rPr>
          <w:rFonts w:ascii="Archivo" w:cs="Archivo" w:eastAsia="Archivo" w:hAnsi="Archivo"/>
          <w:color w:val="fc5b05"/>
          <w:sz w:val="64"/>
          <w:szCs w:val="64"/>
          <w:rtl w:val="0"/>
        </w:rPr>
        <w:t xml:space="preserve">Other Research</w:t>
      </w:r>
    </w:p>
    <w:p w:rsidR="00000000" w:rsidDel="00000000" w:rsidP="00000000" w:rsidRDefault="00000000" w:rsidRPr="00000000" w14:paraId="00000055">
      <w:pPr>
        <w:widowControl w:val="1"/>
        <w:spacing w:line="312" w:lineRule="auto"/>
        <w:rPr>
          <w:rFonts w:ascii="Archivo" w:cs="Archivo" w:eastAsia="Archivo" w:hAnsi="Archivo"/>
          <w:color w:val="9900ff"/>
          <w:sz w:val="24"/>
          <w:szCs w:val="24"/>
        </w:rPr>
      </w:pPr>
      <w:r w:rsidDel="00000000" w:rsidR="00000000" w:rsidRPr="00000000">
        <w:rPr>
          <w:rFonts w:ascii="Archivo" w:cs="Archivo" w:eastAsia="Archivo" w:hAnsi="Archivo"/>
          <w:color w:val="9900ff"/>
          <w:sz w:val="24"/>
          <w:szCs w:val="24"/>
          <w:rtl w:val="0"/>
        </w:rPr>
        <w:t xml:space="preserve">Claude Generated, needs validation.</w:t>
      </w:r>
    </w:p>
    <w:p w:rsidR="00000000" w:rsidDel="00000000" w:rsidP="00000000" w:rsidRDefault="00000000" w:rsidRPr="00000000" w14:paraId="00000056">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aemha36thl7" w:id="13"/>
      <w:bookmarkEnd w:id="13"/>
      <w:r w:rsidDel="00000000" w:rsidR="00000000" w:rsidRPr="00000000">
        <w:rPr>
          <w:rFonts w:ascii="Archivo SemiBold" w:cs="Archivo SemiBold" w:eastAsia="Archivo SemiBold" w:hAnsi="Archivo SemiBold"/>
          <w:b w:val="0"/>
          <w:bCs w:val="0"/>
          <w:color w:val="0057ae"/>
          <w:rtl w:val="0"/>
        </w:rPr>
        <w:t xml:space="preserve">External Coverage &amp; Supporting Sources</w:t>
      </w:r>
    </w:p>
    <w:p w:rsidR="00000000" w:rsidDel="00000000" w:rsidP="00000000" w:rsidRDefault="00000000" w:rsidRPr="00000000" w14:paraId="00000057">
      <w:pPr>
        <w:widowControl w:val="1"/>
        <w:spacing w:line="312" w:lineRule="auto"/>
        <w:rPr>
          <w:rFonts w:ascii="Archivo" w:cs="Archivo" w:eastAsia="Archivo" w:hAnsi="Archivo"/>
          <w:color w:val="022043"/>
          <w:sz w:val="24"/>
          <w:szCs w:val="24"/>
        </w:rPr>
      </w:pPr>
      <w:r w:rsidDel="00000000" w:rsidR="00000000" w:rsidRPr="00000000">
        <w:rPr>
          <w:rFonts w:ascii="Archivo" w:cs="Archivo" w:eastAsia="Archivo" w:hAnsi="Archivo"/>
          <w:color w:val="022043"/>
          <w:sz w:val="24"/>
          <w:szCs w:val="24"/>
          <w:rtl w:val="0"/>
        </w:rPr>
        <w:t xml:space="preserve">The document's core thesis — that trust, not capability, is the bottleneck for enterprise AI — is well-supported by recent external coverage. The specific SSSA metrics (15.9% retention, 57.3% negative feedback) are internal and do not appear publicly, but the broader argument aligns with industry consensus.</w:t>
      </w:r>
    </w:p>
    <w:p w:rsidR="00000000" w:rsidDel="00000000" w:rsidP="00000000" w:rsidRDefault="00000000" w:rsidRPr="00000000" w14:paraId="00000058">
      <w:pPr>
        <w:pStyle w:val="Heading3"/>
        <w:keepNext w:val="1"/>
        <w:keepLines w:val="1"/>
        <w:widowControl w:val="1"/>
        <w:spacing w:after="120" w:before="320" w:line="312" w:lineRule="auto"/>
        <w:rPr>
          <w:rFonts w:ascii="Archivo Medium" w:cs="Archivo Medium" w:eastAsia="Archivo Medium" w:hAnsi="Archivo Medium"/>
          <w:b w:val="0"/>
          <w:bCs w:val="0"/>
          <w:color w:val="1691e3"/>
          <w:sz w:val="32"/>
          <w:szCs w:val="32"/>
        </w:rPr>
      </w:pPr>
      <w:bookmarkStart w:colFirst="0" w:colLast="0" w:name="_xh1zctjzfpqx" w:id="14"/>
      <w:bookmarkEnd w:id="14"/>
      <w:r w:rsidDel="00000000" w:rsidR="00000000" w:rsidRPr="00000000">
        <w:rPr>
          <w:rFonts w:ascii="Archivo Medium" w:cs="Archivo Medium" w:eastAsia="Archivo Medium" w:hAnsi="Archivo Medium"/>
          <w:b w:val="0"/>
          <w:bCs w:val="0"/>
          <w:color w:val="1691e3"/>
          <w:sz w:val="32"/>
          <w:szCs w:val="32"/>
          <w:rtl w:val="0"/>
        </w:rPr>
        <w:t xml:space="preserve">Workday's Own Publications</w:t>
      </w:r>
    </w:p>
    <w:p w:rsidR="00000000" w:rsidDel="00000000" w:rsidP="00000000" w:rsidRDefault="00000000" w:rsidRPr="00000000" w14:paraId="00000059">
      <w:pPr>
        <w:widowControl w:val="1"/>
        <w:numPr>
          <w:ilvl w:val="0"/>
          <w:numId w:val="7"/>
        </w:numPr>
        <w:spacing w:line="312" w:lineRule="auto"/>
        <w:ind w:left="720" w:hanging="360"/>
        <w:rPr>
          <w:rFonts w:ascii="Archivo" w:cs="Archivo" w:eastAsia="Archivo" w:hAnsi="Archivo"/>
          <w:color w:val="022043"/>
          <w:sz w:val="24"/>
          <w:szCs w:val="24"/>
        </w:rPr>
      </w:pPr>
      <w:hyperlink r:id="rId8">
        <w:r w:rsidDel="00000000" w:rsidR="00000000" w:rsidRPr="00000000">
          <w:rPr>
            <w:rFonts w:ascii="Archivo" w:cs="Archivo" w:eastAsia="Archivo" w:hAnsi="Archivo"/>
            <w:b w:val="1"/>
            <w:bCs w:val="1"/>
            <w:color w:val="1155cc"/>
            <w:sz w:val="24"/>
            <w:szCs w:val="24"/>
            <w:u w:val="single"/>
            <w:rtl w:val="0"/>
          </w:rPr>
          <w:t xml:space="preserve">How the AI Trust Gap Slows Adoption</w:t>
        </w:r>
      </w:hyperlink>
      <w:r w:rsidDel="00000000" w:rsidR="00000000" w:rsidRPr="00000000">
        <w:rPr>
          <w:rFonts w:ascii="Archivo" w:cs="Archivo" w:eastAsia="Archivo" w:hAnsi="Archivo"/>
          <w:color w:val="022043"/>
          <w:sz w:val="24"/>
          <w:szCs w:val="24"/>
          <w:rtl w:val="0"/>
        </w:rPr>
        <w:t xml:space="preserve"> (March 17, 2026) — A Workday survey of 5,000+ business leaders and employees found only 55% of employees are confident their organizations will implement AI responsibly. The article argues that when people don't trust an AI system, they avoid it or double-check everything it produces, stalling adoption and canceling productivity gains.</w:t>
      </w:r>
    </w:p>
    <w:p w:rsidR="00000000" w:rsidDel="00000000" w:rsidP="00000000" w:rsidRDefault="00000000" w:rsidRPr="00000000" w14:paraId="0000005A">
      <w:pPr>
        <w:widowControl w:val="1"/>
        <w:numPr>
          <w:ilvl w:val="0"/>
          <w:numId w:val="7"/>
        </w:numPr>
        <w:spacing w:line="312" w:lineRule="auto"/>
        <w:ind w:left="720" w:hanging="360"/>
        <w:rPr>
          <w:rFonts w:ascii="Archivo" w:cs="Archivo" w:eastAsia="Archivo" w:hAnsi="Archivo"/>
          <w:color w:val="022043"/>
          <w:sz w:val="24"/>
          <w:szCs w:val="24"/>
        </w:rPr>
      </w:pPr>
      <w:hyperlink r:id="rId9">
        <w:r w:rsidDel="00000000" w:rsidR="00000000" w:rsidRPr="00000000">
          <w:rPr>
            <w:rFonts w:ascii="Archivo" w:cs="Archivo" w:eastAsia="Archivo" w:hAnsi="Archivo"/>
            <w:b w:val="1"/>
            <w:bCs w:val="1"/>
            <w:color w:val="1155cc"/>
            <w:sz w:val="24"/>
            <w:szCs w:val="24"/>
            <w:u w:val="single"/>
            <w:rtl w:val="0"/>
          </w:rPr>
          <w:t xml:space="preserve">Why Trust Is the Fastest Path to Responsible AI Adoption</w:t>
        </w:r>
      </w:hyperlink>
      <w:r w:rsidDel="00000000" w:rsidR="00000000" w:rsidRPr="00000000">
        <w:rPr>
          <w:rFonts w:ascii="Archivo" w:cs="Archivo" w:eastAsia="Archivo" w:hAnsi="Archivo"/>
          <w:color w:val="022043"/>
          <w:sz w:val="24"/>
          <w:szCs w:val="24"/>
          <w:rtl w:val="0"/>
        </w:rPr>
        <w:t xml:space="preserve"> (January 13, 2026) — A Workday podcast featuring their SVP and deputy general counsel alongside Celonis's chief legal and trust officer, emphasizing that accuracy drives adoption and adoption drives ROI.</w:t>
      </w:r>
    </w:p>
    <w:p w:rsidR="00000000" w:rsidDel="00000000" w:rsidP="00000000" w:rsidRDefault="00000000" w:rsidRPr="00000000" w14:paraId="0000005B">
      <w:pPr>
        <w:widowControl w:val="1"/>
        <w:numPr>
          <w:ilvl w:val="0"/>
          <w:numId w:val="7"/>
        </w:numPr>
        <w:spacing w:line="312" w:lineRule="auto"/>
        <w:ind w:left="720" w:hanging="360"/>
        <w:rPr>
          <w:rFonts w:ascii="Archivo" w:cs="Archivo" w:eastAsia="Archivo" w:hAnsi="Archivo"/>
          <w:color w:val="022043"/>
          <w:sz w:val="24"/>
          <w:szCs w:val="24"/>
        </w:rPr>
      </w:pPr>
      <w:hyperlink r:id="rId10">
        <w:r w:rsidDel="00000000" w:rsidR="00000000" w:rsidRPr="00000000">
          <w:rPr>
            <w:rFonts w:ascii="Archivo" w:cs="Archivo" w:eastAsia="Archivo" w:hAnsi="Archivo"/>
            <w:b w:val="1"/>
            <w:bCs w:val="1"/>
            <w:color w:val="1155cc"/>
            <w:sz w:val="24"/>
            <w:szCs w:val="24"/>
            <w:u w:val="single"/>
            <w:rtl w:val="0"/>
          </w:rPr>
          <w:t xml:space="preserve">Trust by Design: How Workday Builds AI That Puts People First</w:t>
        </w:r>
      </w:hyperlink>
      <w:r w:rsidDel="00000000" w:rsidR="00000000" w:rsidRPr="00000000">
        <w:rPr>
          <w:rFonts w:ascii="Archivo" w:cs="Archivo" w:eastAsia="Archivo" w:hAnsi="Archivo"/>
          <w:color w:val="022043"/>
          <w:sz w:val="24"/>
          <w:szCs w:val="24"/>
          <w:rtl w:val="0"/>
        </w:rPr>
        <w:t xml:space="preserve"> (January 8, 2026) — Details Workday's responsible AI governance framework, including their internal Responsible AI Advisory Board and board-level oversight of agentic AI.</w:t>
      </w:r>
    </w:p>
    <w:p w:rsidR="00000000" w:rsidDel="00000000" w:rsidP="00000000" w:rsidRDefault="00000000" w:rsidRPr="00000000" w14:paraId="0000005C">
      <w:pPr>
        <w:pStyle w:val="Heading3"/>
        <w:keepNext w:val="1"/>
        <w:keepLines w:val="1"/>
        <w:widowControl w:val="1"/>
        <w:spacing w:after="120" w:before="320" w:line="312" w:lineRule="auto"/>
        <w:rPr>
          <w:rFonts w:ascii="Archivo Medium" w:cs="Archivo Medium" w:eastAsia="Archivo Medium" w:hAnsi="Archivo Medium"/>
          <w:b w:val="0"/>
          <w:bCs w:val="0"/>
          <w:color w:val="1691e3"/>
          <w:sz w:val="32"/>
          <w:szCs w:val="32"/>
        </w:rPr>
      </w:pPr>
      <w:bookmarkStart w:colFirst="0" w:colLast="0" w:name="_6vjcka67tknh" w:id="15"/>
      <w:bookmarkEnd w:id="15"/>
      <w:r w:rsidDel="00000000" w:rsidR="00000000" w:rsidRPr="00000000">
        <w:rPr>
          <w:rFonts w:ascii="Archivo Medium" w:cs="Archivo Medium" w:eastAsia="Archivo Medium" w:hAnsi="Archivo Medium"/>
          <w:b w:val="0"/>
          <w:bCs w:val="0"/>
          <w:color w:val="1691e3"/>
          <w:sz w:val="32"/>
          <w:szCs w:val="32"/>
          <w:rtl w:val="0"/>
        </w:rPr>
        <w:t xml:space="preserve">Workday Product &amp; Financial Context</w:t>
      </w:r>
    </w:p>
    <w:p w:rsidR="00000000" w:rsidDel="00000000" w:rsidP="00000000" w:rsidRDefault="00000000" w:rsidRPr="00000000" w14:paraId="0000005D">
      <w:pPr>
        <w:widowControl w:val="1"/>
        <w:numPr>
          <w:ilvl w:val="0"/>
          <w:numId w:val="12"/>
        </w:numPr>
        <w:spacing w:line="312" w:lineRule="auto"/>
        <w:ind w:left="720" w:hanging="360"/>
        <w:rPr>
          <w:rFonts w:ascii="Archivo" w:cs="Archivo" w:eastAsia="Archivo" w:hAnsi="Archivo"/>
          <w:color w:val="022043"/>
          <w:sz w:val="24"/>
          <w:szCs w:val="24"/>
        </w:rPr>
      </w:pPr>
      <w:hyperlink r:id="rId11">
        <w:r w:rsidDel="00000000" w:rsidR="00000000" w:rsidRPr="00000000">
          <w:rPr>
            <w:rFonts w:ascii="Archivo" w:cs="Archivo" w:eastAsia="Archivo" w:hAnsi="Archivo"/>
            <w:b w:val="1"/>
            <w:bCs w:val="1"/>
            <w:color w:val="1155cc"/>
            <w:sz w:val="24"/>
            <w:szCs w:val="24"/>
            <w:u w:val="single"/>
            <w:rtl w:val="0"/>
          </w:rPr>
          <w:t xml:space="preserve">Workday Delivers Next Wave of Agentic AI</w:t>
        </w:r>
      </w:hyperlink>
      <w:r w:rsidDel="00000000" w:rsidR="00000000" w:rsidRPr="00000000">
        <w:rPr>
          <w:rFonts w:ascii="Archivo" w:cs="Archivo" w:eastAsia="Archivo" w:hAnsi="Archivo"/>
          <w:color w:val="022043"/>
          <w:sz w:val="24"/>
          <w:szCs w:val="24"/>
          <w:rtl w:val="0"/>
        </w:rPr>
        <w:t xml:space="preserve"> (March 30, 2026) — Workday announced new agentic AI capabilities including an Adoption Agent, BP Optimize Agent, and Deployment Agent, all framed around keeping humans in charge. Maps directly to the legibility and Human-in-the-Loop requirements proposed in the document.</w:t>
      </w:r>
    </w:p>
    <w:p w:rsidR="00000000" w:rsidDel="00000000" w:rsidP="00000000" w:rsidRDefault="00000000" w:rsidRPr="00000000" w14:paraId="0000005E">
      <w:pPr>
        <w:widowControl w:val="1"/>
        <w:numPr>
          <w:ilvl w:val="0"/>
          <w:numId w:val="12"/>
        </w:numPr>
        <w:spacing w:line="312" w:lineRule="auto"/>
        <w:ind w:left="720" w:hanging="360"/>
        <w:rPr>
          <w:rFonts w:ascii="Archivo" w:cs="Archivo" w:eastAsia="Archivo" w:hAnsi="Archivo"/>
          <w:color w:val="022043"/>
          <w:sz w:val="24"/>
          <w:szCs w:val="24"/>
        </w:rPr>
      </w:pPr>
      <w:hyperlink r:id="rId12">
        <w:r w:rsidDel="00000000" w:rsidR="00000000" w:rsidRPr="00000000">
          <w:rPr>
            <w:rFonts w:ascii="Archivo" w:cs="Archivo" w:eastAsia="Archivo" w:hAnsi="Archivo"/>
            <w:b w:val="1"/>
            <w:bCs w:val="1"/>
            <w:color w:val="1155cc"/>
            <w:sz w:val="24"/>
            <w:szCs w:val="24"/>
            <w:u w:val="single"/>
            <w:rtl w:val="0"/>
          </w:rPr>
          <w:t xml:space="preserve">Workday Q4 FY 2026 Earnings Analysis</w:t>
        </w:r>
      </w:hyperlink>
      <w:r w:rsidDel="00000000" w:rsidR="00000000" w:rsidRPr="00000000">
        <w:rPr>
          <w:rFonts w:ascii="Archivo" w:cs="Archivo" w:eastAsia="Archivo" w:hAnsi="Archivo"/>
          <w:color w:val="022043"/>
          <w:sz w:val="24"/>
          <w:szCs w:val="24"/>
          <w:rtl w:val="0"/>
        </w:rPr>
        <w:t xml:space="preserve"> (February 28, 2026) — AI was involved in roughly half of customer-base transactions in Q4, and AI-attached deals were larger on average. However, the near-term outlook came in slightly soft. Analysts flagged the pace of organically built agent adoption as the key monitoring point — the exact issue this document addresses.</w:t>
      </w:r>
    </w:p>
    <w:p w:rsidR="00000000" w:rsidDel="00000000" w:rsidP="00000000" w:rsidRDefault="00000000" w:rsidRPr="00000000" w14:paraId="0000005F">
      <w:pPr>
        <w:widowControl w:val="1"/>
        <w:numPr>
          <w:ilvl w:val="0"/>
          <w:numId w:val="12"/>
        </w:numPr>
        <w:spacing w:line="312" w:lineRule="auto"/>
        <w:ind w:left="720" w:hanging="360"/>
        <w:rPr>
          <w:rFonts w:ascii="Archivo" w:cs="Archivo" w:eastAsia="Archivo" w:hAnsi="Archivo"/>
          <w:color w:val="022043"/>
          <w:sz w:val="24"/>
          <w:szCs w:val="24"/>
        </w:rPr>
      </w:pPr>
      <w:hyperlink r:id="rId13">
        <w:r w:rsidDel="00000000" w:rsidR="00000000" w:rsidRPr="00000000">
          <w:rPr>
            <w:rFonts w:ascii="Archivo" w:cs="Archivo" w:eastAsia="Archivo" w:hAnsi="Archivo"/>
            <w:b w:val="1"/>
            <w:bCs w:val="1"/>
            <w:color w:val="1155cc"/>
            <w:sz w:val="24"/>
            <w:szCs w:val="24"/>
            <w:u w:val="single"/>
            <w:rtl w:val="0"/>
          </w:rPr>
          <w:t xml:space="preserve">Workday and Microsoft: Unified AI Agent Experience</w:t>
        </w:r>
      </w:hyperlink>
      <w:r w:rsidDel="00000000" w:rsidR="00000000" w:rsidRPr="00000000">
        <w:rPr>
          <w:rFonts w:ascii="Archivo" w:cs="Archivo" w:eastAsia="Archivo" w:hAnsi="Archivo"/>
          <w:color w:val="022043"/>
          <w:sz w:val="24"/>
          <w:szCs w:val="24"/>
          <w:rtl w:val="0"/>
        </w:rPr>
        <w:t xml:space="preserve"> (September 16, 2025) — Workday's Agent System of Record (ASOR) partnership with Microsoft, focused on agent identity, governance, and ROI measurement.</w:t>
      </w:r>
    </w:p>
    <w:p w:rsidR="00000000" w:rsidDel="00000000" w:rsidP="00000000" w:rsidRDefault="00000000" w:rsidRPr="00000000" w14:paraId="00000060">
      <w:pPr>
        <w:pStyle w:val="Heading3"/>
        <w:keepNext w:val="1"/>
        <w:keepLines w:val="1"/>
        <w:widowControl w:val="1"/>
        <w:spacing w:after="120" w:before="320" w:line="312" w:lineRule="auto"/>
        <w:rPr>
          <w:rFonts w:ascii="Archivo Medium" w:cs="Archivo Medium" w:eastAsia="Archivo Medium" w:hAnsi="Archivo Medium"/>
          <w:b w:val="0"/>
          <w:bCs w:val="0"/>
          <w:color w:val="1691e3"/>
          <w:sz w:val="32"/>
          <w:szCs w:val="32"/>
        </w:rPr>
      </w:pPr>
      <w:bookmarkStart w:colFirst="0" w:colLast="0" w:name="_vw15rgtdcr9g" w:id="16"/>
      <w:bookmarkEnd w:id="16"/>
      <w:r w:rsidDel="00000000" w:rsidR="00000000" w:rsidRPr="00000000">
        <w:rPr>
          <w:rFonts w:ascii="Archivo Medium" w:cs="Archivo Medium" w:eastAsia="Archivo Medium" w:hAnsi="Archivo Medium"/>
          <w:b w:val="0"/>
          <w:bCs w:val="0"/>
          <w:color w:val="1691e3"/>
          <w:sz w:val="32"/>
          <w:szCs w:val="32"/>
          <w:rtl w:val="0"/>
        </w:rPr>
        <w:t xml:space="preserve">Industry Research on AI Failure Rates</w:t>
      </w:r>
    </w:p>
    <w:p w:rsidR="00000000" w:rsidDel="00000000" w:rsidP="00000000" w:rsidRDefault="00000000" w:rsidRPr="00000000" w14:paraId="00000061">
      <w:pPr>
        <w:widowControl w:val="1"/>
        <w:spacing w:line="312" w:lineRule="auto"/>
        <w:rPr>
          <w:rFonts w:ascii="Archivo" w:cs="Archivo" w:eastAsia="Archivo" w:hAnsi="Archivo"/>
          <w:color w:val="022043"/>
          <w:sz w:val="24"/>
          <w:szCs w:val="24"/>
        </w:rPr>
      </w:pPr>
      <w:r w:rsidDel="00000000" w:rsidR="00000000" w:rsidRPr="00000000">
        <w:rPr>
          <w:rFonts w:ascii="Archivo" w:cs="Archivo" w:eastAsia="Archivo" w:hAnsi="Archivo"/>
          <w:color w:val="022043"/>
          <w:sz w:val="24"/>
          <w:szCs w:val="24"/>
          <w:rtl w:val="0"/>
        </w:rPr>
        <w:t xml:space="preserve">The document's cited "85% of AI initiatives fail" figure is corroborated by multiple authoritative sources:</w:t>
      </w:r>
    </w:p>
    <w:p w:rsidR="00000000" w:rsidDel="00000000" w:rsidP="00000000" w:rsidRDefault="00000000" w:rsidRPr="00000000" w14:paraId="00000062">
      <w:pPr>
        <w:widowControl w:val="1"/>
        <w:spacing w:line="312" w:lineRule="auto"/>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63">
      <w:pPr>
        <w:widowControl w:val="1"/>
        <w:numPr>
          <w:ilvl w:val="0"/>
          <w:numId w:val="5"/>
        </w:numPr>
        <w:spacing w:line="312" w:lineRule="auto"/>
        <w:ind w:left="720" w:hanging="360"/>
        <w:rPr>
          <w:rFonts w:ascii="Archivo" w:cs="Archivo" w:eastAsia="Archivo" w:hAnsi="Archivo"/>
          <w:color w:val="022043"/>
          <w:sz w:val="24"/>
          <w:szCs w:val="24"/>
        </w:rPr>
      </w:pPr>
      <w:hyperlink r:id="rId14">
        <w:r w:rsidDel="00000000" w:rsidR="00000000" w:rsidRPr="00000000">
          <w:rPr>
            <w:rFonts w:ascii="Archivo" w:cs="Archivo" w:eastAsia="Archivo" w:hAnsi="Archivo"/>
            <w:b w:val="1"/>
            <w:bCs w:val="1"/>
            <w:color w:val="1155cc"/>
            <w:sz w:val="24"/>
            <w:szCs w:val="24"/>
            <w:u w:val="single"/>
            <w:rtl w:val="0"/>
          </w:rPr>
          <w:t xml:space="preserve">NTT DATA: Between 70–85% of GenAI Deployments Are Failing</w:t>
        </w:r>
      </w:hyperlink>
      <w:r w:rsidDel="00000000" w:rsidR="00000000" w:rsidRPr="00000000">
        <w:rPr>
          <w:rFonts w:ascii="Archivo" w:cs="Archivo" w:eastAsia="Archivo" w:hAnsi="Archivo"/>
          <w:color w:val="022043"/>
          <w:sz w:val="24"/>
          <w:szCs w:val="24"/>
          <w:rtl w:val="0"/>
        </w:rPr>
        <w:t xml:space="preserve"> — Reports that 70–85% of current AI initiatives fail to meet expected outcomes, referencing MIT research that initially found a 70% failure rate, with projections increasing to 85%.</w:t>
      </w:r>
    </w:p>
    <w:p w:rsidR="00000000" w:rsidDel="00000000" w:rsidP="00000000" w:rsidRDefault="00000000" w:rsidRPr="00000000" w14:paraId="00000064">
      <w:pPr>
        <w:widowControl w:val="1"/>
        <w:numPr>
          <w:ilvl w:val="0"/>
          <w:numId w:val="5"/>
        </w:numPr>
        <w:spacing w:line="312" w:lineRule="auto"/>
        <w:ind w:left="720" w:hanging="360"/>
        <w:rPr>
          <w:rFonts w:ascii="Archivo" w:cs="Archivo" w:eastAsia="Archivo" w:hAnsi="Archivo"/>
          <w:color w:val="022043"/>
          <w:sz w:val="24"/>
          <w:szCs w:val="24"/>
        </w:rPr>
      </w:pPr>
      <w:hyperlink r:id="rId15">
        <w:r w:rsidDel="00000000" w:rsidR="00000000" w:rsidRPr="00000000">
          <w:rPr>
            <w:rFonts w:ascii="Archivo" w:cs="Archivo" w:eastAsia="Archivo" w:hAnsi="Archivo"/>
            <w:b w:val="1"/>
            <w:bCs w:val="1"/>
            <w:color w:val="1155cc"/>
            <w:sz w:val="24"/>
            <w:szCs w:val="24"/>
            <w:u w:val="single"/>
            <w:rtl w:val="0"/>
          </w:rPr>
          <w:t xml:space="preserve">Talyx: Why 90% of Enterprise AI Implementations Fail</w:t>
        </w:r>
      </w:hyperlink>
      <w:r w:rsidDel="00000000" w:rsidR="00000000" w:rsidRPr="00000000">
        <w:rPr>
          <w:rFonts w:ascii="Archivo" w:cs="Archivo" w:eastAsia="Archivo" w:hAnsi="Archivo"/>
          <w:color w:val="022043"/>
          <w:sz w:val="24"/>
          <w:szCs w:val="24"/>
          <w:rtl w:val="0"/>
        </w:rPr>
        <w:t xml:space="preserve"> (January 27, 2026) — Synthesizes RAND, Gartner, BCG, McKinsey, and MIT research converging on 70–85% failure rates. Notes that RAND found over 80% of AI projects fail at double the rate of non-AI IT projects, and that 42% of companies abandoned most AI initiatives in 2025, up from 17% in 2024.</w:t>
      </w:r>
    </w:p>
    <w:p w:rsidR="00000000" w:rsidDel="00000000" w:rsidP="00000000" w:rsidRDefault="00000000" w:rsidRPr="00000000" w14:paraId="00000065">
      <w:pPr>
        <w:widowControl w:val="1"/>
        <w:numPr>
          <w:ilvl w:val="0"/>
          <w:numId w:val="5"/>
        </w:numPr>
        <w:spacing w:line="312" w:lineRule="auto"/>
        <w:ind w:left="720" w:hanging="360"/>
        <w:rPr>
          <w:rFonts w:ascii="Archivo" w:cs="Archivo" w:eastAsia="Archivo" w:hAnsi="Archivo"/>
          <w:color w:val="022043"/>
          <w:sz w:val="24"/>
          <w:szCs w:val="24"/>
        </w:rPr>
      </w:pPr>
      <w:hyperlink r:id="rId16">
        <w:r w:rsidDel="00000000" w:rsidR="00000000" w:rsidRPr="00000000">
          <w:rPr>
            <w:rFonts w:ascii="Archivo" w:cs="Archivo" w:eastAsia="Archivo" w:hAnsi="Archivo"/>
            <w:b w:val="1"/>
            <w:bCs w:val="1"/>
            <w:color w:val="1155cc"/>
            <w:sz w:val="24"/>
            <w:szCs w:val="24"/>
            <w:u w:val="single"/>
            <w:rtl w:val="0"/>
          </w:rPr>
          <w:t xml:space="preserve">MIT/Fortune: 95% of Generative AI Pilots Failing</w:t>
        </w:r>
      </w:hyperlink>
      <w:r w:rsidDel="00000000" w:rsidR="00000000" w:rsidRPr="00000000">
        <w:rPr>
          <w:rFonts w:ascii="Archivo" w:cs="Archivo" w:eastAsia="Archivo" w:hAnsi="Archivo"/>
          <w:color w:val="022043"/>
          <w:sz w:val="24"/>
          <w:szCs w:val="24"/>
          <w:rtl w:val="0"/>
        </w:rPr>
        <w:t xml:space="preserve"> (August 18, 2025) — MIT's NANDA initiative found that only about 5% of AI pilot programs achieve rapid revenue acceleration, with the core issue being flawed enterprise integration rather than model quality.</w:t>
      </w:r>
    </w:p>
    <w:p w:rsidR="00000000" w:rsidDel="00000000" w:rsidP="00000000" w:rsidRDefault="00000000" w:rsidRPr="00000000" w14:paraId="00000066">
      <w:pPr>
        <w:widowControl w:val="1"/>
        <w:numPr>
          <w:ilvl w:val="0"/>
          <w:numId w:val="5"/>
        </w:numPr>
        <w:spacing w:line="312" w:lineRule="auto"/>
        <w:ind w:left="720" w:hanging="360"/>
        <w:rPr>
          <w:rFonts w:ascii="Archivo" w:cs="Archivo" w:eastAsia="Archivo" w:hAnsi="Archivo"/>
          <w:color w:val="022043"/>
          <w:sz w:val="24"/>
          <w:szCs w:val="24"/>
        </w:rPr>
      </w:pPr>
      <w:hyperlink r:id="rId17">
        <w:r w:rsidDel="00000000" w:rsidR="00000000" w:rsidRPr="00000000">
          <w:rPr>
            <w:rFonts w:ascii="Archivo" w:cs="Archivo" w:eastAsia="Archivo" w:hAnsi="Archivo"/>
            <w:b w:val="1"/>
            <w:bCs w:val="1"/>
            <w:color w:val="1155cc"/>
            <w:sz w:val="24"/>
            <w:szCs w:val="24"/>
            <w:u w:val="single"/>
            <w:rtl w:val="0"/>
          </w:rPr>
          <w:t xml:space="preserve">AI Project Failure Rate Exceeds 85%</w:t>
        </w:r>
      </w:hyperlink>
      <w:r w:rsidDel="00000000" w:rsidR="00000000" w:rsidRPr="00000000">
        <w:rPr>
          <w:rFonts w:ascii="Archivo" w:cs="Archivo" w:eastAsia="Archivo" w:hAnsi="Archivo"/>
          <w:color w:val="022043"/>
          <w:sz w:val="24"/>
          <w:szCs w:val="24"/>
          <w:rtl w:val="0"/>
        </w:rPr>
        <w:t xml:space="preserve"> (February 25, 2026) — Reports that upwards of 85% of AI initiatives don't make it into production, citing systemic patterns around organizational readiness, data infrastructure, and strategic alignment.</w:t>
      </w:r>
    </w:p>
    <w:p w:rsidR="00000000" w:rsidDel="00000000" w:rsidP="00000000" w:rsidRDefault="00000000" w:rsidRPr="00000000" w14:paraId="00000067">
      <w:pPr>
        <w:pStyle w:val="Heading3"/>
        <w:keepNext w:val="1"/>
        <w:keepLines w:val="1"/>
        <w:widowControl w:val="1"/>
        <w:spacing w:after="120" w:before="320" w:line="312" w:lineRule="auto"/>
        <w:rPr>
          <w:rFonts w:ascii="Archivo Medium" w:cs="Archivo Medium" w:eastAsia="Archivo Medium" w:hAnsi="Archivo Medium"/>
          <w:b w:val="0"/>
          <w:bCs w:val="0"/>
          <w:color w:val="1691e3"/>
          <w:sz w:val="32"/>
          <w:szCs w:val="32"/>
        </w:rPr>
      </w:pPr>
      <w:bookmarkStart w:colFirst="0" w:colLast="0" w:name="_bd6bessjy0ks" w:id="17"/>
      <w:bookmarkEnd w:id="17"/>
      <w:r w:rsidDel="00000000" w:rsidR="00000000" w:rsidRPr="00000000">
        <w:rPr>
          <w:rFonts w:ascii="Archivo Medium" w:cs="Archivo Medium" w:eastAsia="Archivo Medium" w:hAnsi="Archivo Medium"/>
          <w:b w:val="0"/>
          <w:bCs w:val="0"/>
          <w:color w:val="1691e3"/>
          <w:sz w:val="32"/>
          <w:szCs w:val="32"/>
          <w:rtl w:val="0"/>
        </w:rPr>
        <w:t xml:space="preserve">McKinsey AI Trust Research</w:t>
      </w:r>
    </w:p>
    <w:p w:rsidR="00000000" w:rsidDel="00000000" w:rsidP="00000000" w:rsidRDefault="00000000" w:rsidRPr="00000000" w14:paraId="00000068">
      <w:pPr>
        <w:widowControl w:val="1"/>
        <w:numPr>
          <w:ilvl w:val="0"/>
          <w:numId w:val="3"/>
        </w:numPr>
        <w:spacing w:line="312" w:lineRule="auto"/>
        <w:ind w:left="720" w:hanging="360"/>
        <w:rPr>
          <w:rFonts w:ascii="Archivo" w:cs="Archivo" w:eastAsia="Archivo" w:hAnsi="Archivo"/>
          <w:color w:val="022043"/>
          <w:sz w:val="24"/>
          <w:szCs w:val="24"/>
        </w:rPr>
      </w:pPr>
      <w:hyperlink r:id="rId18">
        <w:r w:rsidDel="00000000" w:rsidR="00000000" w:rsidRPr="00000000">
          <w:rPr>
            <w:rFonts w:ascii="Archivo" w:cs="Archivo" w:eastAsia="Archivo" w:hAnsi="Archivo"/>
            <w:b w:val="1"/>
            <w:bCs w:val="1"/>
            <w:color w:val="1155cc"/>
            <w:sz w:val="24"/>
            <w:szCs w:val="24"/>
            <w:u w:val="single"/>
            <w:rtl w:val="0"/>
          </w:rPr>
          <w:t xml:space="preserve">State of AI Trust in 2026: Shifting to the Agentic Era</w:t>
        </w:r>
      </w:hyperlink>
      <w:r w:rsidDel="00000000" w:rsidR="00000000" w:rsidRPr="00000000">
        <w:rPr>
          <w:rFonts w:ascii="Archivo" w:cs="Archivo" w:eastAsia="Archivo" w:hAnsi="Archivo"/>
          <w:color w:val="022043"/>
          <w:sz w:val="24"/>
          <w:szCs w:val="24"/>
          <w:rtl w:val="0"/>
        </w:rPr>
        <w:t xml:space="preserve"> (March 25, 2026) — McKinsey's 2026 AI Trust Maturity Survey of ~500 organizations found that only about 30% have reached maturity level three or higher in strategy, governance, and agentic AI controls. The report argues that in the agentic era, organizations must contend not just with AI systems saying the wrong thing, but with systems doing the wrong thing — taking unintended actions or operating beyond guardrails.</w:t>
      </w:r>
    </w:p>
    <w:p w:rsidR="00000000" w:rsidDel="00000000" w:rsidP="00000000" w:rsidRDefault="00000000" w:rsidRPr="00000000" w14:paraId="00000069">
      <w:pPr>
        <w:pStyle w:val="Heading3"/>
        <w:keepNext w:val="1"/>
        <w:keepLines w:val="1"/>
        <w:widowControl w:val="1"/>
        <w:spacing w:after="120" w:before="320" w:line="312" w:lineRule="auto"/>
        <w:rPr>
          <w:rFonts w:ascii="Archivo Medium" w:cs="Archivo Medium" w:eastAsia="Archivo Medium" w:hAnsi="Archivo Medium"/>
          <w:b w:val="0"/>
          <w:bCs w:val="0"/>
          <w:color w:val="1691e3"/>
          <w:sz w:val="32"/>
          <w:szCs w:val="32"/>
        </w:rPr>
      </w:pPr>
      <w:bookmarkStart w:colFirst="0" w:colLast="0" w:name="_m8c8073b501x" w:id="18"/>
      <w:bookmarkEnd w:id="18"/>
      <w:r w:rsidDel="00000000" w:rsidR="00000000" w:rsidRPr="00000000">
        <w:rPr>
          <w:rFonts w:ascii="Archivo Medium" w:cs="Archivo Medium" w:eastAsia="Archivo Medium" w:hAnsi="Archivo Medium"/>
          <w:b w:val="0"/>
          <w:bCs w:val="0"/>
          <w:color w:val="1691e3"/>
          <w:sz w:val="32"/>
          <w:szCs w:val="32"/>
          <w:rtl w:val="0"/>
        </w:rPr>
        <w:t xml:space="preserve">HCM Industry Landscape</w:t>
      </w:r>
    </w:p>
    <w:p w:rsidR="00000000" w:rsidDel="00000000" w:rsidP="00000000" w:rsidRDefault="00000000" w:rsidRPr="00000000" w14:paraId="0000006A">
      <w:pPr>
        <w:widowControl w:val="1"/>
        <w:numPr>
          <w:ilvl w:val="0"/>
          <w:numId w:val="13"/>
        </w:numPr>
        <w:spacing w:line="312" w:lineRule="auto"/>
        <w:ind w:left="720" w:hanging="360"/>
        <w:rPr>
          <w:rFonts w:ascii="Archivo" w:cs="Archivo" w:eastAsia="Archivo" w:hAnsi="Archivo"/>
          <w:color w:val="022043"/>
          <w:sz w:val="24"/>
          <w:szCs w:val="24"/>
        </w:rPr>
      </w:pPr>
      <w:hyperlink r:id="rId19">
        <w:r w:rsidDel="00000000" w:rsidR="00000000" w:rsidRPr="00000000">
          <w:rPr>
            <w:rFonts w:ascii="Archivo" w:cs="Archivo" w:eastAsia="Archivo" w:hAnsi="Archivo"/>
            <w:b w:val="1"/>
            <w:bCs w:val="1"/>
            <w:color w:val="1155cc"/>
            <w:sz w:val="24"/>
            <w:szCs w:val="24"/>
            <w:u w:val="single"/>
            <w:rtl w:val="0"/>
          </w:rPr>
          <w:t xml:space="preserve">Agentic AI Moves Into HCM Platforms</w:t>
        </w:r>
      </w:hyperlink>
      <w:r w:rsidDel="00000000" w:rsidR="00000000" w:rsidRPr="00000000">
        <w:rPr>
          <w:rFonts w:ascii="Archivo" w:cs="Archivo" w:eastAsia="Archivo" w:hAnsi="Archivo"/>
          <w:color w:val="022043"/>
          <w:sz w:val="24"/>
          <w:szCs w:val="24"/>
          <w:rtl w:val="0"/>
        </w:rPr>
        <w:t xml:space="preserve"> (March 30, 2026) — ADP's 2026 HR Trends research identifies agentic AI as a defining HCM capability, with 48% of large businesses already using it. Workday, ADP, and SAP SuccessFactors are all building agentic AI natively.</w:t>
      </w:r>
    </w:p>
    <w:p w:rsidR="00000000" w:rsidDel="00000000" w:rsidP="00000000" w:rsidRDefault="00000000" w:rsidRPr="00000000" w14:paraId="0000006B">
      <w:pPr>
        <w:widowControl w:val="1"/>
        <w:numPr>
          <w:ilvl w:val="0"/>
          <w:numId w:val="13"/>
        </w:numPr>
        <w:spacing w:line="312" w:lineRule="auto"/>
        <w:ind w:left="720" w:hanging="360"/>
        <w:rPr>
          <w:rFonts w:ascii="Archivo" w:cs="Archivo" w:eastAsia="Archivo" w:hAnsi="Archivo"/>
          <w:color w:val="022043"/>
          <w:sz w:val="24"/>
          <w:szCs w:val="24"/>
        </w:rPr>
      </w:pPr>
      <w:hyperlink r:id="rId20">
        <w:r w:rsidDel="00000000" w:rsidR="00000000" w:rsidRPr="00000000">
          <w:rPr>
            <w:rFonts w:ascii="Archivo" w:cs="Archivo" w:eastAsia="Archivo" w:hAnsi="Archivo"/>
            <w:b w:val="1"/>
            <w:bCs w:val="1"/>
            <w:color w:val="1155cc"/>
            <w:sz w:val="24"/>
            <w:szCs w:val="24"/>
            <w:u w:val="single"/>
            <w:rtl w:val="0"/>
          </w:rPr>
          <w:t xml:space="preserve">30+ Workday AI Agents That Transform HR and Finance</w:t>
        </w:r>
      </w:hyperlink>
      <w:r w:rsidDel="00000000" w:rsidR="00000000" w:rsidRPr="00000000">
        <w:rPr>
          <w:rFonts w:ascii="Archivo" w:cs="Archivo" w:eastAsia="Archivo" w:hAnsi="Archivo"/>
          <w:color w:val="022043"/>
          <w:sz w:val="24"/>
          <w:szCs w:val="24"/>
          <w:rtl w:val="0"/>
        </w:rPr>
        <w:t xml:space="preserve"> (December 18, 2025) — Third-party analysis of Workday's agent portfolio, noting that trust is often the biggest hurdle for adoption and recommending a start-small, build-momentum deployment strategy.</w:t>
      </w:r>
    </w:p>
    <w:p w:rsidR="00000000" w:rsidDel="00000000" w:rsidP="00000000" w:rsidRDefault="00000000" w:rsidRPr="00000000" w14:paraId="0000006C">
      <w:pPr>
        <w:widowControl w:val="1"/>
        <w:spacing w:line="312" w:lineRule="auto"/>
        <w:rPr>
          <w:rFonts w:ascii="Archivo" w:cs="Archivo" w:eastAsia="Archivo" w:hAnsi="Archivo"/>
          <w:color w:val="022043"/>
          <w:sz w:val="24"/>
          <w:szCs w:val="24"/>
        </w:rPr>
      </w:pPr>
      <w:r w:rsidDel="00000000" w:rsidR="00000000" w:rsidRPr="00000000">
        <w:rPr>
          <w:rtl w:val="0"/>
        </w:rPr>
      </w:r>
    </w:p>
    <w:p w:rsidR="00000000" w:rsidDel="00000000" w:rsidP="00000000" w:rsidRDefault="00000000" w:rsidRPr="00000000" w14:paraId="0000006D">
      <w:pPr>
        <w:widowControl w:val="1"/>
        <w:spacing w:line="312" w:lineRule="auto"/>
        <w:rPr>
          <w:rFonts w:ascii="Archivo" w:cs="Archivo" w:eastAsia="Archivo" w:hAnsi="Archivo"/>
          <w:color w:val="0220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1"/>
        <w:keepLines w:val="1"/>
        <w:widowControl w:val="1"/>
        <w:spacing w:after="120" w:before="320" w:line="276" w:lineRule="auto"/>
        <w:rPr>
          <w:rFonts w:ascii="Archivo SemiBold" w:cs="Archivo SemiBold" w:eastAsia="Archivo SemiBold" w:hAnsi="Archivo SemiBold"/>
          <w:b w:val="0"/>
          <w:bCs w:val="0"/>
          <w:color w:val="0057ae"/>
        </w:rPr>
      </w:pPr>
      <w:bookmarkStart w:colFirst="0" w:colLast="0" w:name="_akul383izr51" w:id="19"/>
      <w:bookmarkEnd w:id="19"/>
      <w:r w:rsidDel="00000000" w:rsidR="00000000" w:rsidRPr="00000000">
        <w:rPr>
          <w:rFonts w:ascii="Archivo SemiBold" w:cs="Archivo SemiBold" w:eastAsia="Archivo SemiBold" w:hAnsi="Archivo SemiBold"/>
          <w:b w:val="0"/>
          <w:bCs w:val="0"/>
          <w:color w:val="0057ae"/>
          <w:rtl w:val="0"/>
        </w:rPr>
        <w:t xml:space="preserve">Related Documentation</w:t>
      </w:r>
    </w:p>
    <w:p w:rsidR="00000000" w:rsidDel="00000000" w:rsidP="00000000" w:rsidRDefault="00000000" w:rsidRPr="00000000" w14:paraId="0000006F">
      <w:pPr>
        <w:widowControl w:val="1"/>
        <w:numPr>
          <w:ilvl w:val="0"/>
          <w:numId w:val="4"/>
        </w:numPr>
        <w:spacing w:line="312" w:lineRule="auto"/>
        <w:ind w:left="720" w:hanging="360"/>
      </w:pPr>
      <w:r w:rsidDel="00000000" w:rsidR="00000000" w:rsidRPr="00000000">
        <w:rPr>
          <w:rFonts w:ascii="Archivo" w:cs="Archivo" w:eastAsia="Archivo" w:hAnsi="Archivo"/>
          <w:color w:val="022043"/>
          <w:sz w:val="24"/>
          <w:szCs w:val="24"/>
          <w:rtl w:val="0"/>
        </w:rPr>
        <w:t xml:space="preserve">WSSA Evolution March 2026 Executive Summary (referenced as source for SSSA engagement data)</w:t>
      </w:r>
    </w:p>
    <w:p w:rsidR="00000000" w:rsidDel="00000000" w:rsidP="00000000" w:rsidRDefault="00000000" w:rsidRPr="00000000" w14:paraId="00000070">
      <w:pPr>
        <w:widowControl w:val="1"/>
        <w:numPr>
          <w:ilvl w:val="0"/>
          <w:numId w:val="4"/>
        </w:numPr>
        <w:spacing w:line="312" w:lineRule="auto"/>
        <w:ind w:left="720" w:hanging="360"/>
      </w:pPr>
      <w:r w:rsidDel="00000000" w:rsidR="00000000" w:rsidRPr="00000000">
        <w:rPr>
          <w:rFonts w:ascii="Archivo" w:cs="Archivo" w:eastAsia="Archivo" w:hAnsi="Archivo"/>
          <w:color w:val="022043"/>
          <w:sz w:val="24"/>
          <w:szCs w:val="24"/>
          <w:rtl w:val="0"/>
        </w:rPr>
        <w:t xml:space="preserve">Accelya &amp; Salesforce Customer Deep Dives, Q1 2026 (referenced for hallucination and balance-inaccuracy findings)</w:t>
      </w:r>
    </w:p>
    <w:p w:rsidR="00000000" w:rsidDel="00000000" w:rsidP="00000000" w:rsidRDefault="00000000" w:rsidRPr="00000000" w14:paraId="00000071">
      <w:pPr>
        <w:widowControl w:val="1"/>
        <w:numPr>
          <w:ilvl w:val="0"/>
          <w:numId w:val="4"/>
        </w:numPr>
        <w:spacing w:line="312" w:lineRule="auto"/>
        <w:ind w:left="720" w:hanging="360"/>
      </w:pPr>
      <w:r w:rsidDel="00000000" w:rsidR="00000000" w:rsidRPr="00000000">
        <w:rPr>
          <w:rFonts w:ascii="Archivo" w:cs="Archivo" w:eastAsia="Archivo" w:hAnsi="Archivo"/>
          <w:color w:val="022043"/>
          <w:sz w:val="24"/>
          <w:szCs w:val="24"/>
          <w:rtl w:val="0"/>
        </w:rPr>
        <w:t xml:space="preserve">Workday Agent Portfolio Roadmap (implied; not directly cited)</w:t>
      </w:r>
    </w:p>
    <w:p w:rsidR="00000000" w:rsidDel="00000000" w:rsidP="00000000" w:rsidRDefault="00000000" w:rsidRPr="00000000" w14:paraId="00000072">
      <w:pPr>
        <w:widowControl w:val="1"/>
        <w:spacing w:line="312" w:lineRule="auto"/>
        <w:rPr>
          <w:rFonts w:ascii="Archivo" w:cs="Archivo" w:eastAsia="Archivo" w:hAnsi="Archivo"/>
          <w:color w:val="022043"/>
          <w:sz w:val="24"/>
          <w:szCs w:val="24"/>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trick Neeman" w:id="14" w:date="2026-04-03T15:56:1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trust we have built about being a system of record.</w:t>
      </w:r>
    </w:p>
  </w:comment>
  <w:comment w:author="Patrick Neeman" w:id="12" w:date="2026-04-03T15:45:10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use explainability here?</w:t>
      </w:r>
    </w:p>
  </w:comment>
  <w:comment w:author="Patrick Neeman" w:id="4" w:date="2026-04-03T15:18:36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could mention others (that number is 75 percent I think)</w:t>
      </w:r>
    </w:p>
  </w:comment>
  <w:comment w:author="Monica Farrar Miller" w:id="7" w:date="2026-04-03T17:58:31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these need to be non-negotiables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all the agents to date planned are built on API's of current capabilities today in workday where these risks are already mitigated.  We must be holding the same bar for accuracy and security</w:t>
      </w:r>
    </w:p>
  </w:comment>
  <w:comment w:author="Patrick Neeman" w:id="10" w:date="2026-04-03T15:25:05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suggested this as a third bullet point, and it brings up a good point...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data is going to be other places, which presents risk: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Interoperability: Agents must seamlessly exchange data and hand off tasks across the Workday ecosystem to ensure a unified user experience without functional silos.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Monica Farrar Miller reacted with ➕ at 2026-04-03 17:58 PM</w:t>
      </w:r>
    </w:p>
  </w:comment>
  <w:comment w:author="Monica Farrar Miller" w:id="11" w:date="2026-04-03T17:59:1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and without the foundation above this is off the table from a readiness perspective.</w:t>
      </w:r>
    </w:p>
  </w:comment>
  <w:comment w:author="Patrick Neeman" w:id="13" w:date="2026-04-03T15:55:3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has flexible based on scale...</w:t>
      </w:r>
    </w:p>
  </w:comment>
  <w:comment w:author="Patrick Neeman" w:id="6" w:date="2026-04-03T15:23:05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money because many companies have a financial component for time off; needs a higher level of quality.</w:t>
      </w:r>
    </w:p>
  </w:comment>
  <w:comment w:author="Patrick Neeman" w:id="1" w:date="2026-04-03T14:59:23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comments that was made during WSSA (Aashna made it too) was that because we're a bigger company, we have once chance to get it right in a lot of case. Especially horizontal ones. Should that be added?</w:t>
      </w:r>
    </w:p>
  </w:comment>
  <w:comment w:author="Tammy Snow" w:id="2" w:date="2026-04-03T15:27:02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I'll add supporting data to the other ersearch tab.</w:t>
      </w:r>
    </w:p>
  </w:comment>
  <w:comment w:author="Monica Farrar Miller" w:id="3" w:date="2026-04-03T17:53:52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@tammy.snow@workday.com would love your thoughts on calling out that because SSA our lead agent offering was a replacement for existing Workday Assistant as the comparison point there is high expectations on significantly increased value add for users as well as customers when moving from free to paid experience?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other agents will not have a baseline comparison as net new capabilities.</w:t>
      </w:r>
    </w:p>
  </w:comment>
  <w:comment w:author="Patrick Neeman" w:id="9" w:date="2026-04-03T15:43:26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Deterministic vs. Absolute?</w:t>
      </w:r>
    </w:p>
  </w:comment>
  <w:comment w:author="Tammy Snow" w:id="0" w:date="2026-04-16T15:20:59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industry best practices for offline eval accuracy; we should at least meet if not beat that to avoid diminished trust.</w:t>
      </w:r>
    </w:p>
  </w:comment>
  <w:comment w:author="Patrick Neeman" w:id="5" w:date="2026-04-03T15:22:14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point we were talking about is that there's almost a sliding scale of how much we have to pay attention depending on scale of launch i.e. smaller audiences are willing for more experimentations where as wide audiences do not. Thoughts about bringing that up?</w:t>
      </w:r>
    </w:p>
  </w:comment>
  <w:comment w:author="Patrick Neeman" w:id="15" w:date="2026-04-03T20:08:34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@tammy.snow@workday.com Selling the idea. This is kind of cool. I added it.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tammy.snow@workday.com_</w:t>
      </w:r>
    </w:p>
  </w:comment>
  <w:comment w:author="Patrick Neeman" w:id="8" w:date="2026-04-03T15:42:55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&gt;LOVE&lt;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chivo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oveworks.com/us/en/resources/blog/workday-ai-agents-use-cases" TargetMode="External"/><Relationship Id="rId11" Type="http://schemas.openxmlformats.org/officeDocument/2006/relationships/hyperlink" Target="https://blog.workday.com/en-us/workday-delivers-next-wave-agentic-ai-power-new-work-day.html" TargetMode="External"/><Relationship Id="rId10" Type="http://schemas.openxmlformats.org/officeDocument/2006/relationships/hyperlink" Target="https://blog.workday.com/en-us/how-workday-builds-ai-puts-people-first.html" TargetMode="External"/><Relationship Id="rId13" Type="http://schemas.openxmlformats.org/officeDocument/2006/relationships/hyperlink" Target="https://www.prnewswire.com/news-releases/workday-and-microsoft-to-deliver-unified-ai-agent-experience-for-the-enterprise-302557689.html" TargetMode="External"/><Relationship Id="rId12" Type="http://schemas.openxmlformats.org/officeDocument/2006/relationships/hyperlink" Target="https://futurumgroup.com/insights/workday-q4-fy-2026-earnings-mark-ai-agent-push-amid-slight-outlook-mis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workday.com/en-us/perspectives/ai/2026/01/path-to-responsible-adoption.html" TargetMode="External"/><Relationship Id="rId15" Type="http://schemas.openxmlformats.org/officeDocument/2006/relationships/hyperlink" Target="https://www.talyx.ai/insights/enterprise-ai-implementation-failure" TargetMode="External"/><Relationship Id="rId14" Type="http://schemas.openxmlformats.org/officeDocument/2006/relationships/hyperlink" Target="https://www.nttdata.com/global/en/insights/focus/2024/between-70-85p-of-genai-deployment-efforts-are-failing" TargetMode="External"/><Relationship Id="rId17" Type="http://schemas.openxmlformats.org/officeDocument/2006/relationships/hyperlink" Target="https://science-technology.news-articles.net/content/2026/02/25/ai-project-failure-rate-exceeds-85.html" TargetMode="External"/><Relationship Id="rId16" Type="http://schemas.openxmlformats.org/officeDocument/2006/relationships/hyperlink" Target="https://fortune.com/2025/08/18/mit-report-95-percent-generative-ai-pilots-at-companies-failing-cfo/" TargetMode="External"/><Relationship Id="rId5" Type="http://schemas.openxmlformats.org/officeDocument/2006/relationships/numbering" Target="numbering.xml"/><Relationship Id="rId19" Type="http://schemas.openxmlformats.org/officeDocument/2006/relationships/hyperlink" Target="https://asanify.com/blog/news/agentic-ai-hcm-platforms-march-30-2026/" TargetMode="External"/><Relationship Id="rId6" Type="http://schemas.openxmlformats.org/officeDocument/2006/relationships/styles" Target="styles.xml"/><Relationship Id="rId18" Type="http://schemas.openxmlformats.org/officeDocument/2006/relationships/hyperlink" Target="https://www.mckinsey.com/capabilities/tech-and-ai/our-insights/tech-forward/state-of-ai-trust-in-2026-shifting-to-the-agentic-era" TargetMode="External"/><Relationship Id="rId7" Type="http://schemas.openxmlformats.org/officeDocument/2006/relationships/hyperlink" Target="https://docs.google.com/document/d/1uL0wmWuzBMCvfinurZKPJkZ2xhnC4vioI9fxhY7x144/edit?tab=t.0" TargetMode="External"/><Relationship Id="rId8" Type="http://schemas.openxmlformats.org/officeDocument/2006/relationships/hyperlink" Target="https://www.workday.com/en-us/perspectives/ai/2026/03/how-ai-trust-gap-slows-adoption.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chivo-italic.ttf"/><Relationship Id="rId10" Type="http://schemas.openxmlformats.org/officeDocument/2006/relationships/font" Target="fonts/Archivo-bold.ttf"/><Relationship Id="rId13" Type="http://schemas.openxmlformats.org/officeDocument/2006/relationships/font" Target="fonts/ArchivoSemiBold-regular.ttf"/><Relationship Id="rId12" Type="http://schemas.openxmlformats.org/officeDocument/2006/relationships/font" Target="fonts/Archivo-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Archivo-regular.ttf"/><Relationship Id="rId15" Type="http://schemas.openxmlformats.org/officeDocument/2006/relationships/font" Target="fonts/ArchivoSemiBold-italic.ttf"/><Relationship Id="rId14" Type="http://schemas.openxmlformats.org/officeDocument/2006/relationships/font" Target="fonts/ArchivoSemiBold-bold.ttf"/><Relationship Id="rId16" Type="http://schemas.openxmlformats.org/officeDocument/2006/relationships/font" Target="fonts/ArchivoSemiBold-boldItalic.ttf"/><Relationship Id="rId5" Type="http://schemas.openxmlformats.org/officeDocument/2006/relationships/font" Target="fonts/ArchivoMedium-regular.ttf"/><Relationship Id="rId6" Type="http://schemas.openxmlformats.org/officeDocument/2006/relationships/font" Target="fonts/ArchivoMedium-bold.ttf"/><Relationship Id="rId7" Type="http://schemas.openxmlformats.org/officeDocument/2006/relationships/font" Target="fonts/ArchivoMedium-italic.ttf"/><Relationship Id="rId8" Type="http://schemas.openxmlformats.org/officeDocument/2006/relationships/font" Target="fonts/Archiv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