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rFonts w:eastAsia="Arial" w:cs="Arial"/>
          <w:b/>
          <w:bCs/>
          <w:color w:val="1F4E79"/>
          <w:sz w:val="56"/>
          <w:szCs w:val="56"/>
        </w:rPr>
        <w:t>SafeMail</w:t>
      </w:r>
    </w:p>
    <w:p>
      <w:pPr>
        <w:pStyle w:val="Normal"/>
        <w:spacing w:before="0" w:after="60"/>
        <w:jc w:val="center"/>
        <w:rPr/>
      </w:pPr>
      <w:r>
        <w:rPr>
          <w:rFonts w:eastAsia="Arial" w:cs="Arial"/>
          <w:color w:val="2E75B6"/>
          <w:sz w:val="36"/>
          <w:szCs w:val="36"/>
        </w:rPr>
        <w:t>Phase 4 Report</w:t>
      </w:r>
    </w:p>
    <w:p>
      <w:pPr>
        <w:pStyle w:val="Normal"/>
        <w:pBdr>
          <w:bottom w:val="single" w:sz="12" w:space="6" w:color="2E75B6"/>
        </w:pBdr>
        <w:spacing w:before="0" w:after="40"/>
        <w:jc w:val="center"/>
        <w:rPr/>
      </w:pPr>
      <w:r>
        <w:rPr>
          <w:rFonts w:eastAsia="Arial" w:cs="Arial"/>
          <w:i/>
          <w:iCs/>
          <w:color w:val="595959"/>
          <w:sz w:val="22"/>
          <w:szCs w:val="22"/>
        </w:rPr>
        <w:t>Model Evaluation, Error Analysis &amp; Fairness</w:t>
      </w:r>
    </w:p>
    <w:p>
      <w:pPr>
        <w:pStyle w:val="Normal"/>
        <w:spacing w:before="0" w:after="200"/>
        <w:rPr/>
      </w:pPr>
      <w:r>
        <w:rPr/>
      </w:r>
    </w:p>
    <w:p>
      <w:pPr>
        <w:pStyle w:val="Heading1"/>
        <w:pBdr>
          <w:bottom w:val="single" w:sz="6" w:space="4" w:color="2E75B6"/>
        </w:pBdr>
        <w:spacing w:before="320" w:after="160"/>
        <w:rPr/>
      </w:pPr>
      <w:r>
        <w:rPr>
          <w:rFonts w:eastAsia="Arial" w:cs="Arial" w:ascii="Arial" w:hAnsi="Arial"/>
          <w:b/>
          <w:bCs/>
          <w:color w:val="1F4E79"/>
          <w:sz w:val="32"/>
          <w:szCs w:val="32"/>
        </w:rPr>
        <w:t>1. Evaluation Metrics with Results</w:t>
      </w:r>
    </w:p>
    <w:p>
      <w:pPr>
        <w:pStyle w:val="Normal"/>
        <w:spacing w:before="80" w:after="100"/>
        <w:rPr/>
      </w:pPr>
      <w:r>
        <w:rPr>
          <w:rFonts w:eastAsia="Arial" w:cs="Arial"/>
          <w:b w:val="false"/>
          <w:bCs w:val="false"/>
          <w:color w:val="000000"/>
          <w:sz w:val="22"/>
          <w:szCs w:val="22"/>
        </w:rPr>
        <w:t>All models were evaluated on the same held-out test set using six metrics: Accuracy, Precision, Recall, F1-score, RMSE, and ROC-AUC. Higher values are better for all metrics except RMSE (lower is better). Results are summarized in the table below.</w:t>
      </w:r>
    </w:p>
    <w:p>
      <w:pPr>
        <w:pStyle w:val="Normal"/>
        <w:spacing w:before="0" w:after="120"/>
        <w:rPr/>
      </w:pPr>
      <w:r>
        <w:rPr/>
      </w:r>
    </w:p>
    <w:tbl>
      <w:tblPr>
        <w:tblW w:w="9360" w:type="dxa"/>
        <w:jc w:val="left"/>
        <w:tblInd w:w="0" w:type="dxa"/>
        <w:tblLayout w:type="fixed"/>
        <w:tblCellMar>
          <w:top w:w="100" w:type="dxa"/>
          <w:left w:w="120" w:type="dxa"/>
          <w:bottom w:w="100" w:type="dxa"/>
          <w:right w:w="120" w:type="dxa"/>
        </w:tblCellMar>
      </w:tblPr>
      <w:tblGrid>
        <w:gridCol w:w="2199"/>
        <w:gridCol w:w="1200"/>
        <w:gridCol w:w="1201"/>
        <w:gridCol w:w="1200"/>
        <w:gridCol w:w="1200"/>
        <w:gridCol w:w="1200"/>
        <w:gridCol w:w="1159"/>
      </w:tblGrid>
      <w:tr>
        <w:trPr/>
        <w:tc>
          <w:tcPr>
            <w:tcW w:w="2199"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Model</w:t>
            </w:r>
          </w:p>
        </w:tc>
        <w:tc>
          <w:tcPr>
            <w:tcW w:w="1200"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Accuracy</w:t>
            </w:r>
          </w:p>
        </w:tc>
        <w:tc>
          <w:tcPr>
            <w:tcW w:w="1201"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Precision</w:t>
            </w:r>
          </w:p>
        </w:tc>
        <w:tc>
          <w:tcPr>
            <w:tcW w:w="1200"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Recall</w:t>
            </w:r>
          </w:p>
        </w:tc>
        <w:tc>
          <w:tcPr>
            <w:tcW w:w="1200"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F1</w:t>
            </w:r>
          </w:p>
        </w:tc>
        <w:tc>
          <w:tcPr>
            <w:tcW w:w="1200"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RMSE</w:t>
            </w:r>
          </w:p>
        </w:tc>
        <w:tc>
          <w:tcPr>
            <w:tcW w:w="1159" w:type="dxa"/>
            <w:tcBorders>
              <w:top w:val="single" w:sz="2" w:space="0" w:color="ADB9CA"/>
              <w:left w:val="single" w:sz="2" w:space="0" w:color="ADB9CA"/>
              <w:bottom w:val="single" w:sz="2" w:space="0" w:color="ADB9CA"/>
              <w:right w:val="single" w:sz="2" w:space="0" w:color="ADB9CA"/>
            </w:tcBorders>
            <w:shd w:fill="1F4E79" w:val="clear"/>
            <w:vAlign w:val="center"/>
          </w:tcPr>
          <w:p>
            <w:pPr>
              <w:pStyle w:val="Normal"/>
              <w:jc w:val="center"/>
              <w:rPr/>
            </w:pPr>
            <w:r>
              <w:rPr>
                <w:rFonts w:eastAsia="Arial" w:cs="Arial"/>
                <w:b/>
                <w:bCs/>
                <w:color w:val="FFFFFF"/>
                <w:sz w:val="20"/>
                <w:szCs w:val="20"/>
              </w:rPr>
              <w:t>ROC-AUC</w:t>
            </w:r>
          </w:p>
        </w:tc>
      </w:tr>
      <w:tr>
        <w:trPr/>
        <w:tc>
          <w:tcPr>
            <w:tcW w:w="219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bCs/>
                <w:color w:val="1F4E79"/>
                <w:sz w:val="20"/>
                <w:szCs w:val="20"/>
              </w:rPr>
              <w:t>DistilBERT</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0.9734</w:t>
            </w:r>
          </w:p>
        </w:tc>
        <w:tc>
          <w:tcPr>
            <w:tcW w:w="1201"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0.9534</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0.9802</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0.9666</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0.1630</w:t>
            </w:r>
          </w:p>
        </w:tc>
        <w:tc>
          <w:tcPr>
            <w:tcW w:w="115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0.9974</w:t>
            </w:r>
          </w:p>
        </w:tc>
      </w:tr>
      <w:tr>
        <w:trPr/>
        <w:tc>
          <w:tcPr>
            <w:tcW w:w="2199"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Majority Ensemble</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0.9716</w:t>
            </w:r>
          </w:p>
        </w:tc>
        <w:tc>
          <w:tcPr>
            <w:tcW w:w="1201"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0.9443</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0.9856</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0.9645</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0.1686</w:t>
            </w:r>
          </w:p>
        </w:tc>
        <w:tc>
          <w:tcPr>
            <w:tcW w:w="1159"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0.9962</w:t>
            </w:r>
          </w:p>
        </w:tc>
      </w:tr>
      <w:tr>
        <w:trPr/>
        <w:tc>
          <w:tcPr>
            <w:tcW w:w="219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Logistic Regression</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0.9638</w:t>
            </w:r>
          </w:p>
        </w:tc>
        <w:tc>
          <w:tcPr>
            <w:tcW w:w="1201"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0.9450</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0.9637</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0.9543</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0.1903</w:t>
            </w:r>
          </w:p>
        </w:tc>
        <w:tc>
          <w:tcPr>
            <w:tcW w:w="115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0.9937</w:t>
            </w:r>
          </w:p>
        </w:tc>
      </w:tr>
      <w:tr>
        <w:trPr/>
        <w:tc>
          <w:tcPr>
            <w:tcW w:w="2199"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Naive Bayes</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0.9525</w:t>
            </w:r>
          </w:p>
        </w:tc>
        <w:tc>
          <w:tcPr>
            <w:tcW w:w="1201"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0.9303</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0.9501</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0.9401</w:t>
            </w:r>
          </w:p>
        </w:tc>
        <w:tc>
          <w:tcPr>
            <w:tcW w:w="1200"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0.2179</w:t>
            </w:r>
          </w:p>
        </w:tc>
        <w:tc>
          <w:tcPr>
            <w:tcW w:w="1159"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vAlign w:val="center"/>
          </w:tcPr>
          <w:p>
            <w:pPr>
              <w:pStyle w:val="Normal"/>
              <w:jc w:val="center"/>
              <w:rPr/>
            </w:pPr>
            <w:r>
              <w:rPr>
                <w:rFonts w:eastAsia="Arial" w:cs="Arial"/>
                <w:b w:val="false"/>
                <w:bCs w:val="false"/>
                <w:color w:val="000000"/>
                <w:sz w:val="20"/>
                <w:szCs w:val="20"/>
              </w:rPr>
              <w:t>0.9910</w:t>
            </w:r>
          </w:p>
        </w:tc>
      </w:tr>
      <w:tr>
        <w:trPr/>
        <w:tc>
          <w:tcPr>
            <w:tcW w:w="219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Random Forest (Word2Vec)</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0.9504</w:t>
            </w:r>
          </w:p>
        </w:tc>
        <w:tc>
          <w:tcPr>
            <w:tcW w:w="1201"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0.9294</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0.9453</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0.9373</w:t>
            </w:r>
          </w:p>
        </w:tc>
        <w:tc>
          <w:tcPr>
            <w:tcW w:w="120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0.2228</w:t>
            </w:r>
          </w:p>
        </w:tc>
        <w:tc>
          <w:tcPr>
            <w:tcW w:w="115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vAlign w:val="center"/>
          </w:tcPr>
          <w:p>
            <w:pPr>
              <w:pStyle w:val="Normal"/>
              <w:jc w:val="center"/>
              <w:rPr/>
            </w:pPr>
            <w:r>
              <w:rPr>
                <w:rFonts w:eastAsia="Arial" w:cs="Arial"/>
                <w:b w:val="false"/>
                <w:bCs w:val="false"/>
                <w:color w:val="000000"/>
                <w:sz w:val="20"/>
                <w:szCs w:val="20"/>
              </w:rPr>
              <w:t>0.9887</w:t>
            </w:r>
          </w:p>
        </w:tc>
      </w:tr>
    </w:tbl>
    <w:p>
      <w:pPr>
        <w:pStyle w:val="Normal"/>
        <w:spacing w:before="0" w:after="120"/>
        <w:rPr/>
      </w:pPr>
      <w:r>
        <w:rPr/>
      </w:r>
    </w:p>
    <w:p>
      <w:pPr>
        <w:pStyle w:val="Normal"/>
        <w:spacing w:before="60" w:after="60"/>
        <w:rPr/>
      </w:pPr>
      <w:r>
        <w:rPr>
          <w:rFonts w:eastAsia="Arial" w:cs="Arial"/>
          <w:b/>
          <w:bCs/>
          <w:i/>
          <w:iCs/>
          <w:color w:val="595959"/>
          <w:sz w:val="18"/>
          <w:szCs w:val="18"/>
        </w:rPr>
        <w:t xml:space="preserve">Note: </w:t>
      </w:r>
      <w:r>
        <w:rPr>
          <w:rFonts w:eastAsia="Arial" w:cs="Arial"/>
          <w:i/>
          <w:iCs/>
          <w:color w:val="595959"/>
          <w:sz w:val="18"/>
          <w:szCs w:val="18"/>
        </w:rPr>
        <w:t>DistilBERT row is highlighted. Lower RMSE is better; all other metrics higher is better.</w:t>
      </w:r>
    </w:p>
    <w:p>
      <w:pPr>
        <w:pStyle w:val="Normal"/>
        <w:spacing w:before="0" w:after="160"/>
        <w:rPr/>
      </w:pPr>
      <w:r>
        <w:rPr/>
      </w:r>
    </w:p>
    <w:p>
      <w:pPr>
        <w:pStyle w:val="Heading1"/>
        <w:pBdr>
          <w:bottom w:val="single" w:sz="6" w:space="4" w:color="2E75B6"/>
        </w:pBdr>
        <w:spacing w:before="320" w:after="160"/>
        <w:rPr/>
      </w:pPr>
      <w:r>
        <w:rPr>
          <w:rFonts w:eastAsia="Arial" w:cs="Arial" w:ascii="Arial" w:hAnsi="Arial"/>
          <w:b/>
          <w:bCs/>
          <w:color w:val="1F4E79"/>
          <w:sz w:val="32"/>
          <w:szCs w:val="32"/>
        </w:rPr>
        <w:t>2. Comparison of Models / Approaches</w:t>
      </w:r>
    </w:p>
    <w:p>
      <w:pPr>
        <w:pStyle w:val="Normal"/>
        <w:spacing w:before="80" w:after="100"/>
        <w:rPr/>
      </w:pPr>
      <w:r>
        <w:rPr>
          <w:rFonts w:eastAsia="Arial" w:cs="Arial"/>
          <w:b w:val="false"/>
          <w:bCs w:val="false"/>
          <w:color w:val="000000"/>
          <w:sz w:val="22"/>
          <w:szCs w:val="22"/>
        </w:rPr>
        <w:t>DistilBERT is the best single model across overall quality metrics, achieving the highest F1 and ROC-AUC alongside the lowest RMSE. The Majority Ensemble is a close second overall and delivers the highest recall, meaning it catches the most phishing emails. Among classical ML methods, Logistic Regression is the strongest baseline and outperforms both Naive Bayes and Random Forest (Word2Vec).</w:t>
      </w:r>
    </w:p>
    <w:p>
      <w:pPr>
        <w:pStyle w:val="Normal"/>
        <w:spacing w:before="0" w:after="80"/>
        <w:rPr/>
      </w:pPr>
      <w:r>
        <w:rPr/>
      </w:r>
    </w:p>
    <w:p>
      <w:pPr>
        <w:pStyle w:val="Heading2"/>
        <w:spacing w:before="240" w:after="120"/>
        <w:rPr/>
      </w:pPr>
      <w:r>
        <w:rPr>
          <w:rFonts w:eastAsia="Arial" w:cs="Arial" w:ascii="Arial" w:hAnsi="Arial"/>
          <w:b/>
          <w:bCs/>
          <w:color w:val="2E75B6"/>
          <w:sz w:val="26"/>
          <w:szCs w:val="26"/>
        </w:rPr>
        <w:t>Practical Trade-off</w:t>
      </w:r>
    </w:p>
    <w:p>
      <w:pPr>
        <w:pStyle w:val="ListParagraph"/>
        <w:numPr>
          <w:ilvl w:val="0"/>
          <w:numId w:val="3"/>
        </w:numPr>
        <w:spacing w:before="60" w:after="60"/>
        <w:rPr/>
      </w:pPr>
      <w:r>
        <w:rPr>
          <w:rFonts w:eastAsia="Arial" w:cs="Arial"/>
          <w:sz w:val="22"/>
          <w:szCs w:val="22"/>
        </w:rPr>
        <w:t>DistilBERT: Better balance, fewer false alarms — recommended for user-friction-sensitive deployments.</w:t>
      </w:r>
    </w:p>
    <w:p>
      <w:pPr>
        <w:pStyle w:val="ListParagraph"/>
        <w:numPr>
          <w:ilvl w:val="0"/>
          <w:numId w:val="1"/>
        </w:numPr>
        <w:spacing w:before="60" w:after="60"/>
        <w:rPr/>
      </w:pPr>
      <w:r>
        <w:rPr>
          <w:rFonts w:eastAsia="Arial" w:cs="Arial"/>
          <w:sz w:val="22"/>
          <w:szCs w:val="22"/>
        </w:rPr>
        <w:t>Majority Ensemble: Higher phishing recall (catches more attacks) — recommended for security-first deployments where missing an attack is the primary risk.</w:t>
      </w:r>
    </w:p>
    <w:p>
      <w:pPr>
        <w:pStyle w:val="Normal"/>
        <w:spacing w:before="0" w:after="160"/>
        <w:rPr/>
      </w:pPr>
      <w:r>
        <w:rPr/>
      </w:r>
    </w:p>
    <w:p>
      <w:pPr>
        <w:pStyle w:val="Heading1"/>
        <w:pBdr>
          <w:bottom w:val="single" w:sz="6" w:space="4" w:color="2E75B6"/>
        </w:pBdr>
        <w:spacing w:before="320" w:after="160"/>
        <w:rPr/>
      </w:pPr>
      <w:r>
        <w:rPr>
          <w:rFonts w:eastAsia="Arial" w:cs="Arial" w:ascii="Arial" w:hAnsi="Arial"/>
          <w:b/>
          <w:bCs/>
          <w:color w:val="1F4E79"/>
          <w:sz w:val="32"/>
          <w:szCs w:val="32"/>
        </w:rPr>
        <w:t>3. Error Analysis</w:t>
      </w:r>
    </w:p>
    <w:p>
      <w:pPr>
        <w:pStyle w:val="Normal"/>
        <w:spacing w:before="80" w:after="100"/>
        <w:rPr/>
      </w:pPr>
      <w:r>
        <w:rPr>
          <w:rFonts w:eastAsia="Arial" w:cs="Arial"/>
          <w:b w:val="false"/>
          <w:bCs w:val="false"/>
          <w:color w:val="000000"/>
          <w:sz w:val="22"/>
          <w:szCs w:val="22"/>
        </w:rPr>
        <w:t>The confusion matrices below compare DistilBERT and the Majority Ensemble on the test set, revealing a clear trade-off between false positives and false negatives.</w:t>
      </w:r>
    </w:p>
    <w:p>
      <w:pPr>
        <w:pStyle w:val="Normal"/>
        <w:spacing w:before="0" w:after="12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ADB9CA"/>
              <w:left w:val="single" w:sz="2" w:space="0" w:color="ADB9CA"/>
              <w:bottom w:val="single" w:sz="2" w:space="0" w:color="ADB9CA"/>
              <w:right w:val="single" w:sz="2" w:space="0" w:color="ADB9CA"/>
            </w:tcBorders>
            <w:shd w:fill="D6E4F0" w:val="clear"/>
          </w:tcPr>
          <w:p>
            <w:pPr>
              <w:pStyle w:val="Normal"/>
              <w:jc w:val="center"/>
              <w:rPr/>
            </w:pPr>
            <w:r>
              <w:rPr/>
            </w:r>
          </w:p>
        </w:tc>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Pred: Safe</w:t>
            </w:r>
          </w:p>
        </w:tc>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Pred: Phishing</w:t>
            </w:r>
          </w:p>
        </w:tc>
        <w:tc>
          <w:tcPr>
            <w:tcW w:w="2339"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Model</w:t>
            </w:r>
          </w:p>
        </w:tc>
      </w:tr>
      <w:tr>
        <w:trPr/>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Actual: Safe</w:t>
            </w:r>
          </w:p>
        </w:tc>
        <w:tc>
          <w:tcPr>
            <w:tcW w:w="2340"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2195</w:t>
            </w:r>
          </w:p>
        </w:tc>
        <w:tc>
          <w:tcPr>
            <w:tcW w:w="2340" w:type="dxa"/>
            <w:tcBorders>
              <w:top w:val="single" w:sz="2" w:space="0" w:color="ADB9CA"/>
              <w:left w:val="single" w:sz="2" w:space="0" w:color="ADB9CA"/>
              <w:bottom w:val="single" w:sz="2" w:space="0" w:color="ADB9CA"/>
              <w:right w:val="single" w:sz="2" w:space="0" w:color="ADB9CA"/>
            </w:tcBorders>
            <w:shd w:fill="D6E4F0" w:val="clear"/>
          </w:tcPr>
          <w:p>
            <w:pPr>
              <w:pStyle w:val="Normal"/>
              <w:jc w:val="center"/>
              <w:rPr/>
            </w:pPr>
            <w:r>
              <w:rPr>
                <w:rFonts w:eastAsia="Arial" w:cs="Arial"/>
                <w:sz w:val="20"/>
                <w:szCs w:val="20"/>
              </w:rPr>
              <w:t>70</w:t>
            </w:r>
          </w:p>
        </w:tc>
        <w:tc>
          <w:tcPr>
            <w:tcW w:w="2339"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DistilBERT</w:t>
            </w:r>
          </w:p>
        </w:tc>
      </w:tr>
      <w:tr>
        <w:trPr/>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Actual: Phishing</w:t>
            </w:r>
          </w:p>
        </w:tc>
        <w:tc>
          <w:tcPr>
            <w:tcW w:w="2340" w:type="dxa"/>
            <w:tcBorders>
              <w:top w:val="single" w:sz="2" w:space="0" w:color="ADB9CA"/>
              <w:left w:val="single" w:sz="2" w:space="0" w:color="ADB9CA"/>
              <w:bottom w:val="single" w:sz="2" w:space="0" w:color="ADB9CA"/>
              <w:right w:val="single" w:sz="2" w:space="0" w:color="ADB9CA"/>
            </w:tcBorders>
            <w:shd w:fill="D6E4F0" w:val="clear"/>
          </w:tcPr>
          <w:p>
            <w:pPr>
              <w:pStyle w:val="Normal"/>
              <w:jc w:val="center"/>
              <w:rPr/>
            </w:pPr>
            <w:r>
              <w:rPr>
                <w:rFonts w:eastAsia="Arial" w:cs="Arial"/>
                <w:sz w:val="20"/>
                <w:szCs w:val="20"/>
              </w:rPr>
              <w:t>29</w:t>
            </w:r>
          </w:p>
        </w:tc>
        <w:tc>
          <w:tcPr>
            <w:tcW w:w="2340"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1433</w:t>
            </w:r>
          </w:p>
        </w:tc>
        <w:tc>
          <w:tcPr>
            <w:tcW w:w="2339"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DistilBERT</w:t>
            </w:r>
          </w:p>
        </w:tc>
      </w:tr>
      <w:tr>
        <w:trPr/>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Actual: Safe</w:t>
            </w:r>
          </w:p>
        </w:tc>
        <w:tc>
          <w:tcPr>
            <w:tcW w:w="2340"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2180</w:t>
            </w:r>
          </w:p>
        </w:tc>
        <w:tc>
          <w:tcPr>
            <w:tcW w:w="2340" w:type="dxa"/>
            <w:tcBorders>
              <w:top w:val="single" w:sz="2" w:space="0" w:color="ADB9CA"/>
              <w:left w:val="single" w:sz="2" w:space="0" w:color="ADB9CA"/>
              <w:bottom w:val="single" w:sz="2" w:space="0" w:color="ADB9CA"/>
              <w:right w:val="single" w:sz="2" w:space="0" w:color="ADB9CA"/>
            </w:tcBorders>
            <w:shd w:fill="D6E4F0" w:val="clear"/>
          </w:tcPr>
          <w:p>
            <w:pPr>
              <w:pStyle w:val="Normal"/>
              <w:jc w:val="center"/>
              <w:rPr/>
            </w:pPr>
            <w:r>
              <w:rPr>
                <w:rFonts w:eastAsia="Arial" w:cs="Arial"/>
                <w:sz w:val="20"/>
                <w:szCs w:val="20"/>
              </w:rPr>
              <w:t>85</w:t>
            </w:r>
          </w:p>
        </w:tc>
        <w:tc>
          <w:tcPr>
            <w:tcW w:w="2339"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Ensemble</w:t>
            </w:r>
          </w:p>
        </w:tc>
      </w:tr>
      <w:tr>
        <w:trPr/>
        <w:tc>
          <w:tcPr>
            <w:tcW w:w="2340" w:type="dxa"/>
            <w:tcBorders>
              <w:top w:val="single" w:sz="2" w:space="0" w:color="ADB9CA"/>
              <w:left w:val="single" w:sz="2" w:space="0" w:color="ADB9CA"/>
              <w:bottom w:val="single" w:sz="2" w:space="0" w:color="ADB9CA"/>
              <w:right w:val="single" w:sz="2" w:space="0" w:color="ADB9CA"/>
            </w:tcBorders>
            <w:shd w:fill="1F4E79" w:val="clear"/>
          </w:tcPr>
          <w:p>
            <w:pPr>
              <w:pStyle w:val="Normal"/>
              <w:jc w:val="center"/>
              <w:rPr/>
            </w:pPr>
            <w:r>
              <w:rPr>
                <w:rFonts w:eastAsia="Arial" w:cs="Arial"/>
                <w:b/>
                <w:bCs/>
                <w:color w:val="FFFFFF"/>
                <w:sz w:val="20"/>
                <w:szCs w:val="20"/>
              </w:rPr>
              <w:t>Actual: Phishing</w:t>
            </w:r>
          </w:p>
        </w:tc>
        <w:tc>
          <w:tcPr>
            <w:tcW w:w="2340" w:type="dxa"/>
            <w:tcBorders>
              <w:top w:val="single" w:sz="2" w:space="0" w:color="ADB9CA"/>
              <w:left w:val="single" w:sz="2" w:space="0" w:color="ADB9CA"/>
              <w:bottom w:val="single" w:sz="2" w:space="0" w:color="ADB9CA"/>
              <w:right w:val="single" w:sz="2" w:space="0" w:color="ADB9CA"/>
            </w:tcBorders>
            <w:shd w:fill="D6E4F0" w:val="clear"/>
          </w:tcPr>
          <w:p>
            <w:pPr>
              <w:pStyle w:val="Normal"/>
              <w:jc w:val="center"/>
              <w:rPr/>
            </w:pPr>
            <w:r>
              <w:rPr>
                <w:rFonts w:eastAsia="Arial" w:cs="Arial"/>
                <w:sz w:val="20"/>
                <w:szCs w:val="20"/>
              </w:rPr>
              <w:t>21</w:t>
            </w:r>
          </w:p>
        </w:tc>
        <w:tc>
          <w:tcPr>
            <w:tcW w:w="2340"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1441</w:t>
            </w:r>
          </w:p>
        </w:tc>
        <w:tc>
          <w:tcPr>
            <w:tcW w:w="2339" w:type="dxa"/>
            <w:tcBorders>
              <w:top w:val="single" w:sz="2" w:space="0" w:color="ADB9CA"/>
              <w:left w:val="single" w:sz="2" w:space="0" w:color="ADB9CA"/>
              <w:bottom w:val="single" w:sz="2" w:space="0" w:color="ADB9CA"/>
              <w:right w:val="single" w:sz="2" w:space="0" w:color="ADB9CA"/>
            </w:tcBorders>
            <w:shd w:fill="FFFFFF" w:val="clear"/>
          </w:tcPr>
          <w:p>
            <w:pPr>
              <w:pStyle w:val="Normal"/>
              <w:jc w:val="center"/>
              <w:rPr/>
            </w:pPr>
            <w:r>
              <w:rPr>
                <w:rFonts w:eastAsia="Arial" w:cs="Arial"/>
                <w:sz w:val="20"/>
                <w:szCs w:val="20"/>
              </w:rPr>
              <w:t>Ensemble</w:t>
            </w:r>
          </w:p>
        </w:tc>
      </w:tr>
    </w:tbl>
    <w:p>
      <w:pPr>
        <w:pStyle w:val="Normal"/>
        <w:spacing w:before="0" w:after="120"/>
        <w:rPr/>
      </w:pPr>
      <w:r>
        <w:rPr/>
      </w:r>
    </w:p>
    <w:p>
      <w:pPr>
        <w:pStyle w:val="Heading2"/>
        <w:spacing w:before="240" w:after="120"/>
        <w:rPr/>
      </w:pPr>
      <w:r>
        <w:rPr>
          <w:rFonts w:eastAsia="Arial" w:cs="Arial" w:ascii="Arial" w:hAnsi="Arial"/>
          <w:b/>
          <w:bCs/>
          <w:color w:val="2E75B6"/>
          <w:sz w:val="26"/>
          <w:szCs w:val="26"/>
        </w:rPr>
        <w:t>Key Observations</w:t>
      </w:r>
    </w:p>
    <w:p>
      <w:pPr>
        <w:pStyle w:val="ListParagraph"/>
        <w:numPr>
          <w:ilvl w:val="0"/>
          <w:numId w:val="1"/>
        </w:numPr>
        <w:spacing w:before="60" w:after="60"/>
        <w:rPr/>
      </w:pPr>
      <w:r>
        <w:rPr>
          <w:rFonts w:eastAsia="Arial" w:cs="Arial"/>
          <w:sz w:val="22"/>
          <w:szCs w:val="22"/>
        </w:rPr>
        <w:t>The Majority Ensemble reduces false negatives (21 vs. 29), meaning it misses fewer phishing emails.</w:t>
      </w:r>
    </w:p>
    <w:p>
      <w:pPr>
        <w:pStyle w:val="ListParagraph"/>
        <w:numPr>
          <w:ilvl w:val="0"/>
          <w:numId w:val="1"/>
        </w:numPr>
        <w:spacing w:before="60" w:after="60"/>
        <w:rPr/>
      </w:pPr>
      <w:r>
        <w:rPr>
          <w:rFonts w:eastAsia="Arial" w:cs="Arial"/>
          <w:sz w:val="22"/>
          <w:szCs w:val="22"/>
        </w:rPr>
        <w:t>However, the Ensemble increases false positives (85 vs. 70), meaning more safe emails are incorrectly flagged.</w:t>
      </w:r>
    </w:p>
    <w:p>
      <w:pPr>
        <w:pStyle w:val="ListParagraph"/>
        <w:numPr>
          <w:ilvl w:val="0"/>
          <w:numId w:val="1"/>
        </w:numPr>
        <w:spacing w:before="60" w:after="60"/>
        <w:rPr/>
      </w:pPr>
      <w:r>
        <w:rPr>
          <w:rFonts w:eastAsia="Arial" w:cs="Arial"/>
          <w:sz w:val="22"/>
          <w:szCs w:val="22"/>
        </w:rPr>
        <w:t>Both models perform strongly on medium and long emails, with F1 scores around 0.98.</w:t>
      </w:r>
    </w:p>
    <w:p>
      <w:pPr>
        <w:pStyle w:val="ListParagraph"/>
        <w:numPr>
          <w:ilvl w:val="0"/>
          <w:numId w:val="1"/>
        </w:numPr>
        <w:spacing w:before="60" w:after="60"/>
        <w:rPr/>
      </w:pPr>
      <w:r>
        <w:rPr>
          <w:rFonts w:eastAsia="Arial" w:cs="Arial"/>
          <w:sz w:val="22"/>
          <w:szCs w:val="22"/>
        </w:rPr>
        <w:t>Performance drops significantly on short emails. Ensemble accuracy for short emails is 0.8807 and F1 is 0.8780 — far below the medium/long slices. Short text lacks sufficient context for confident classification.</w:t>
      </w:r>
    </w:p>
    <w:p>
      <w:pPr>
        <w:pStyle w:val="Normal"/>
        <w:spacing w:before="0" w:after="160"/>
        <w:rPr/>
      </w:pPr>
      <w:r>
        <w:rPr/>
      </w:r>
    </w:p>
    <w:p>
      <w:pPr>
        <w:pStyle w:val="Heading1"/>
        <w:pBdr>
          <w:bottom w:val="single" w:sz="6" w:space="4" w:color="2E75B6"/>
        </w:pBdr>
        <w:spacing w:before="320" w:after="160"/>
        <w:rPr/>
      </w:pPr>
      <w:r>
        <w:rPr>
          <w:rFonts w:eastAsia="Arial" w:cs="Arial" w:ascii="Arial" w:hAnsi="Arial"/>
          <w:b/>
          <w:bCs/>
          <w:color w:val="1F4E79"/>
          <w:sz w:val="32"/>
          <w:szCs w:val="32"/>
        </w:rPr>
        <w:t>4. Bias &amp; Fairness Check</w:t>
      </w:r>
    </w:p>
    <w:p>
      <w:pPr>
        <w:pStyle w:val="Normal"/>
        <w:spacing w:before="80" w:after="100"/>
        <w:rPr/>
      </w:pPr>
      <w:r>
        <w:rPr>
          <w:rFonts w:eastAsia="Arial" w:cs="Arial"/>
          <w:b w:val="false"/>
          <w:bCs w:val="false"/>
          <w:color w:val="000000"/>
          <w:sz w:val="22"/>
          <w:szCs w:val="22"/>
        </w:rPr>
        <w:t>A slice-based fairness check was conducted across three practical groups: URL presence, urgency-term presence, and email length bucket. No demographic attributes were evaluated.</w:t>
      </w:r>
    </w:p>
    <w:p>
      <w:pPr>
        <w:pStyle w:val="Normal"/>
        <w:spacing w:before="0" w:after="120"/>
        <w:rPr/>
      </w:pPr>
      <w:r>
        <w:rPr/>
      </w:r>
    </w:p>
    <w:tbl>
      <w:tblPr>
        <w:tblW w:w="9360" w:type="dxa"/>
        <w:jc w:val="left"/>
        <w:tblInd w:w="0" w:type="dxa"/>
        <w:tblLayout w:type="fixed"/>
        <w:tblCellMar>
          <w:top w:w="100" w:type="dxa"/>
          <w:left w:w="120" w:type="dxa"/>
          <w:bottom w:w="100" w:type="dxa"/>
          <w:right w:w="120" w:type="dxa"/>
        </w:tblCellMar>
      </w:tblPr>
      <w:tblGrid>
        <w:gridCol w:w="3599"/>
        <w:gridCol w:w="2880"/>
        <w:gridCol w:w="2881"/>
      </w:tblGrid>
      <w:tr>
        <w:trPr/>
        <w:tc>
          <w:tcPr>
            <w:tcW w:w="3599" w:type="dxa"/>
            <w:tcBorders>
              <w:top w:val="single" w:sz="2" w:space="0" w:color="ADB9CA"/>
              <w:left w:val="single" w:sz="2" w:space="0" w:color="ADB9CA"/>
              <w:bottom w:val="single" w:sz="2" w:space="0" w:color="ADB9CA"/>
              <w:right w:val="single" w:sz="2" w:space="0" w:color="ADB9CA"/>
            </w:tcBorders>
            <w:shd w:fill="2E75B6" w:val="clear"/>
          </w:tcPr>
          <w:p>
            <w:pPr>
              <w:pStyle w:val="Normal"/>
              <w:jc w:val="center"/>
              <w:rPr/>
            </w:pPr>
            <w:r>
              <w:rPr>
                <w:rFonts w:eastAsia="Arial" w:cs="Arial"/>
                <w:b/>
                <w:bCs/>
                <w:color w:val="FFFFFF"/>
                <w:sz w:val="20"/>
                <w:szCs w:val="20"/>
              </w:rPr>
              <w:t>Slice / Group</w:t>
            </w:r>
          </w:p>
        </w:tc>
        <w:tc>
          <w:tcPr>
            <w:tcW w:w="2880" w:type="dxa"/>
            <w:tcBorders>
              <w:top w:val="single" w:sz="2" w:space="0" w:color="ADB9CA"/>
              <w:left w:val="single" w:sz="2" w:space="0" w:color="ADB9CA"/>
              <w:bottom w:val="single" w:sz="2" w:space="0" w:color="ADB9CA"/>
              <w:right w:val="single" w:sz="2" w:space="0" w:color="ADB9CA"/>
            </w:tcBorders>
            <w:shd w:fill="2E75B6" w:val="clear"/>
          </w:tcPr>
          <w:p>
            <w:pPr>
              <w:pStyle w:val="Normal"/>
              <w:jc w:val="center"/>
              <w:rPr/>
            </w:pPr>
            <w:r>
              <w:rPr>
                <w:rFonts w:eastAsia="Arial" w:cs="Arial"/>
                <w:b/>
                <w:bCs/>
                <w:color w:val="FFFFFF"/>
                <w:sz w:val="20"/>
                <w:szCs w:val="20"/>
              </w:rPr>
              <w:t>F1 Gap</w:t>
            </w:r>
          </w:p>
        </w:tc>
        <w:tc>
          <w:tcPr>
            <w:tcW w:w="2881" w:type="dxa"/>
            <w:tcBorders>
              <w:top w:val="single" w:sz="2" w:space="0" w:color="ADB9CA"/>
              <w:left w:val="single" w:sz="2" w:space="0" w:color="ADB9CA"/>
              <w:bottom w:val="single" w:sz="2" w:space="0" w:color="ADB9CA"/>
              <w:right w:val="single" w:sz="2" w:space="0" w:color="ADB9CA"/>
            </w:tcBorders>
            <w:shd w:fill="2E75B6" w:val="clear"/>
          </w:tcPr>
          <w:p>
            <w:pPr>
              <w:pStyle w:val="Normal"/>
              <w:jc w:val="center"/>
              <w:rPr/>
            </w:pPr>
            <w:r>
              <w:rPr>
                <w:rFonts w:eastAsia="Arial" w:cs="Arial"/>
                <w:b/>
                <w:bCs/>
                <w:color w:val="FFFFFF"/>
                <w:sz w:val="20"/>
                <w:szCs w:val="20"/>
              </w:rPr>
              <w:t>Risk Level</w:t>
            </w:r>
          </w:p>
        </w:tc>
      </w:tr>
      <w:tr>
        <w:trPr/>
        <w:tc>
          <w:tcPr>
            <w:tcW w:w="359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000000"/>
                <w:sz w:val="20"/>
                <w:szCs w:val="20"/>
              </w:rPr>
              <w:t>URL Presence</w:t>
            </w:r>
          </w:p>
        </w:tc>
        <w:tc>
          <w:tcPr>
            <w:tcW w:w="288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2E7D32"/>
                <w:sz w:val="20"/>
                <w:szCs w:val="20"/>
              </w:rPr>
              <w:t>0.0016</w:t>
            </w:r>
          </w:p>
        </w:tc>
        <w:tc>
          <w:tcPr>
            <w:tcW w:w="2881"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2E7D32"/>
                <w:sz w:val="20"/>
                <w:szCs w:val="20"/>
              </w:rPr>
              <w:t>Very Low</w:t>
            </w:r>
          </w:p>
        </w:tc>
      </w:tr>
      <w:tr>
        <w:trPr/>
        <w:tc>
          <w:tcPr>
            <w:tcW w:w="3599"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tcPr>
          <w:p>
            <w:pPr>
              <w:pStyle w:val="Normal"/>
              <w:jc w:val="center"/>
              <w:rPr/>
            </w:pPr>
            <w:r>
              <w:rPr>
                <w:rFonts w:eastAsia="Arial" w:cs="Arial"/>
                <w:color w:val="000000"/>
                <w:sz w:val="20"/>
                <w:szCs w:val="20"/>
              </w:rPr>
              <w:t>Urgent Terms</w:t>
            </w:r>
          </w:p>
        </w:tc>
        <w:tc>
          <w:tcPr>
            <w:tcW w:w="288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F57F17"/>
                <w:sz w:val="20"/>
                <w:szCs w:val="20"/>
              </w:rPr>
              <w:t>0.0199</w:t>
            </w:r>
          </w:p>
        </w:tc>
        <w:tc>
          <w:tcPr>
            <w:tcW w:w="2881" w:type="dxa"/>
            <w:tcBorders>
              <w:top w:val="single" w:sz="2" w:space="0" w:color="ADB9CA"/>
              <w:left w:val="single" w:sz="2" w:space="0" w:color="ADB9CA"/>
              <w:bottom w:val="single" w:sz="2" w:space="0" w:color="ADB9CA"/>
              <w:right w:val="single" w:sz="2" w:space="0" w:color="ADB9CA"/>
            </w:tcBorders>
            <w:shd w:fill="E8F4FD" w:val="clear"/>
            <w:tcMar>
              <w:top w:w="80" w:type="dxa"/>
              <w:bottom w:w="80" w:type="dxa"/>
            </w:tcMar>
          </w:tcPr>
          <w:p>
            <w:pPr>
              <w:pStyle w:val="Normal"/>
              <w:jc w:val="center"/>
              <w:rPr/>
            </w:pPr>
            <w:r>
              <w:rPr>
                <w:rFonts w:eastAsia="Arial" w:cs="Arial"/>
                <w:color w:val="F57F17"/>
                <w:sz w:val="20"/>
                <w:szCs w:val="20"/>
              </w:rPr>
              <w:t>Low</w:t>
            </w:r>
          </w:p>
        </w:tc>
      </w:tr>
      <w:tr>
        <w:trPr/>
        <w:tc>
          <w:tcPr>
            <w:tcW w:w="3599"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000000"/>
                <w:sz w:val="20"/>
                <w:szCs w:val="20"/>
              </w:rPr>
              <w:t>Email Length Bucket</w:t>
            </w:r>
          </w:p>
        </w:tc>
        <w:tc>
          <w:tcPr>
            <w:tcW w:w="2880"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C62828"/>
                <w:sz w:val="20"/>
                <w:szCs w:val="20"/>
              </w:rPr>
              <w:t>0.1027</w:t>
            </w:r>
          </w:p>
        </w:tc>
        <w:tc>
          <w:tcPr>
            <w:tcW w:w="2881" w:type="dxa"/>
            <w:tcBorders>
              <w:top w:val="single" w:sz="2" w:space="0" w:color="ADB9CA"/>
              <w:left w:val="single" w:sz="2" w:space="0" w:color="ADB9CA"/>
              <w:bottom w:val="single" w:sz="2" w:space="0" w:color="ADB9CA"/>
              <w:right w:val="single" w:sz="2" w:space="0" w:color="ADB9CA"/>
            </w:tcBorders>
            <w:shd w:fill="FFFFFF" w:val="clear"/>
            <w:tcMar>
              <w:top w:w="80" w:type="dxa"/>
              <w:bottom w:w="80" w:type="dxa"/>
            </w:tcMar>
          </w:tcPr>
          <w:p>
            <w:pPr>
              <w:pStyle w:val="Normal"/>
              <w:jc w:val="center"/>
              <w:rPr/>
            </w:pPr>
            <w:r>
              <w:rPr>
                <w:rFonts w:eastAsia="Arial" w:cs="Arial"/>
                <w:color w:val="C62828"/>
                <w:sz w:val="20"/>
                <w:szCs w:val="20"/>
              </w:rPr>
              <w:t>High</w:t>
            </w:r>
          </w:p>
        </w:tc>
      </w:tr>
    </w:tbl>
    <w:p>
      <w:pPr>
        <w:pStyle w:val="Normal"/>
        <w:spacing w:before="0" w:after="120"/>
        <w:rPr/>
      </w:pPr>
      <w:r>
        <w:rPr/>
      </w:r>
    </w:p>
    <w:p>
      <w:pPr>
        <w:pStyle w:val="Heading2"/>
        <w:spacing w:before="240" w:after="120"/>
        <w:rPr/>
      </w:pPr>
      <w:r>
        <w:rPr>
          <w:rFonts w:eastAsia="Arial" w:cs="Arial" w:ascii="Arial" w:hAnsi="Arial"/>
          <w:b/>
          <w:bCs/>
          <w:color w:val="2E75B6"/>
          <w:sz w:val="26"/>
          <w:szCs w:val="26"/>
        </w:rPr>
        <w:t>Key Fairness Finding</w:t>
      </w:r>
    </w:p>
    <w:p>
      <w:pPr>
        <w:pStyle w:val="Normal"/>
        <w:spacing w:before="80" w:after="100"/>
        <w:rPr/>
      </w:pPr>
      <w:r>
        <w:rPr>
          <w:rFonts w:eastAsia="Arial" w:cs="Arial"/>
          <w:b w:val="false"/>
          <w:bCs w:val="false"/>
          <w:color w:val="000000"/>
          <w:sz w:val="22"/>
          <w:szCs w:val="22"/>
        </w:rPr>
        <w:t>The major fairness risk is length-based disparity. For short emails, the predicted phishing rate (0.5322) is notably higher than the true phishing rate (0.4463), indicating over-prediction in that slice. This is an operational fairness concern that warrants attention in production deployments.</w:t>
      </w:r>
    </w:p>
    <w:p>
      <w:pPr>
        <w:pStyle w:val="Normal"/>
        <w:spacing w:before="0" w:after="160"/>
        <w:rPr/>
      </w:pPr>
      <w:r>
        <w:rPr/>
      </w:r>
    </w:p>
    <w:p>
      <w:pPr>
        <w:pStyle w:val="Heading1"/>
        <w:pBdr>
          <w:bottom w:val="single" w:sz="6" w:space="4" w:color="2E75B6"/>
        </w:pBdr>
        <w:spacing w:before="320" w:after="160"/>
        <w:rPr/>
      </w:pPr>
      <w:r>
        <w:rPr>
          <w:rFonts w:eastAsia="Arial" w:cs="Arial" w:ascii="Arial" w:hAnsi="Arial"/>
          <w:b/>
          <w:bCs/>
          <w:color w:val="1F4E79"/>
          <w:sz w:val="32"/>
          <w:szCs w:val="32"/>
        </w:rPr>
        <w:t>5. Key Insights &amp; Observations</w:t>
      </w:r>
    </w:p>
    <w:p>
      <w:pPr>
        <w:pStyle w:val="ListParagraph"/>
        <w:numPr>
          <w:ilvl w:val="0"/>
          <w:numId w:val="1"/>
        </w:numPr>
        <w:shd w:val="clear" w:fill="E8F4FD"/>
        <w:spacing w:before="60" w:after="60"/>
        <w:rPr/>
      </w:pPr>
      <w:r>
        <w:rPr>
          <w:rFonts w:eastAsia="Arial" w:cs="Arial"/>
          <w:sz w:val="22"/>
          <w:szCs w:val="22"/>
        </w:rPr>
        <w:t>DistilBERT is the best-performing single approach on this dataset, offering the strongest balance of precision and recall.</w:t>
      </w:r>
    </w:p>
    <w:p>
      <w:pPr>
        <w:pStyle w:val="ListParagraph"/>
        <w:numPr>
          <w:ilvl w:val="0"/>
          <w:numId w:val="1"/>
        </w:numPr>
        <w:shd w:val="clear" w:fill="E8F4FD"/>
        <w:spacing w:before="60" w:after="60"/>
        <w:rPr/>
      </w:pPr>
      <w:r>
        <w:rPr>
          <w:rFonts w:eastAsia="Arial" w:cs="Arial"/>
          <w:sz w:val="22"/>
          <w:szCs w:val="22"/>
        </w:rPr>
        <w:t>The Majority Ensemble provides the highest phishing recall and is most suitable when missing attacks is the primary risk.</w:t>
      </w:r>
    </w:p>
    <w:p>
      <w:pPr>
        <w:pStyle w:val="ListParagraph"/>
        <w:numPr>
          <w:ilvl w:val="0"/>
          <w:numId w:val="1"/>
        </w:numPr>
        <w:shd w:val="clear" w:fill="E8F4FD"/>
        <w:spacing w:before="60" w:after="60"/>
        <w:rPr/>
      </w:pPr>
      <w:r>
        <w:rPr>
          <w:rFonts w:eastAsia="Arial" w:cs="Arial"/>
          <w:sz w:val="22"/>
          <w:szCs w:val="22"/>
        </w:rPr>
        <w:t>Logistic Regression is a strong, lightweight baseline with competitive results — viable when inference speed and simplicity are priorities.</w:t>
      </w:r>
    </w:p>
    <w:p>
      <w:pPr>
        <w:pStyle w:val="ListParagraph"/>
        <w:numPr>
          <w:ilvl w:val="0"/>
          <w:numId w:val="1"/>
        </w:numPr>
        <w:shd w:val="clear" w:fill="E8F4FD"/>
        <w:spacing w:before="60" w:after="60"/>
        <w:rPr/>
      </w:pPr>
      <w:r>
        <w:rPr>
          <w:rFonts w:eastAsia="Arial" w:cs="Arial"/>
          <w:sz w:val="22"/>
          <w:szCs w:val="22"/>
        </w:rPr>
        <w:t>Short emails represent a significant weakness across all models. Augmenting short-email training data or applying specialized classifiers for this slice could improve fairness and overall performance.</w:t>
      </w:r>
    </w:p>
    <w:p>
      <w:pPr>
        <w:pStyle w:val="Normal"/>
        <w:spacing w:before="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120" w:after="0"/>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3</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120" w:after="0"/>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3</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200"/>
      <w:rPr/>
    </w:pPr>
    <w:r>
      <w:rPr>
        <w:rFonts w:eastAsia="Arial" w:cs="Arial"/>
        <w:b/>
        <w:bCs/>
        <w:color w:val="1F4E79"/>
        <w:sz w:val="22"/>
        <w:szCs w:val="22"/>
      </w:rPr>
      <w:t>SafeMail: Phase 4 Report</w:t>
    </w:r>
    <w:r>
      <w:rPr>
        <w:rFonts w:eastAsia="Arial" w:cs="Arial"/>
        <w:color w:val="595959"/>
        <w:sz w:val="20"/>
        <w:szCs w:val="20"/>
      </w:rPr>
      <w:t xml:space="preserve">  |  Model Evaluation &amp;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200"/>
      <w:rPr/>
    </w:pPr>
    <w:r>
      <w:rPr>
        <w:rFonts w:eastAsia="Arial" w:cs="Arial"/>
        <w:b/>
        <w:bCs/>
        <w:color w:val="1F4E79"/>
        <w:sz w:val="22"/>
        <w:szCs w:val="22"/>
      </w:rPr>
      <w:t>SafeMail: Phase 4 Report</w:t>
    </w:r>
    <w:r>
      <w:rPr>
        <w:rFonts w:eastAsia="Arial" w:cs="Arial"/>
        <w:color w:val="595959"/>
        <w:sz w:val="20"/>
        <w:szCs w:val="20"/>
      </w:rPr>
      <w:t xml:space="preserve">  |  Model Evaluation &amp; Analysis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534</Words>
  <Characters>3117</Characters>
  <CharactersWithSpaces>3544</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2026-04-26T14:39:46Z</dcterms:created>
  <dc:creator>Un-named</dc:creator>
  <dc:description/>
  <dc:language>en-US</dc:language>
  <cp:lastModifiedBy>Un-named</cp:lastModifiedBy>
  <dcterms:modified xsi:type="dcterms:W3CDTF">2026-04-26T14:39:46Z</dcterms:modified>
  <cp:revision>1</cp:revision>
  <dc:subject/>
  <dc:title/>
</cp:coreProperties>
</file>