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br/>
              <w:t>- Công cụ vẽ &amp; thiết kế sơ đồ sân khấu/ghế ngồi</w:t>
              <w:br/>
              <w:t>- Tạo và đăng bài sự kiện, quản lý suất diễn, cấu hình giá vé</w:t>
              <w:br/>
              <w:t>- Quản lý check-in khách hàng, báo cáo thống kê doanh thu</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Phân hệ 5: Quản lý và thống kê dành cho ban tổ chức</w:t>
      </w:r>
    </w:p>
    <w:p>
      <w:pPr>
        <w:spacing w:before="0" w:after="100" w:line="300" w:lineRule="auto"/>
      </w:pPr>
      <w:r>
        <w:rPr>
          <w:rFonts w:ascii="Times New Roman" w:hAnsi="Times New Roman"/>
          <w:color w:val="1E293B"/>
          <w:sz w:val="23"/>
        </w:rPr>
        <w:t>Phân hệ cung cấp bộ công cụ quản trị dành riêng cho Ban tổ chức sự kiện: thiết kế layout khán đài sân khấu, khởi tạo sự kiện mới, định giá vé cho từng khu vực, thiết lập đợt mở bán, quản lý danh sách người tham gia và xem báo cáo tổng kết doanh thu trực quan.</w:t>
      </w:r>
    </w:p>
    <w:p>
      <w:pPr>
        <w:keepNext/>
        <w:spacing w:before="160" w:after="40"/>
        <w:jc w:val="center"/>
      </w:pPr>
      <w:r>
        <w:drawing>
          <wp:inline xmlns:a="http://schemas.openxmlformats.org/drawingml/2006/main" xmlns:pic="http://schemas.openxmlformats.org/drawingml/2006/picture">
            <wp:extent cx="5669280" cy="3869587"/>
            <wp:docPr id="6" name="Picture 6"/>
            <wp:cNvGraphicFramePr>
              <a:graphicFrameLocks noChangeAspect="1"/>
            </wp:cNvGraphicFramePr>
            <a:graphic>
              <a:graphicData uri="http://schemas.openxmlformats.org/drawingml/2006/picture">
                <pic:pic>
                  <pic:nvPicPr>
                    <pic:cNvPr id="0" name="uc_module5.png"/>
                    <pic:cNvPicPr/>
                  </pic:nvPicPr>
                  <pic:blipFill>
                    <a:blip r:embed="rId14"/>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2.6: Biểu đồ Use Case Phân hệ 5 - Quản lý &amp; Thống kê dành cho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Thiết kế sơ đồ ghế</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Công cụ vẽ khán đài trực quan: thiết lập khu vực ghế ngồi, hàng ghế, số ghế, vé đứng tự do.</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Tạo sự kiện mới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thông tin sự kiện: tiêu đề, poster, thể loại, thông tin nghệ sĩ, địa điểm tổ chức.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Cấu hình giá vé &amp; Suất diễn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Thiết lập các khung giờ diễn và gán bảng giá vé riêng cho từng khu vực ghế (VIP, Regular).</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Quản lý mở bán &amp; Voucher</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các đợt mở bán (Early Bird, General Sale) và phát hành mã giảm giá kèm ngân sách.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Quản lý check-in soát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Ứng dụng quét mã QR tại cổng ra vào để xác thực vé hợp lệ và ghi nhận thời gian vào cửa.</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Báo cáo thống kê doanh thu</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tổng quan doanh thu, số vé đã bán, tỷ lệ lấp đầy khán đài theo thời gian thực.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Xuất báo cáo (Excel/PDF)</w:t>
            </w:r>
          </w:p>
        </w:tc>
      </w:tr>
    </w:tbl>
    <w:p>
      <w:pPr>
        <w:spacing w:before="0" w:after="120"/>
      </w:pPr>
    </w:p>
    <w:p>
      <w:pPr>
        <w:keepNext/>
        <w:spacing w:before="320" w:after="120"/>
      </w:pPr>
      <w:r>
        <w:rPr>
          <w:rFonts w:ascii="Times New Roman" w:hAnsi="Times New Roman"/>
          <w:b/>
          <w:color w:val="1E3A8A"/>
          <w:sz w:val="28"/>
        </w:rPr>
        <w:t>3.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3.1.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7" name="Picture 7"/>
            <wp:cNvGraphicFramePr>
              <a:graphicFrameLocks noChangeAspect="1"/>
            </wp:cNvGraphicFramePr>
            <a:graphic>
              <a:graphicData uri="http://schemas.openxmlformats.org/drawingml/2006/picture">
                <pic:pic>
                  <pic:nvPicPr>
                    <pic:cNvPr id="0" name="analysis_tong_the.png"/>
                    <pic:cNvPicPr/>
                  </pic:nvPicPr>
                  <pic:blipFill>
                    <a:blip r:embed="rId15"/>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3.1: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3.2.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8" name="Picture 8"/>
            <wp:cNvGraphicFramePr>
              <a:graphicFrameLocks noChangeAspect="1"/>
            </wp:cNvGraphicFramePr>
            <a:graphic>
              <a:graphicData uri="http://schemas.openxmlformats.org/drawingml/2006/picture">
                <pic:pic>
                  <pic:nvPicPr>
                    <pic:cNvPr id="0" name="analysis_module1.png"/>
                    <pic:cNvPicPr/>
                  </pic:nvPicPr>
                  <pic:blipFill>
                    <a:blip r:embed="rId1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3.2: Biểu đồ lớp thực thể phân tích - Phân hệ 1: Quản lý tài khoản</w:t>
      </w:r>
    </w:p>
    <w:p>
      <w:pPr>
        <w:keepNext/>
        <w:spacing w:before="240" w:after="80"/>
      </w:pPr>
      <w:r>
        <w:rPr>
          <w:rFonts w:ascii="Times New Roman" w:hAnsi="Times New Roman"/>
          <w:b/>
          <w:color w:val="1D4ED8"/>
          <w:sz w:val="25"/>
        </w:rPr>
        <w:t>3.3.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9" name="Picture 9"/>
            <wp:cNvGraphicFramePr>
              <a:graphicFrameLocks noChangeAspect="1"/>
            </wp:cNvGraphicFramePr>
            <a:graphic>
              <a:graphicData uri="http://schemas.openxmlformats.org/drawingml/2006/picture">
                <pic:pic>
                  <pic:nvPicPr>
                    <pic:cNvPr id="0" name="analysis_module2.png"/>
                    <pic:cNvPicPr/>
                  </pic:nvPicPr>
                  <pic:blipFill>
                    <a:blip r:embed="rId17"/>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3.3: Biểu đồ lớp thực thể phân tích - Phân hệ 2: Tìm kiếm &amp; Xem sự kiện</w:t>
      </w:r>
    </w:p>
    <w:p>
      <w:pPr>
        <w:keepNext/>
        <w:spacing w:before="240" w:after="80"/>
      </w:pPr>
      <w:r>
        <w:rPr>
          <w:rFonts w:ascii="Times New Roman" w:hAnsi="Times New Roman"/>
          <w:b/>
          <w:color w:val="1D4ED8"/>
          <w:sz w:val="25"/>
        </w:rPr>
        <w:t>3.4.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0" name="Picture 10"/>
            <wp:cNvGraphicFramePr>
              <a:graphicFrameLocks noChangeAspect="1"/>
            </wp:cNvGraphicFramePr>
            <a:graphic>
              <a:graphicData uri="http://schemas.openxmlformats.org/drawingml/2006/picture">
                <pic:pic>
                  <pic:nvPicPr>
                    <pic:cNvPr id="0" name="analysis_module3.png"/>
                    <pic:cNvPicPr/>
                  </pic:nvPicPr>
                  <pic:blipFill>
                    <a:blip r:embed="rId18"/>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3.4: Biểu đồ lớp thực thể phân tích - Phân hệ 3: Xếp hàng và chọn chỗ</w:t>
      </w:r>
    </w:p>
    <w:p>
      <w:pPr>
        <w:keepNext/>
        <w:spacing w:before="240" w:after="80"/>
      </w:pPr>
      <w:r>
        <w:rPr>
          <w:rFonts w:ascii="Times New Roman" w:hAnsi="Times New Roman"/>
          <w:b/>
          <w:color w:val="1D4ED8"/>
          <w:sz w:val="25"/>
        </w:rPr>
        <w:t>3.5.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1" name="Picture 11"/>
            <wp:cNvGraphicFramePr>
              <a:graphicFrameLocks noChangeAspect="1"/>
            </wp:cNvGraphicFramePr>
            <a:graphic>
              <a:graphicData uri="http://schemas.openxmlformats.org/drawingml/2006/picture">
                <pic:pic>
                  <pic:nvPicPr>
                    <pic:cNvPr id="0" name="analysis_module4.png"/>
                    <pic:cNvPicPr/>
                  </pic:nvPicPr>
                  <pic:blipFill>
                    <a:blip r:embed="rId19"/>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3.5: Biểu đồ lớp thực thể phân tích - Phân hệ 4: Tính tiền và Xuất vé</w:t>
      </w:r>
    </w:p>
    <w:p>
      <w:pPr>
        <w:keepNext/>
        <w:spacing w:before="240" w:after="80"/>
      </w:pPr>
      <w:r>
        <w:rPr>
          <w:rFonts w:ascii="Times New Roman" w:hAnsi="Times New Roman"/>
          <w:b/>
          <w:color w:val="1D4ED8"/>
          <w:sz w:val="25"/>
        </w:rPr>
        <w:t>3.6. Biểu đồ lớp thực thể phân tích Phân hệ 5: Quản lý và thống kê BTC</w:t>
      </w:r>
    </w:p>
    <w:p>
      <w:pPr>
        <w:spacing w:before="0" w:after="100" w:line="300" w:lineRule="auto"/>
      </w:pPr>
      <w:r>
        <w:rPr>
          <w:rFonts w:ascii="Times New Roman" w:hAnsi="Times New Roman"/>
          <w:color w:val="1E293B"/>
          <w:sz w:val="23"/>
        </w:rPr>
        <w:t>Organizer quản lý nhiều Event, mỗi sự kiện áp dụng SeatMap và nhiều Showtime, từ đó thiết lập ZonePricing và kết xuất RevenueReport.</w:t>
      </w:r>
    </w:p>
    <w:p>
      <w:pPr>
        <w:keepNext/>
        <w:spacing w:before="160" w:after="40"/>
        <w:jc w:val="center"/>
      </w:pPr>
      <w:r>
        <w:drawing>
          <wp:inline xmlns:a="http://schemas.openxmlformats.org/drawingml/2006/main" xmlns:pic="http://schemas.openxmlformats.org/drawingml/2006/picture">
            <wp:extent cx="5669280" cy="4067715"/>
            <wp:docPr id="12" name="Picture 12"/>
            <wp:cNvGraphicFramePr>
              <a:graphicFrameLocks noChangeAspect="1"/>
            </wp:cNvGraphicFramePr>
            <a:graphic>
              <a:graphicData uri="http://schemas.openxmlformats.org/drawingml/2006/picture">
                <pic:pic>
                  <pic:nvPicPr>
                    <pic:cNvPr id="0" name="analysis_module5.png"/>
                    <pic:cNvPicPr/>
                  </pic:nvPicPr>
                  <pic:blipFill>
                    <a:blip r:embed="rId20"/>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3.6: Biểu đồ lớp thực thể phân tích - Phân hệ 5: Quản lý &amp; Thống kê BTC</w:t>
      </w:r>
    </w:p>
    <w:p>
      <w:pPr>
        <w:keepNext/>
        <w:spacing w:before="320" w:after="120"/>
      </w:pPr>
      <w:r>
        <w:rPr>
          <w:rFonts w:ascii="Times New Roman" w:hAnsi="Times New Roman"/>
          <w:b/>
          <w:color w:val="1E3A8A"/>
          <w:sz w:val="28"/>
        </w:rPr>
        <w:t>4.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4.1.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3" name="Picture 13"/>
            <wp:cNvGraphicFramePr>
              <a:graphicFrameLocks noChangeAspect="1"/>
            </wp:cNvGraphicFramePr>
            <a:graphic>
              <a:graphicData uri="http://schemas.openxmlformats.org/drawingml/2006/picture">
                <pic:pic>
                  <pic:nvPicPr>
                    <pic:cNvPr id="0" name="design_tong_the.png"/>
                    <pic:cNvPicPr/>
                  </pic:nvPicPr>
                  <pic:blipFill>
                    <a:blip r:embed="rId21"/>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4.1: Biểu đồ lớp thực thể thiết kế tổng thể toàn hệ thống</w:t>
      </w:r>
    </w:p>
    <w:p>
      <w:pPr>
        <w:keepNext/>
        <w:spacing w:before="240" w:after="80"/>
      </w:pPr>
      <w:r>
        <w:rPr>
          <w:rFonts w:ascii="Times New Roman" w:hAnsi="Times New Roman"/>
          <w:b/>
          <w:color w:val="1D4ED8"/>
          <w:sz w:val="25"/>
        </w:rPr>
        <w:t>4.2.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4" name="Picture 14"/>
            <wp:cNvGraphicFramePr>
              <a:graphicFrameLocks noChangeAspect="1"/>
            </wp:cNvGraphicFramePr>
            <a:graphic>
              <a:graphicData uri="http://schemas.openxmlformats.org/drawingml/2006/picture">
                <pic:pic>
                  <pic:nvPicPr>
                    <pic:cNvPr id="0" name="design_module1.png"/>
                    <pic:cNvPicPr/>
                  </pic:nvPicPr>
                  <pic:blipFill>
                    <a:blip r:embed="rId22"/>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4.2: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4.3.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5" name="Picture 15"/>
            <wp:cNvGraphicFramePr>
              <a:graphicFrameLocks noChangeAspect="1"/>
            </wp:cNvGraphicFramePr>
            <a:graphic>
              <a:graphicData uri="http://schemas.openxmlformats.org/drawingml/2006/picture">
                <pic:pic>
                  <pic:nvPicPr>
                    <pic:cNvPr id="0" name="design_module2.png"/>
                    <pic:cNvPicPr/>
                  </pic:nvPicPr>
                  <pic:blipFill>
                    <a:blip r:embed="rId23"/>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4.4.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3.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4.5.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4.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4.6. Biểu đồ lớp thực thể thiết kế Phân hệ 5: Quản lý và thống kê BTC</w:t>
      </w:r>
    </w:p>
    <w:p>
      <w:pPr>
        <w:spacing w:before="0" w:after="100" w:line="300" w:lineRule="auto"/>
      </w:pPr>
      <w:r>
        <w:rPr>
          <w:rFonts w:ascii="Times New Roman" w:hAnsi="Times New Roman"/>
          <w:color w:val="1E293B"/>
          <w:sz w:val="23"/>
        </w:rPr>
        <w:t>Mô hình thiết kế chi tiết các lớp Organizer, Event, SeatMap, Showtime, ZonePricing và RevenueReport:</w:t>
      </w:r>
    </w:p>
    <w:p>
      <w:pPr>
        <w:keepNext/>
        <w:spacing w:before="160" w:after="40"/>
        <w:jc w:val="center"/>
      </w:pPr>
      <w:r>
        <w:drawing>
          <wp:inline xmlns:a="http://schemas.openxmlformats.org/drawingml/2006/main" xmlns:pic="http://schemas.openxmlformats.org/drawingml/2006/picture">
            <wp:extent cx="5669280" cy="4033196"/>
            <wp:docPr id="18" name="Picture 18"/>
            <wp:cNvGraphicFramePr>
              <a:graphicFrameLocks noChangeAspect="1"/>
            </wp:cNvGraphicFramePr>
            <a:graphic>
              <a:graphicData uri="http://schemas.openxmlformats.org/drawingml/2006/picture">
                <pic:pic>
                  <pic:nvPicPr>
                    <pic:cNvPr id="0" name="design_module5.png"/>
                    <pic:cNvPicPr/>
                  </pic:nvPicPr>
                  <pic:blipFill>
                    <a:blip r:embed="rId2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4.6: Biểu đồ lớp thực thể thiết kế - Phân hệ 5: Quản lý &amp; Thống kê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companyName: String</w:t>
              <w:br/>
              <w:t>- taxId: String [Unique]</w:t>
              <w:br/>
              <w:t>- email: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createEvent(dto: EventDto): Event</w:t>
              <w:br/>
              <w:t>+ updatePricing(pricingDto): void</w:t>
              <w:br/>
              <w:t>+ viewReports(eventId: Long): RevenueReport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price: double [&gt;= 0]</w:t>
              <w:br/>
              <w:t>- maxQuota: int [Total Allocated Seats]</w:t>
              <w:br/>
              <w:t>- soldCount: int [Current Sold Seats]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 double</w:t>
              <w:br/>
              <w:t>+ calculateRemainingSeats(): int</w:t>
              <w:br/>
              <w:t>+ getSoldRate(): double</w:t>
              <w:br/>
              <w:t>+ isSoldOut(): boolean</w:t>
              <w:br/>
              <w:t>+ recordSale(quantity: int):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eventId: Long</w:t>
              <w:br/>
              <w:t>- calculatedAt: LocalDateTime</w:t>
              <w:br/>
              <w:t>- taxRate: double</w:t>
              <w:br/>
              <w:t>- platformCommissionRate: 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 int</w:t>
              <w:br/>
              <w:t>+ calculateTotalTicketsSold(): int</w:t>
              <w:br/>
              <w:t>+ calculateGrossRevenue(): double</w:t>
              <w:br/>
              <w:t>+ calculateNetRevenue(): double</w:t>
              <w:br/>
              <w:t>+ calculateOccupancyRate(): double</w:t>
              <w:br/>
              <w:t>+ calculateAverageTicketPrice(): double</w:t>
              <w:br/>
              <w:t>+ calculateZoneContribution(zoneId: Long): double</w:t>
              <w:br/>
              <w:t>+ evaluatePerformance(): PerformanceStatus</w:t>
              <w:br/>
              <w:t>+ exportExcel(): byte[]</w:t>
              <w:br/>
              <w:t>+ exportPdf(): byte[]</w:t>
            </w:r>
          </w:p>
        </w:tc>
      </w:tr>
    </w:tbl>
    <w:p>
      <w:pPr>
        <w:spacing w:before="0" w:after="120"/>
      </w:pPr>
    </w:p>
    <w:p>
      <w:pPr>
        <w:keepNext/>
        <w:spacing w:before="240" w:after="80"/>
      </w:pPr>
      <w:r>
        <w:rPr>
          <w:rFonts w:ascii="Times New Roman" w:hAnsi="Times New Roman"/>
          <w:b/>
          <w:color w:val="1D4ED8"/>
          <w:sz w:val="25"/>
        </w:rPr>
        <w:t>4.7. Thiết kế chi tiết chức năng trọng tâm Module 5: Xem thống kê doanh thu sự kiện</w:t>
      </w:r>
    </w:p>
    <w:p>
      <w:pPr>
        <w:spacing w:before="0" w:after="100" w:line="300" w:lineRule="auto"/>
      </w:pPr>
      <w:r>
        <w:rPr>
          <w:rFonts w:ascii="Times New Roman" w:hAnsi="Times New Roman"/>
          <w:b/>
          <w:color w:val="0F172A"/>
          <w:sz w:val="23"/>
        </w:rPr>
        <w:t xml:space="preserve">Lý do lựa chọn chức năng: </w:t>
      </w:r>
      <w:r>
        <w:rPr>
          <w:rFonts w:ascii="Times New Roman" w:hAnsi="Times New Roman"/>
          <w:color w:val="1E293B"/>
          <w:sz w:val="23"/>
        </w:rPr>
        <w:t>Trong Module 5, chức năng 'Xem thống kê doanh thu sự kiện' (View Event Revenue Statistics) là một chức năng nghiệp vụ đơn lẻ (Single Atomic Function - Read/Calculate Analytics) đóng vai trò quyết định hiệu quả kinh doanh của Ban tổ chức. Chức năng này không đơn thuần là truy vấn dữ liệu thô (DTO) mà đòi hỏi các lớp thực thể phải sở hữu các phương thức thực hiện tính toán tài chính phức tạp, đảm bảo tính đóng gói (Encapsulation) chuẩn mực của lập trình hướng đối tượng.</w:t>
      </w:r>
    </w:p>
    <w:p>
      <w:pPr>
        <w:keepNext/>
        <w:spacing w:before="160" w:after="60"/>
      </w:pPr>
      <w:r>
        <w:rPr>
          <w:rFonts w:ascii="Times New Roman" w:hAnsi="Times New Roman"/>
          <w:b/>
          <w:i/>
          <w:color w:val="334155"/>
          <w:sz w:val="23"/>
        </w:rPr>
        <w:t>a. Đặc tả ca sử dụng chi tiết (Use Case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3168"/>
            <w:shd w:fill="1E3A8A"/>
            <w:tcMar>
              <w:top w:w="140" w:type="dxa"/>
              <w:bottom w:w="140" w:type="dxa"/>
              <w:left w:w="160" w:type="dxa"/>
              <w:right w:w="160" w:type="dxa"/>
            </w:tcMar>
          </w:tcPr>
          <w:p>
            <w:pPr>
              <w:jc w:val="center"/>
            </w:pPr>
            <w:r>
              <w:rPr>
                <w:rFonts w:ascii="Times New Roman" w:hAnsi="Times New Roman"/>
                <w:b/>
                <w:color w:val="FFFFFF"/>
                <w:sz w:val="21"/>
              </w:rPr>
              <w:t>Thuộc tính đặc tả</w:t>
            </w:r>
          </w:p>
        </w:tc>
        <w:tc>
          <w:tcPr>
            <w:tcW w:type="dxa" w:w="6192"/>
            <w:shd w:fill="1E3A8A"/>
            <w:tcMar>
              <w:top w:w="140" w:type="dxa"/>
              <w:bottom w:w="140" w:type="dxa"/>
              <w:left w:w="160" w:type="dxa"/>
              <w:right w:w="160" w:type="dxa"/>
            </w:tcMar>
          </w:tcPr>
          <w:p>
            <w:pPr>
              <w:jc w:val="center"/>
            </w:pPr>
            <w:r>
              <w:rPr>
                <w:rFonts w:ascii="Times New Roman" w:hAnsi="Times New Roman"/>
                <w:b/>
                <w:color w:val="FFFFFF"/>
                <w:sz w:val="21"/>
              </w:rPr>
              <w:t>Nội dung chi tiết</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Tên chức năng / Use Case</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Xem thống kê doanh thu sự kiện (View Event Revenue Statistics)</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Phân hệ trực thuộc</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Tác nhân (Actor)</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Mục tiêu nghiệp vụ</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Cung cấp bức tranh tài chính toàn cảnh của sự kiện: doanh thu gộp, doanh thu thuần sau thuế và phí sàn, tỷ lệ lấp đầy khán đài, giá vé bình quân và xếp hạng hiệu suất mở bán.</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Tiền điều kiện (Pre-conditions)</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đã đăng nhập thành công vào hệ thống.</w:t>
              <w:br/>
              <w:t>2. Sự kiện đã được cấu hình sơ đồ ghế và đã phát sinh giao dịch bán vé.</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Hậu điều kiện (Post-conditions)</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Hệ thống tổng hợp và hiển thị trực quan các chỉ số tài chính (KPIs) cùng biểu đồ phân bổ doanh thu theo từng khu vực khán đài.</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Luồng sự kiện chính (Main Flow)</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chọn sự kiện cần xem từ danh sách sự kiện do mình quản lý.</w:t>
              <w:br/>
              <w:t>2. Giao diện RevenueReportView gửi yêu cầu tra cứu tới RevenueReportController.</w:t>
              <w:br/>
              <w:t>3. Controller khởi tạo đối tượng RevenueReport nạp dữ liệu cấu hình vé và các giao dịch.</w:t>
              <w:br/>
              <w:t>4. RevenueReport thực hiện chuỗi phương thức tính toán nội tại: calculateGrossRevenue(), calculateNetRevenue(), calculateOccupancyRate(), evaluatePerformance().</w:t>
              <w:br/>
              <w:t>5. Controller đóng gói kết quả vào RevenueSummaryDto và trả về cho RevenueReportView.</w:t>
              <w:br/>
              <w:t>6. Giao diện kết xuất các thẻ KPI và biểu đồ phân bổ doanh thu trực quan.</w:t>
            </w:r>
          </w:p>
        </w:tc>
      </w:tr>
    </w:tbl>
    <w:p>
      <w:pPr>
        <w:spacing w:before="0" w:after="120"/>
      </w:pPr>
    </w:p>
    <w:p>
      <w:pPr>
        <w:keepNext/>
        <w:spacing w:before="160" w:after="60"/>
      </w:pPr>
      <w:r>
        <w:rPr>
          <w:rFonts w:ascii="Times New Roman" w:hAnsi="Times New Roman"/>
          <w:b/>
          <w:i/>
          <w:color w:val="334155"/>
          <w:sz w:val="23"/>
        </w:rPr>
        <w:t>b.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19" name="Picture 19"/>
            <wp:cNvGraphicFramePr>
              <a:graphicFrameLocks noChangeAspect="1"/>
            </wp:cNvGraphicFramePr>
            <a:graphic>
              <a:graphicData uri="http://schemas.openxmlformats.org/drawingml/2006/picture">
                <pic:pic>
                  <pic:nvPicPr>
                    <pic:cNvPr id="0" name="seq_m5_view_revenue.png"/>
                    <pic:cNvPicPr/>
                  </pic:nvPicPr>
                  <pic:blipFill>
                    <a:blip r:embed="rId27"/>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4.7: Biểu đồ tuần tự ca sử dụng Xem thống kê doanh thu sự kiện</w:t>
      </w:r>
    </w:p>
    <w:p>
      <w:pPr>
        <w:keepNext/>
        <w:spacing w:before="160" w:after="60"/>
      </w:pPr>
      <w:r>
        <w:rPr>
          <w:rFonts w:ascii="Times New Roman" w:hAnsi="Times New Roman"/>
          <w:b/>
          <w:i/>
          <w:color w:val="334155"/>
          <w:sz w:val="23"/>
        </w:rPr>
        <w:t>c. Biểu đồ lớp thiết kế chi tiết theo mô hình BCE</w:t>
      </w:r>
    </w:p>
    <w:p>
      <w:pPr>
        <w:spacing w:before="0" w:after="100" w:line="300" w:lineRule="auto"/>
      </w:pPr>
      <w:r>
        <w:rPr>
          <w:rFonts w:ascii="Times New Roman" w:hAnsi="Times New Roman"/>
          <w:color w:val="1E293B"/>
          <w:sz w:val="23"/>
        </w:rPr>
        <w:t>Mô hình thiết kế 3 lớp (Boundary - Control - Entity) làm nổi bật các phương thức tính toán nghiệp vụ trong các lớp thực thể RevenueReport và ZonePricing:</w:t>
      </w:r>
    </w:p>
    <w:p>
      <w:pPr>
        <w:keepNext/>
        <w:spacing w:before="160" w:after="40"/>
        <w:jc w:val="center"/>
      </w:pPr>
      <w:r>
        <w:drawing>
          <wp:inline xmlns:a="http://schemas.openxmlformats.org/drawingml/2006/main" xmlns:pic="http://schemas.openxmlformats.org/drawingml/2006/picture">
            <wp:extent cx="5669280" cy="3700158"/>
            <wp:docPr id="20" name="Picture 20"/>
            <wp:cNvGraphicFramePr>
              <a:graphicFrameLocks noChangeAspect="1"/>
            </wp:cNvGraphicFramePr>
            <a:graphic>
              <a:graphicData uri="http://schemas.openxmlformats.org/drawingml/2006/picture">
                <pic:pic>
                  <pic:nvPicPr>
                    <pic:cNvPr id="0" name="design_m5_view_revenue_detail.png"/>
                    <pic:cNvPicPr/>
                  </pic:nvPicPr>
                  <pic:blipFill>
                    <a:blip r:embed="rId28"/>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4.8: Biểu đồ lớp thiết kế chi tiết (BCE) chức năng Thống kê doanh thu</w:t>
      </w: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4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đề tài, phân công nhiệm vụ và phạm vi 5 module chức năng cho các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5 biểu đồ Use Case phân rã chi tiết cho từng phân hệ kèm bảng đặc tả tóm tắt nghiệp vụ.</w:t>
      </w:r>
    </w:p>
    <w:p>
      <w:pPr>
        <w:pStyle w:val="ListBullet"/>
        <w:spacing w:before="0" w:after="60" w:line="288" w:lineRule="auto"/>
      </w:pPr>
      <w:r>
        <w:rPr>
          <w:rFonts w:ascii="Times New Roman" w:hAnsi="Times New Roman"/>
          <w:b/>
          <w:color w:val="0F172A"/>
          <w:sz w:val="22"/>
        </w:rPr>
        <w:t xml:space="preserve">3. Biểu đồ lớp phân tích: </w:t>
      </w:r>
      <w:r>
        <w:rPr>
          <w:rFonts w:ascii="Times New Roman" w:hAnsi="Times New Roman"/>
          <w:color w:val="1E293B"/>
          <w:sz w:val="22"/>
        </w:rPr>
        <w:t>Biểu đồ lớp thực thể phân tích tổng thể và 5 biểu đồ lớp thực thể phân tích phân rã theo 5 module, thể hiện đúng bản chất mô hình hóa khái niệm miền bài toán.</w:t>
      </w:r>
    </w:p>
    <w:p>
      <w:pPr>
        <w:pStyle w:val="ListBullet"/>
        <w:spacing w:before="0" w:after="60" w:line="288" w:lineRule="auto"/>
      </w:pPr>
      <w:r>
        <w:rPr>
          <w:rFonts w:ascii="Times New Roman" w:hAnsi="Times New Roman"/>
          <w:b/>
          <w:color w:val="0F172A"/>
          <w:sz w:val="22"/>
        </w:rPr>
        <w:t xml:space="preserve">4. Biểu đồ lớp thiết kế: </w:t>
      </w:r>
      <w:r>
        <w:rPr>
          <w:rFonts w:ascii="Times New Roman" w:hAnsi="Times New Roman"/>
          <w:color w:val="1E293B"/>
          <w:sz w:val="22"/>
        </w:rPr>
        <w:t>Biểu đồ lớp thực thể thiết kế tổng thể và 5 biểu đồ lớp thực thể thiết kế chi tiết theo 5 module với cấu trúc 3 ngăn chuẩn UML, kiểu dữ liệu chặt chẽ, ràng buộc khóa chính và phương thức nghiệp vụ.</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