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293B"/>
          <w:sz w:val="24"/>
        </w:rPr>
        <w:t>HỌC VIỆN CÔNG NGHỆ BƯU CHÍNH VIỄN THÔNG</w:t>
        <w:br/>
        <w:t>KHOA CÔNG NGHỆ THÔNG TIN</w:t>
      </w:r>
    </w:p>
    <w:p>
      <w:pPr>
        <w:spacing w:after="280"/>
        <w:jc w:val="center"/>
      </w:pPr>
      <w:r>
        <w:rPr>
          <w:b/>
          <w:color w:val="94A3B8"/>
        </w:rPr>
        <w:t>------------------***------------------</w:t>
      </w:r>
    </w:p>
    <w:p>
      <w:pPr>
        <w:spacing w:after="120"/>
        <w:jc w:val="center"/>
      </w:pPr>
      <w:r>
        <w:rPr>
          <w:rFonts w:ascii="Times New Roman" w:hAnsi="Times New Roman"/>
          <w:b/>
          <w:color w:val="BE123C"/>
          <w:sz w:val="32"/>
        </w:rPr>
        <w:t>BÀI KIỂM TRA ĐỊNH KỲ</w:t>
        <w:br/>
        <w:t>PHÂN TÍCH VÀ THIẾT KẾ HỆ THỐNG THÔNG TIN</w:t>
      </w:r>
    </w:p>
    <w:p>
      <w:pPr>
        <w:spacing w:after="360"/>
        <w:jc w:val="center"/>
      </w:pPr>
      <w:r>
        <w:rPr>
          <w:rFonts w:ascii="Times New Roman" w:hAnsi="Times New Roman"/>
          <w:b/>
          <w:color w:val="1E3A8A"/>
          <w:sz w:val="26"/>
        </w:rPr>
        <w:t>ĐỀ TÀI: XÂY DỰNG HỆ THỐNG ĐẶT VÉ THAM GIA SỰ KIỆN TRỰC TUYẾN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701"/>
        <w:gridCol w:w="4701"/>
      </w:tblGrid>
      <w:tr>
        <w:tc>
          <w:tcPr>
            <w:tcW w:type="dxa" w:w="2880"/>
            <w:shd w:fill="1E3A8A"/>
            <w:tcMar>
              <w:top w:w="140" w:type="dxa"/>
              <w:bottom w:w="140" w:type="dxa"/>
              <w:left w:w="160" w:type="dxa"/>
              <w:right w:w="160" w:type="dxa"/>
            </w:tcMar>
          </w:tcPr>
          <w:p>
            <w:pPr>
              <w:jc w:val="center"/>
            </w:pPr>
            <w:r>
              <w:rPr>
                <w:rFonts w:ascii="Times New Roman" w:hAnsi="Times New Roman"/>
                <w:b/>
                <w:color w:val="FFFFFF"/>
                <w:sz w:val="21"/>
              </w:rPr>
              <w:t>Thông tin</w:t>
            </w:r>
          </w:p>
        </w:tc>
        <w:tc>
          <w:tcPr>
            <w:tcW w:type="dxa" w:w="6048"/>
            <w:shd w:fill="1E3A8A"/>
            <w:tcMar>
              <w:top w:w="140" w:type="dxa"/>
              <w:bottom w:w="140" w:type="dxa"/>
              <w:left w:w="160" w:type="dxa"/>
              <w:right w:w="160" w:type="dxa"/>
            </w:tcMar>
          </w:tcPr>
          <w:p>
            <w:pPr>
              <w:jc w:val="center"/>
            </w:pPr>
            <w:r>
              <w:rPr>
                <w:rFonts w:ascii="Times New Roman" w:hAnsi="Times New Roman"/>
                <w:b/>
                <w:color w:val="FFFFFF"/>
                <w:sz w:val="21"/>
              </w:rPr>
              <w:t>Chi tiết</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Lớp học phần</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Mã số nhóm</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Nhóm 01 (Sinh viên có thể thay số nhóm tương ứng)</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Giảng viên giảng dạy</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TS. Nguyễn Đức Hiển</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Email tiếp nhận bài</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ndhien@hotmail.com</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Tên file nộp bài</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 Nhóm 01.docx</w:t>
            </w:r>
          </w:p>
        </w:tc>
      </w:tr>
    </w:tbl>
    <w:p>
      <w:pPr>
        <w:spacing w:before="0" w:after="120"/>
      </w:pPr>
    </w:p>
    <w:p>
      <w:pPr>
        <w:keepNext/>
        <w:spacing w:before="320" w:after="120"/>
      </w:pPr>
      <w:r>
        <w:rPr>
          <w:rFonts w:ascii="Times New Roman" w:hAnsi="Times New Roman"/>
          <w:b/>
          <w:color w:val="1E3A8A"/>
          <w:sz w:val="28"/>
        </w:rPr>
        <w:t>1. MÃ SỐ NHÓM, TÊN ĐỀ TÀI, HỌ TÊN CÁC THÀNH VIÊN – CHỨC NĂNG</w:t>
      </w:r>
    </w:p>
    <w:p>
      <w:pPr>
        <w:spacing w:before="0" w:after="100" w:line="300" w:lineRule="auto"/>
      </w:pPr>
      <w:r>
        <w:rPr>
          <w:rFonts w:ascii="Times New Roman" w:hAnsi="Times New Roman"/>
          <w:b/>
          <w:color w:val="0F172A"/>
          <w:sz w:val="23"/>
        </w:rPr>
        <w:t xml:space="preserve">Tên đề tài: </w:t>
      </w:r>
      <w:r>
        <w:rPr>
          <w:rFonts w:ascii="Times New Roman" w:hAnsi="Times New Roman"/>
          <w:color w:val="1E293B"/>
          <w:sz w:val="23"/>
        </w:rPr>
        <w:t>Xây dựng Hệ thống đặt vé tham gia sự kiện trực tuyến (Online Event Ticket Booking System)</w:t>
      </w:r>
    </w:p>
    <w:p>
      <w:pPr>
        <w:spacing w:before="0" w:after="100" w:line="300" w:lineRule="auto"/>
      </w:pPr>
      <w:r>
        <w:rPr>
          <w:rFonts w:ascii="Times New Roman" w:hAnsi="Times New Roman"/>
          <w:b/>
          <w:color w:val="0F172A"/>
          <w:sz w:val="23"/>
        </w:rPr>
        <w:t xml:space="preserve">Mã số nhóm: </w:t>
      </w:r>
      <w:r>
        <w:rPr>
          <w:rFonts w:ascii="Times New Roman" w:hAnsi="Times New Roman"/>
          <w:color w:val="1E293B"/>
          <w:sz w:val="23"/>
        </w:rPr>
        <w:t>Nhóm 01 - Lớp tín chỉ: N12</w:t>
      </w:r>
    </w:p>
    <w:p>
      <w:pPr>
        <w:spacing w:before="0" w:after="100" w:line="300" w:lineRule="auto"/>
      </w:pPr>
      <w:r>
        <w:rPr>
          <w:rFonts w:ascii="Times New Roman" w:hAnsi="Times New Roman"/>
          <w:b/>
          <w:color w:val="0F172A"/>
          <w:sz w:val="23"/>
        </w:rPr>
        <w:t xml:space="preserve">Mô tả tổng quan: </w:t>
      </w:r>
      <w:r>
        <w:rPr>
          <w:rFonts w:ascii="Times New Roman" w:hAnsi="Times New Roman"/>
          <w:color w:val="1E293B"/>
          <w:sz w:val="23"/>
        </w:rPr>
        <w:t>Hệ thống phục vụ toàn diện nhu cầu bán vé các sự kiện âm nhạc (Concert), thể thao, hội thảo và biểu diễn nghệ thuật. Hệ thống giải quyết bài toán tải lớn khi mở bán thông qua phòng chờ ảo (Virtual Waiting Queue), sơ đồ ghế trực quan theo thời gian thực (Interactive Real-time Seat Map), khóa giữ ghế tạm thời, thanh toán đa kênh và cấp phát vé điện tử QR Code chống gian lận.</w:t>
      </w:r>
    </w:p>
    <w:p>
      <w:pPr>
        <w:spacing w:before="0" w:after="100" w:line="300" w:lineRule="auto"/>
      </w:pPr>
      <w:r>
        <w:rPr>
          <w:rFonts w:ascii="Times New Roman" w:hAnsi="Times New Roman"/>
          <w:color w:val="1E293B"/>
          <w:sz w:val="23"/>
        </w:rPr>
        <w:t>Dưới đây là bảng phân công nhiệm vụ và trách nhiệm cụ thể của từng thành viên tương ứng với 5 phân hệ (module) chính của bài tập môn học:</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881"/>
        <w:gridCol w:w="1881"/>
        <w:gridCol w:w="1881"/>
        <w:gridCol w:w="1881"/>
        <w:gridCol w:w="1881"/>
      </w:tblGrid>
      <w:tr>
        <w:tc>
          <w:tcPr>
            <w:tcW w:type="dxa" w:w="720"/>
            <w:shd w:fill="1E3A8A"/>
            <w:tcMar>
              <w:top w:w="140" w:type="dxa"/>
              <w:bottom w:w="140" w:type="dxa"/>
              <w:left w:w="160" w:type="dxa"/>
              <w:right w:w="160" w:type="dxa"/>
            </w:tcMar>
          </w:tcPr>
          <w:p>
            <w:pPr>
              <w:jc w:val="center"/>
            </w:pPr>
            <w:r>
              <w:rPr>
                <w:rFonts w:ascii="Times New Roman" w:hAnsi="Times New Roman"/>
                <w:b/>
                <w:color w:val="FFFFFF"/>
                <w:sz w:val="21"/>
              </w:rPr>
              <w:t>STT</w:t>
            </w:r>
          </w:p>
        </w:tc>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Họ và tên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Mã sinh viên</w:t>
            </w:r>
          </w:p>
        </w:tc>
        <w:tc>
          <w:tcPr>
            <w:tcW w:type="dxa" w:w="1440"/>
            <w:shd w:fill="1E3A8A"/>
            <w:tcMar>
              <w:top w:w="140" w:type="dxa"/>
              <w:bottom w:w="140" w:type="dxa"/>
              <w:left w:w="160" w:type="dxa"/>
              <w:right w:w="160" w:type="dxa"/>
            </w:tcMar>
          </w:tcPr>
          <w:p>
            <w:pPr>
              <w:jc w:val="center"/>
            </w:pPr>
            <w:r>
              <w:rPr>
                <w:rFonts w:ascii="Times New Roman" w:hAnsi="Times New Roman"/>
                <w:b/>
                <w:color w:val="FFFFFF"/>
                <w:sz w:val="21"/>
              </w:rPr>
              <w:t>Vai trò</w:t>
            </w:r>
          </w:p>
        </w:tc>
        <w:tc>
          <w:tcPr>
            <w:tcW w:type="dxa" w:w="3744"/>
            <w:shd w:fill="1E3A8A"/>
            <w:tcMar>
              <w:top w:w="140" w:type="dxa"/>
              <w:bottom w:w="140" w:type="dxa"/>
              <w:left w:w="160" w:type="dxa"/>
              <w:right w:w="160" w:type="dxa"/>
            </w:tcMar>
          </w:tcPr>
          <w:p>
            <w:pPr>
              <w:jc w:val="center"/>
            </w:pPr>
            <w:r>
              <w:rPr>
                <w:rFonts w:ascii="Times New Roman" w:hAnsi="Times New Roman"/>
                <w:b/>
                <w:color w:val="FFFFFF"/>
                <w:sz w:val="21"/>
              </w:rPr>
              <w:t>Chức năng / Module phụ trách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Nguyễn Văn A</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B21DCCN001</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Nhóm trưởng</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1: Quản lý tài khoản người dùng</w:t>
              <w:br/>
              <w:t>- Đăng ký, đăng nhập tài khoản, bảo mật phân quyền</w:t>
              <w:br/>
              <w:t>- Đổi mật khẩu, khôi phục mật khẩu quên qua Email OTP</w:t>
              <w:br/>
              <w:t>- Chỉnh sửa hồ sơ cá nhân, cài đặt thông báo</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Trần Thị B</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B21DCCN002</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2: Tìm kiếm &amp; Xem sự kiện</w:t>
              <w:br/>
              <w:t>- Trang chủ hiển thị sự kiện nổi bật, thịnh hành</w:t>
              <w:br/>
              <w:t>- Tìm kiếm, lọc sự kiện đa tiêu chí (ngày, địa điểm, thể loại)</w:t>
              <w:br/>
              <w:t>- Chi tiết sự kiện, dàn nghệ sĩ biểu diễn, lưu yêu thích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Lê Văn C</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B21DCCN003</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3: Xếp hàng và chọn chỗ</w:t>
              <w:br/>
              <w:t>- Hàng đợi ảo thông minh (Virtual Queue) khi lưu lượng cao</w:t>
              <w:br/>
              <w:t>- Hiển thị sơ đồ ghế sân khấu thời gian thực (Real-time Seat Map)</w:t>
              <w:br/>
              <w:t>- Chọn vị trí ghế, khóa ghế tạm thời (Hold Timer 10-15 phút)</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Phạm Thị D</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B21DCCN004</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4: Tính tiền và Xuất vé</w:t>
              <w:br/>
              <w:t>- Tạo đơn hàng mua vé, áp dụng mã voucher khuyến mãi</w:t>
              <w:br/>
              <w:t>- Tích hợp cổng thanh toán trực tuyến (VNPAY, Ví MoMo, Thẻ ATM/Visa)</w:t>
              <w:br/>
              <w:t>- Tạo vé điện tử mã QR Code động, gửi vé qua Email</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Hoàng Văn 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B21DCCN005</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Chức năng 5: Xem thống kê doanh thu sự kiện</w:t>
              <w:br/>
              <w:t>- Tiếp nhận yêu cầu tra cứu từ Ban tổ chức</w:t>
              <w:br/>
              <w:t>- Tính toán các chỉ số KPIs (Gross/Net Revenue, Occupancy Rate)</w:t>
              <w:br/>
              <w:t>- Phân tích tỷ trọng đóng góp doanh thu theo từng phân khu khán đài</w:t>
              <w:br/>
              <w:t>- Kết xuất báo cáo thống kê trực quan (dashboard &amp; file)</w:t>
            </w:r>
          </w:p>
        </w:tc>
      </w:tr>
    </w:tbl>
    <w:p>
      <w:pPr>
        <w:spacing w:before="0" w:after="120"/>
      </w:pPr>
    </w:p>
    <w:p>
      <w:pPr>
        <w:keepNext/>
        <w:spacing w:before="320" w:after="120"/>
      </w:pPr>
      <w:r>
        <w:rPr>
          <w:rFonts w:ascii="Times New Roman" w:hAnsi="Times New Roman"/>
          <w:b/>
          <w:color w:val="1E3A8A"/>
          <w:sz w:val="28"/>
        </w:rPr>
        <w:t>2. BIỂU ĐỒ USE CASE CHO HỆ THỐNG VÀ CHO CÁC CHỨC NĂNG</w:t>
      </w:r>
    </w:p>
    <w:p>
      <w:pPr>
        <w:keepNext/>
        <w:spacing w:before="240" w:after="80"/>
      </w:pPr>
      <w:r>
        <w:rPr>
          <w:rFonts w:ascii="Times New Roman" w:hAnsi="Times New Roman"/>
          <w:b/>
          <w:color w:val="1D4ED8"/>
          <w:sz w:val="25"/>
        </w:rPr>
        <w:t>2.1. Biểu đồ Use Case tổng thể toàn hệ thống</w:t>
      </w:r>
    </w:p>
    <w:p>
      <w:pPr>
        <w:spacing w:before="0" w:after="100" w:line="300" w:lineRule="auto"/>
      </w:pPr>
      <w:r>
        <w:rPr>
          <w:rFonts w:ascii="Times New Roman" w:hAnsi="Times New Roman"/>
          <w:color w:val="1E293B"/>
          <w:sz w:val="23"/>
        </w:rPr>
        <w:t>Biểu đồ Use Case tổng quát mô tả toàn bộ ranh giới của Hệ thống đặt vé tham gia sự kiện trực tuyến, bao gồm các tác nhân (Actors) chính và các nhóm chức năng tương ứng:</w:t>
      </w:r>
    </w:p>
    <w:p>
      <w:pPr>
        <w:pStyle w:val="ListBullet"/>
        <w:spacing w:before="0" w:after="60" w:line="288" w:lineRule="auto"/>
      </w:pPr>
      <w:r>
        <w:rPr>
          <w:rFonts w:ascii="Times New Roman" w:hAnsi="Times New Roman"/>
          <w:b/>
          <w:color w:val="0F172A"/>
          <w:sz w:val="22"/>
        </w:rPr>
        <w:t xml:space="preserve">Khách hàng (Customer): </w:t>
      </w:r>
      <w:r>
        <w:rPr>
          <w:rFonts w:ascii="Times New Roman" w:hAnsi="Times New Roman"/>
          <w:color w:val="1E293B"/>
          <w:sz w:val="22"/>
        </w:rPr>
        <w:t>Người dùng tìm kiếm, chọn ghế, thanh toán vé và quản lý vé cá nhân.</w:t>
      </w:r>
    </w:p>
    <w:p>
      <w:pPr>
        <w:pStyle w:val="ListBullet"/>
        <w:spacing w:before="0" w:after="60" w:line="288" w:lineRule="auto"/>
      </w:pPr>
      <w:r>
        <w:rPr>
          <w:rFonts w:ascii="Times New Roman" w:hAnsi="Times New Roman"/>
          <w:b/>
          <w:color w:val="0F172A"/>
          <w:sz w:val="22"/>
        </w:rPr>
        <w:t xml:space="preserve">Ban tổ chức (Organizer): </w:t>
      </w:r>
      <w:r>
        <w:rPr>
          <w:rFonts w:ascii="Times New Roman" w:hAnsi="Times New Roman"/>
          <w:color w:val="1E293B"/>
          <w:sz w:val="22"/>
        </w:rPr>
        <w:t>Đơn vị tổ chức thiết kế sơ đồ ghế, đăng sự kiện, cấu hình giá vé và theo dõi doanh thu.</w:t>
      </w:r>
    </w:p>
    <w:p>
      <w:pPr>
        <w:pStyle w:val="ListBullet"/>
        <w:spacing w:before="0" w:after="60" w:line="288" w:lineRule="auto"/>
      </w:pPr>
      <w:r>
        <w:rPr>
          <w:rFonts w:ascii="Times New Roman" w:hAnsi="Times New Roman"/>
          <w:b/>
          <w:color w:val="0F172A"/>
          <w:sz w:val="22"/>
        </w:rPr>
        <w:t xml:space="preserve">Quản trị viên (Administrator): </w:t>
      </w:r>
      <w:r>
        <w:rPr>
          <w:rFonts w:ascii="Times New Roman" w:hAnsi="Times New Roman"/>
          <w:color w:val="1E293B"/>
          <w:sz w:val="22"/>
        </w:rPr>
        <w:t>Kiểm duyệt sự kiện, quản lý tài khoản người dùng và giám sát hệ thống.</w:t>
      </w:r>
    </w:p>
    <w:p>
      <w:pPr>
        <w:pStyle w:val="ListBullet"/>
        <w:spacing w:before="0" w:after="60" w:line="288" w:lineRule="auto"/>
      </w:pPr>
      <w:r>
        <w:rPr>
          <w:rFonts w:ascii="Times New Roman" w:hAnsi="Times New Roman"/>
          <w:b/>
          <w:color w:val="0F172A"/>
          <w:sz w:val="22"/>
        </w:rPr>
        <w:t xml:space="preserve">Cổng thanh toán (Payment Gateway - External): </w:t>
      </w:r>
      <w:r>
        <w:rPr>
          <w:rFonts w:ascii="Times New Roman" w:hAnsi="Times New Roman"/>
          <w:color w:val="1E293B"/>
          <w:sz w:val="22"/>
        </w:rPr>
        <w:t>Hệ thống thanh toán trực tuyến xử lý giao dịch tiền tệ (VNPAY, MoMo, Visa/Mastercard).</w:t>
      </w:r>
    </w:p>
    <w:p>
      <w:pPr>
        <w:pStyle w:val="ListBullet"/>
        <w:spacing w:before="0" w:after="60" w:line="288" w:lineRule="auto"/>
      </w:pPr>
      <w:r>
        <w:rPr>
          <w:rFonts w:ascii="Times New Roman" w:hAnsi="Times New Roman"/>
          <w:b/>
          <w:color w:val="0F172A"/>
          <w:sz w:val="22"/>
        </w:rPr>
        <w:t xml:space="preserve">Dịch vụ Email / SMS (Notification Service - External): </w:t>
      </w:r>
      <w:r>
        <w:rPr>
          <w:rFonts w:ascii="Times New Roman" w:hAnsi="Times New Roman"/>
          <w:color w:val="1E293B"/>
          <w:sz w:val="22"/>
        </w:rPr>
        <w:t>Dịch vụ bên ngoài gửi mã xác thực OTP, email hóa đơn và vé điện tử đính kèm QR Code.</w:t>
      </w:r>
    </w:p>
    <w:p>
      <w:pPr>
        <w:keepNext/>
        <w:spacing w:before="160" w:after="40"/>
        <w:jc w:val="center"/>
      </w:pPr>
      <w:r>
        <w:drawing>
          <wp:inline xmlns:a="http://schemas.openxmlformats.org/drawingml/2006/main" xmlns:pic="http://schemas.openxmlformats.org/drawingml/2006/picture">
            <wp:extent cx="5669280" cy="4001207"/>
            <wp:docPr id="1" name="Picture 1"/>
            <wp:cNvGraphicFramePr>
              <a:graphicFrameLocks noChangeAspect="1"/>
            </wp:cNvGraphicFramePr>
            <a:graphic>
              <a:graphicData uri="http://schemas.openxmlformats.org/drawingml/2006/picture">
                <pic:pic>
                  <pic:nvPicPr>
                    <pic:cNvPr id="0" name="uc_tong_the.png"/>
                    <pic:cNvPicPr/>
                  </pic:nvPicPr>
                  <pic:blipFill>
                    <a:blip r:embed="rId9"/>
                    <a:stretch>
                      <a:fillRect/>
                    </a:stretch>
                  </pic:blipFill>
                  <pic:spPr>
                    <a:xfrm>
                      <a:off x="0" y="0"/>
                      <a:ext cx="5669280" cy="4001207"/>
                    </a:xfrm>
                    <a:prstGeom prst="rect"/>
                  </pic:spPr>
                </pic:pic>
              </a:graphicData>
            </a:graphic>
          </wp:inline>
        </w:drawing>
      </w:r>
    </w:p>
    <w:p>
      <w:pPr>
        <w:spacing w:before="40" w:after="200"/>
        <w:jc w:val="center"/>
      </w:pPr>
      <w:r>
        <w:rPr>
          <w:rFonts w:ascii="Times New Roman" w:hAnsi="Times New Roman"/>
          <w:b/>
          <w:i/>
          <w:color w:val="475569"/>
          <w:sz w:val="20"/>
        </w:rPr>
        <w:t>Hình 2.1: Biểu đồ Use Case tổng thể Hệ thống Đặt vé tham gia sự kiện</w:t>
      </w:r>
    </w:p>
    <w:p>
      <w:pPr>
        <w:keepNext/>
        <w:spacing w:before="240" w:after="80"/>
      </w:pPr>
      <w:r>
        <w:rPr>
          <w:rFonts w:ascii="Times New Roman" w:hAnsi="Times New Roman"/>
          <w:b/>
          <w:color w:val="1D4ED8"/>
          <w:sz w:val="25"/>
        </w:rPr>
        <w:t>2.2. Biểu đồ Use Case Phân hệ 1: Quản lý tài khoản người dùng</w:t>
      </w:r>
    </w:p>
    <w:p>
      <w:pPr>
        <w:spacing w:before="0" w:after="100" w:line="300" w:lineRule="auto"/>
      </w:pPr>
      <w:r>
        <w:rPr>
          <w:rFonts w:ascii="Times New Roman" w:hAnsi="Times New Roman"/>
          <w:color w:val="1E293B"/>
          <w:sz w:val="23"/>
        </w:rPr>
        <w:t>Phân hệ đảm nhiệm việc xác thực và định danh người dùng trong toàn hệ thống. Hỗ trợ đầy đủ các nghiệp vụ đăng ký, đăng nhập an toàn, cơ chế khôi phục mật khẩu qua mã xác nhận OTP/Token, cập nhật hồ sơ và tùy chỉnh nhận thông báo.</w:t>
      </w:r>
    </w:p>
    <w:p>
      <w:pPr>
        <w:keepNext/>
        <w:spacing w:before="160" w:after="40"/>
        <w:jc w:val="center"/>
      </w:pPr>
      <w:r>
        <w:drawing>
          <wp:inline xmlns:a="http://schemas.openxmlformats.org/drawingml/2006/main" xmlns:pic="http://schemas.openxmlformats.org/drawingml/2006/picture">
            <wp:extent cx="5669280" cy="3950527"/>
            <wp:docPr id="2" name="Picture 2"/>
            <wp:cNvGraphicFramePr>
              <a:graphicFrameLocks noChangeAspect="1"/>
            </wp:cNvGraphicFramePr>
            <a:graphic>
              <a:graphicData uri="http://schemas.openxmlformats.org/drawingml/2006/picture">
                <pic:pic>
                  <pic:nvPicPr>
                    <pic:cNvPr id="0" name="uc_module1.png"/>
                    <pic:cNvPicPr/>
                  </pic:nvPicPr>
                  <pic:blipFill>
                    <a:blip r:embed="rId10"/>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2.2: Biểu đồ Use Case Phân hệ 1 - Quản lý tài khoản người dùng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Đăng ký tài khoản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điền thông tin (họ tên, email, mật khẩu, SĐT) để tạo tài khoản mới.</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&lt;&lt;include&gt;&gt; Gửi mã OTP xác nhận email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Đăng nhập</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Người dùng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Xác thực bằng Email/Username và Mật khẩu. Hỗ trợ ghi nhớ phiên đăng nhập qua JWT.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&lt;&lt;extend&gt;&gt; Khóa tài khoản tạm thời khi nhập sai quá 5 lần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Đổi mật khẩu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cung cấp mật khẩu cũ và nhập mật khẩu mới hợp lệ để cập nhật.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Quên / Lấy lại MK</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email đã đăng ký để nhận mã OTP hoặc đường dẫn thiết lập lại mật khẩu mới.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Gửi link reset mật khẩu qua email</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Chỉnh sửa thông tin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Cập nhật thông tin cá nhân: họ tên, ảnh đại diện, số điện thoại liên hệ.</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Cài đặt thông báo</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Bật/tắt các loại thông báo sự kiện, ưu đãi mở bán vé qua Email hoặc Web Push.</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2.3. Biểu đồ Use Case Phân hệ 2: Tìm kiếm &amp; Xem sự kiện</w:t>
      </w:r>
    </w:p>
    <w:p>
      <w:pPr>
        <w:spacing w:before="0" w:after="100" w:line="300" w:lineRule="auto"/>
      </w:pPr>
      <w:r>
        <w:rPr>
          <w:rFonts w:ascii="Times New Roman" w:hAnsi="Times New Roman"/>
          <w:color w:val="1E293B"/>
          <w:sz w:val="23"/>
        </w:rPr>
        <w:t>Phân hệ giúp người dùng khám phá và tìm kiếm sự kiện một cách nhanh chóng, trực quan. Người dùng có thể tìm kiếm theo từ khóa, lọc đa tiêu chí (ngày diễn, địa điểm, thể loại nhạc/kịch/thể thao, mức giá), xem chi tiết thông tin sự kiện cùng dàn nghệ sĩ tham gia, và lưu vào danh sách yêu thích.</w:t>
      </w:r>
    </w:p>
    <w:p>
      <w:pPr>
        <w:keepNext/>
        <w:spacing w:before="160" w:after="40"/>
        <w:jc w:val="center"/>
      </w:pPr>
      <w:r>
        <w:drawing>
          <wp:inline xmlns:a="http://schemas.openxmlformats.org/drawingml/2006/main" xmlns:pic="http://schemas.openxmlformats.org/drawingml/2006/picture">
            <wp:extent cx="5669280" cy="3950527"/>
            <wp:docPr id="3" name="Picture 3"/>
            <wp:cNvGraphicFramePr>
              <a:graphicFrameLocks noChangeAspect="1"/>
            </wp:cNvGraphicFramePr>
            <a:graphic>
              <a:graphicData uri="http://schemas.openxmlformats.org/drawingml/2006/picture">
                <pic:pic>
                  <pic:nvPicPr>
                    <pic:cNvPr id="0" name="uc_module2.png"/>
                    <pic:cNvPicPr/>
                  </pic:nvPicPr>
                  <pic:blipFill>
                    <a:blip r:embed="rId11"/>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2.3: Biểu đồ Use Case Phân hệ 2 -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sự kiện nổi bật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Hiển thị banner các sự kiện 'Hot', sự kiện sắp mở bán vé hoặc đang bán chạy.</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Tìm kiếm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Tìm kiếm sự kiện theo tên sự kiện, tên ca sĩ, ban nhạc hoặc địa điểm biểu diễn.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Lọc sự kiện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Lọc theo nhiều tiêu chí kết hợp: Khoảng thời gian, Khu vực (Hà Nội, TP.HCM...), Thể loại, Mức giá.</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Xem chi tiết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Xem mô tả chi tiết, lịch diễn, danh sách nghệ sĩ, sơ đồ sân khấu và bảng giá vé.</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Lưu sự kiện yêu thích</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Thêm sự kiện vào Wishlist để theo dõi trạng thái và nhận thông báo khi mở bán.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Nhận thông báo khi mở bán vé</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Chia sẻ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Tạo liên kết chia sẻ sự kiện lên các nền tảng mạng xã hội (Facebook, Zalo, X).</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2.4. Biểu đồ Use Case Phân hệ 3: Xếp hàng và chọn chỗ</w:t>
      </w:r>
    </w:p>
    <w:p>
      <w:pPr>
        <w:spacing w:before="0" w:after="100" w:line="300" w:lineRule="auto"/>
      </w:pPr>
      <w:r>
        <w:rPr>
          <w:rFonts w:ascii="Times New Roman" w:hAnsi="Times New Roman"/>
          <w:color w:val="1E293B"/>
          <w:sz w:val="23"/>
        </w:rPr>
        <w:t>Phân hệ trọng yếu đảm bảo hệ thống không bị sập (crash) khi có hàng chục nghìn lượt truy cập đồng thời vào giờ mở bán vé. Cơ chế phòng chờ ảo (Virtual Waiting Room) cấp số thứ tự công bằng, khi tới lượt người mua được chuyển vào màn hình chọn ghế trực quan với đồng hồ đếm ngược giữ ghế tạm thời (10-15 phút).</w:t>
      </w:r>
    </w:p>
    <w:p>
      <w:pPr>
        <w:keepNext/>
        <w:spacing w:before="160" w:after="40"/>
        <w:jc w:val="center"/>
      </w:pPr>
      <w:r>
        <w:drawing>
          <wp:inline xmlns:a="http://schemas.openxmlformats.org/drawingml/2006/main" xmlns:pic="http://schemas.openxmlformats.org/drawingml/2006/picture">
            <wp:extent cx="5669280" cy="3950527"/>
            <wp:docPr id="4" name="Picture 4"/>
            <wp:cNvGraphicFramePr>
              <a:graphicFrameLocks noChangeAspect="1"/>
            </wp:cNvGraphicFramePr>
            <a:graphic>
              <a:graphicData uri="http://schemas.openxmlformats.org/drawingml/2006/picture">
                <pic:pic>
                  <pic:nvPicPr>
                    <pic:cNvPr id="0" name="uc_module3.png"/>
                    <pic:cNvPicPr/>
                  </pic:nvPicPr>
                  <pic:blipFill>
                    <a:blip r:embed="rId12"/>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2.4: Biểu đồ Use Case Phân hệ 3 -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Vào hàng đợi ảo</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Queue System</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Khi sự kiện có tải vượt ngưỡng, hệ thống đưa người mua vào hàng đợi với số thứ tự duy nhất.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Theo dõi tiến trình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Hiển thị số người phía trước và thời gian ước tính; tự động cấp Access Token khi tới lượt.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sơ đồ sân khấu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Tải bản đồ ghế trực quan với màu sắc thể hiện trạng thái: Trống, Đang giữ, Đã bán theo thời gian thực.</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Chọn vị trí ghế ngồi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nhấn chọn ghế trên sơ đồ (theo khu vực: VIP, Standard, Fan Zone...).</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Giữ ghế tạm thời</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Timer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Khóa các ghế đã chọn trong 10-15 phút, hiển thị đồng hồ đếm ngược để người dùng thanh toán.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Giải phóng ghế khi hết hạn giữ chỗ</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Hủy chọn / Thoát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chủ động hủy các ghế đang giữ hoặc thoát khỏi hàng đợi.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2.5. Biểu đồ Use Case Phân hệ 4: Tính tiền và Xuất vé</w:t>
      </w:r>
    </w:p>
    <w:p>
      <w:pPr>
        <w:spacing w:before="0" w:after="100" w:line="300" w:lineRule="auto"/>
      </w:pPr>
      <w:r>
        <w:rPr>
          <w:rFonts w:ascii="Times New Roman" w:hAnsi="Times New Roman"/>
          <w:color w:val="1E293B"/>
          <w:sz w:val="23"/>
        </w:rPr>
        <w:t>Phân hệ xử lý thanh toán tài chính và cấp phát vé. Sau khi chọn ghế, đơn hàng được khởi tạo, cho phép nhập mã khuyến mãi, chọn cổng thanh toán phù hợp, hoàn tất thanh toán an toàn và sinh mã vé điện tử QR Code động gửi thẳng tới Email khách hàng.</w:t>
      </w:r>
    </w:p>
    <w:p>
      <w:pPr>
        <w:keepNext/>
        <w:spacing w:before="160" w:after="40"/>
        <w:jc w:val="center"/>
      </w:pPr>
      <w:r>
        <w:drawing>
          <wp:inline xmlns:a="http://schemas.openxmlformats.org/drawingml/2006/main" xmlns:pic="http://schemas.openxmlformats.org/drawingml/2006/picture">
            <wp:extent cx="5669280" cy="3869587"/>
            <wp:docPr id="5" name="Picture 5"/>
            <wp:cNvGraphicFramePr>
              <a:graphicFrameLocks noChangeAspect="1"/>
            </wp:cNvGraphicFramePr>
            <a:graphic>
              <a:graphicData uri="http://schemas.openxmlformats.org/drawingml/2006/picture">
                <pic:pic>
                  <pic:nvPicPr>
                    <pic:cNvPr id="0" name="uc_module4.png"/>
                    <pic:cNvPicPr/>
                  </pic:nvPicPr>
                  <pic:blipFill>
                    <a:blip r:embed="rId13"/>
                    <a:stretch>
                      <a:fillRect/>
                    </a:stretch>
                  </pic:blipFill>
                  <pic:spPr>
                    <a:xfrm>
                      <a:off x="0" y="0"/>
                      <a:ext cx="5669280" cy="3869587"/>
                    </a:xfrm>
                    <a:prstGeom prst="rect"/>
                  </pic:spPr>
                </pic:pic>
              </a:graphicData>
            </a:graphic>
          </wp:inline>
        </w:drawing>
      </w:r>
    </w:p>
    <w:p>
      <w:pPr>
        <w:spacing w:before="40" w:after="200"/>
        <w:jc w:val="center"/>
      </w:pPr>
      <w:r>
        <w:rPr>
          <w:rFonts w:ascii="Times New Roman" w:hAnsi="Times New Roman"/>
          <w:b/>
          <w:i/>
          <w:color w:val="475569"/>
          <w:sz w:val="20"/>
        </w:rPr>
        <w:t>Hình 2.5: Biểu đồ Use Case Phân hệ 4 -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Tạo đơn hàng mua vé</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Tổng hợp thông tin các ghế đang giữ, tính tiền tạm tính và tạo mã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Nhập mã giảm giá</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Voucher ưu đãi; hệ thống kiểm tra điều kiện áp dụng và trừ tiền tương ứng.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Kiểm tra hợp lệ mã voucher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Chọn kênh thanh toán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Lựa chọn phương thức: Cổng VNPAY-QR, Ví điện tử MoMo, Thẻ ATM/Visa/MasterCard.</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Thanh toán trực tuyến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Cổng thanh toán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Chuyển hướng cổng thanh toán, xác thực OTP ngân hàng và xử lý giao dịch thành công.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Xác thực OTP &amp; Kết quả giao dịch</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Xuất vé điện tử QR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Hệ thống, Mail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Sinh mã QR Code được mã hóa chữ ký số (chống làm giả) cho từng ghế trong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Lưu vào 'Vé của tôi'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được lưu trữ vĩnh viễn trong tài khoản người dùng để phục vụ soát vé (Check-in).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2.6. Biểu đồ Use Case Chức năng 5: Xem thống kê doanh thu sự kiện</w:t>
      </w:r>
    </w:p>
    <w:p>
      <w:pPr>
        <w:spacing w:before="0" w:after="100" w:line="300" w:lineRule="auto"/>
      </w:pPr>
      <w:r>
        <w:rPr>
          <w:rFonts w:ascii="Times New Roman" w:hAnsi="Times New Roman"/>
          <w:color w:val="1E293B"/>
          <w:sz w:val="23"/>
        </w:rPr>
        <w:t>Trong bài tập môn học, thành viên 5 phụ trách chuyên sâu chức năng nghiệp vụ đơn lẻ 'Xem thống kê doanh thu sự kiện' (View Event Revenue Statistics). Biểu đồ Use Case phân rã chi tiết dưới đây làm rõ các ca sử dụng bao hàm (&lt;&lt;include&gt;&gt;) bắt buộc để thực hiện tính toán tài chính và các ca sử dụng mở rộng (&lt;&lt;extend&gt;&gt;) phục vụ lọc và kết xuất báo cáo:</w:t>
      </w:r>
    </w:p>
    <w:p>
      <w:pPr>
        <w:keepNext/>
        <w:spacing w:before="160" w:after="40"/>
        <w:jc w:val="center"/>
      </w:pPr>
      <w:r>
        <w:drawing>
          <wp:inline xmlns:a="http://schemas.openxmlformats.org/drawingml/2006/main" xmlns:pic="http://schemas.openxmlformats.org/drawingml/2006/picture">
            <wp:extent cx="5669280" cy="4001207"/>
            <wp:docPr id="6" name="Picture 6"/>
            <wp:cNvGraphicFramePr>
              <a:graphicFrameLocks noChangeAspect="1"/>
            </wp:cNvGraphicFramePr>
            <a:graphic>
              <a:graphicData uri="http://schemas.openxmlformats.org/drawingml/2006/picture">
                <pic:pic>
                  <pic:nvPicPr>
                    <pic:cNvPr id="0" name="uc_m5_view_revenue_detail.png"/>
                    <pic:cNvPicPr/>
                  </pic:nvPicPr>
                  <pic:blipFill>
                    <a:blip r:embed="rId14"/>
                    <a:stretch>
                      <a:fillRect/>
                    </a:stretch>
                  </pic:blipFill>
                  <pic:spPr>
                    <a:xfrm>
                      <a:off x="0" y="0"/>
                      <a:ext cx="5669280" cy="4001207"/>
                    </a:xfrm>
                    <a:prstGeom prst="rect"/>
                  </pic:spPr>
                </pic:pic>
              </a:graphicData>
            </a:graphic>
          </wp:inline>
        </w:drawing>
      </w:r>
    </w:p>
    <w:p>
      <w:pPr>
        <w:spacing w:before="40" w:after="200"/>
        <w:jc w:val="center"/>
      </w:pPr>
      <w:r>
        <w:rPr>
          <w:rFonts w:ascii="Times New Roman" w:hAnsi="Times New Roman"/>
          <w:b/>
          <w:i/>
          <w:color w:val="475569"/>
          <w:sz w:val="20"/>
        </w:rPr>
        <w:t>Hình 2.6: Biểu đồ Use Case chi tiết - Chức năng Xem thống kê doanh thu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304"/>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016"/>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Xem thống kê doanh thu sự kiện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Ca sử dụng trung tâm: tiếp nhận yêu cầu, tổng hợp và hiển thị toàn bộ báo cáo doanh thu sự kiện.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Chức năng chính</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Chọn sự kiện cần thống kê</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Chọn sự kiện cụ thể từ danh sách sự kiện do ban tổ chức quản lý để nạp dữ liệu.</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&lt;&lt;include&gt;&gt; Bắt buộc thực hiện trước khi xem</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Tính toán chỉ số KPIs</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Hệ thống (RevenueReport)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Thực hiện chuỗi phương thức tính toán: doanh thu gộp, doanh thu thuần, tỷ lệ lấp đầy, giá vé bình quân.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&lt;&lt;include&gt;&gt; Bắt buộc để có dữ liệu báo cáo</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Lọc theo suất diễn &amp; ngày</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Tùy chọn lọc thu hẹp phạm vi thống kê theo từng suất diễn cụ thể hoặc một khoảng ngày mở bán.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&lt;&lt;extend&gt;&gt; Mở rộng theo nhu cầu</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Xem phân bổ theo phân khu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Xem biểu đồ và bảng phân tích chi tiết tỷ trọng đóng góp doanh thu của từng phân khu (VIP, Regular, Stand).</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&lt;&lt;extend&gt;&gt; Mở rộng phân tích sâu</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Xuất báo cáo (Excel / PDF)</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Kết xuất toàn bộ dữ liệu thống kê ra tệp bảng tính Excel hoặc tài liệu PDF ngoại tuyến.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&lt;&lt;extend&gt;&gt; Mở rộng khi cần lưu tệp</w:t>
            </w:r>
          </w:p>
        </w:tc>
      </w:tr>
    </w:tbl>
    <w:p>
      <w:pPr>
        <w:spacing w:before="0" w:after="120"/>
      </w:pPr>
    </w:p>
    <w:p>
      <w:pPr>
        <w:keepNext/>
        <w:spacing w:before="320" w:after="120"/>
      </w:pPr>
      <w:r>
        <w:rPr>
          <w:rFonts w:ascii="Times New Roman" w:hAnsi="Times New Roman"/>
          <w:b/>
          <w:color w:val="1E3A8A"/>
          <w:sz w:val="28"/>
        </w:rPr>
        <w:t>3. BIỂU ĐỒ LỚP THỰC THỂ PHÂN TÍCH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phân tích (Analysis Entity Class Diagram) là mô hình hướng khái niệm (Conceptual Model), tập trung thể hiện các thực thể thông tin nghiệp vụ cốt lõi của miền bài toán. Theo chuẩn phân tích:</w:t>
      </w:r>
    </w:p>
    <w:p>
      <w:pPr>
        <w:pStyle w:val="ListBullet"/>
        <w:spacing w:before="0" w:after="60" w:line="288" w:lineRule="auto"/>
      </w:pPr>
      <w:r>
        <w:rPr>
          <w:rFonts w:ascii="Times New Roman" w:hAnsi="Times New Roman"/>
          <w:b/>
          <w:color w:val="0F172A"/>
          <w:sz w:val="22"/>
        </w:rPr>
        <w:t xml:space="preserve">Cấu trúc lớp phân tích: </w:t>
      </w:r>
      <w:r>
        <w:rPr>
          <w:rFonts w:ascii="Times New Roman" w:hAnsi="Times New Roman"/>
          <w:color w:val="1E293B"/>
          <w:sz w:val="22"/>
        </w:rPr>
        <w:t>Chỉ bao gồm Tên thực thể và Danh sách thuộc tính nghiệp vụ thuần túy.</w:t>
      </w:r>
    </w:p>
    <w:p>
      <w:pPr>
        <w:pStyle w:val="ListBullet"/>
        <w:spacing w:before="0" w:after="60" w:line="288" w:lineRule="auto"/>
      </w:pPr>
      <w:r>
        <w:rPr>
          <w:rFonts w:ascii="Times New Roman" w:hAnsi="Times New Roman"/>
          <w:b/>
          <w:color w:val="0F172A"/>
          <w:sz w:val="22"/>
        </w:rPr>
        <w:t xml:space="preserve">Độc lập công nghệ: </w:t>
      </w:r>
      <w:r>
        <w:rPr>
          <w:rFonts w:ascii="Times New Roman" w:hAnsi="Times New Roman"/>
          <w:color w:val="1E293B"/>
          <w:sz w:val="22"/>
        </w:rPr>
        <w:t>Không chứa các chi tiết kỹ thuật lập trình như kiểu dữ liệu cụ thể (int, varchar2...), không chứa các phương thức get/set kỹ thuật.</w:t>
      </w:r>
    </w:p>
    <w:p>
      <w:pPr>
        <w:pStyle w:val="ListBullet"/>
        <w:spacing w:before="0" w:after="60" w:line="288" w:lineRule="auto"/>
      </w:pPr>
      <w:r>
        <w:rPr>
          <w:rFonts w:ascii="Times New Roman" w:hAnsi="Times New Roman"/>
          <w:b/>
          <w:color w:val="0F172A"/>
          <w:sz w:val="22"/>
        </w:rPr>
        <w:t xml:space="preserve">Mối quan hệ: </w:t>
      </w:r>
      <w:r>
        <w:rPr>
          <w:rFonts w:ascii="Times New Roman" w:hAnsi="Times New Roman"/>
          <w:color w:val="1E293B"/>
          <w:sz w:val="22"/>
        </w:rPr>
        <w:t>Tập trung thể hiện mối quan hệ ngữ nghĩa: Kế thừa (Generalization), Kết hợp (Association), Kết tập/Bao hàm (Composition/Aggregation) kèm bản số (Multiplicity: 1, 1..*, 0..1, *).</w:t>
      </w:r>
    </w:p>
    <w:p>
      <w:pPr>
        <w:keepNext/>
        <w:spacing w:before="240" w:after="80"/>
      </w:pPr>
      <w:r>
        <w:rPr>
          <w:rFonts w:ascii="Times New Roman" w:hAnsi="Times New Roman"/>
          <w:b/>
          <w:color w:val="1D4ED8"/>
          <w:sz w:val="25"/>
        </w:rPr>
        <w:t>3.1. Biểu đồ lớp thực thể phân tích tổng thể hệ thống</w:t>
      </w:r>
    </w:p>
    <w:p>
      <w:pPr>
        <w:spacing w:before="0" w:after="100" w:line="300" w:lineRule="auto"/>
      </w:pPr>
      <w:r>
        <w:rPr>
          <w:rFonts w:ascii="Times New Roman" w:hAnsi="Times New Roman"/>
          <w:color w:val="1E293B"/>
          <w:sz w:val="23"/>
        </w:rPr>
        <w:t>Biểu đồ bao quát toàn bộ các thực thể phân tích nòng cốt của hệ thống (được đồng bộ chuẩn hóa tên tiếng Anh theo mô hình thiết kế) và các mối liên kết nghiệp vụ giữa chúng:</w:t>
      </w:r>
    </w:p>
    <w:p>
      <w:pPr>
        <w:keepNext/>
        <w:spacing w:before="160" w:after="40"/>
        <w:jc w:val="center"/>
      </w:pPr>
      <w:r>
        <w:drawing>
          <wp:inline xmlns:a="http://schemas.openxmlformats.org/drawingml/2006/main" xmlns:pic="http://schemas.openxmlformats.org/drawingml/2006/picture">
            <wp:extent cx="5669280" cy="4130561"/>
            <wp:docPr id="7" name="Picture 7"/>
            <wp:cNvGraphicFramePr>
              <a:graphicFrameLocks noChangeAspect="1"/>
            </wp:cNvGraphicFramePr>
            <a:graphic>
              <a:graphicData uri="http://schemas.openxmlformats.org/drawingml/2006/picture">
                <pic:pic>
                  <pic:nvPicPr>
                    <pic:cNvPr id="0" name="analysis_tong_the.png"/>
                    <pic:cNvPicPr/>
                  </pic:nvPicPr>
                  <pic:blipFill>
                    <a:blip r:embed="rId15"/>
                    <a:stretch>
                      <a:fillRect/>
                    </a:stretch>
                  </pic:blipFill>
                  <pic:spPr>
                    <a:xfrm>
                      <a:off x="0" y="0"/>
                      <a:ext cx="5669280" cy="4130561"/>
                    </a:xfrm>
                    <a:prstGeom prst="rect"/>
                  </pic:spPr>
                </pic:pic>
              </a:graphicData>
            </a:graphic>
          </wp:inline>
        </w:drawing>
      </w:r>
    </w:p>
    <w:p>
      <w:pPr>
        <w:spacing w:before="40" w:after="200"/>
        <w:jc w:val="center"/>
      </w:pPr>
      <w:r>
        <w:rPr>
          <w:rFonts w:ascii="Times New Roman" w:hAnsi="Times New Roman"/>
          <w:b/>
          <w:i/>
          <w:color w:val="475569"/>
          <w:sz w:val="20"/>
        </w:rPr>
        <w:t>Hình 3.1: Biểu đồ lớp thực thể phân tích tổng thể toàn hệ thống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Tên lớp thực thể (Class)</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Ý nghĩa nghiệp vụ</w:t>
            </w:r>
          </w:p>
        </w:tc>
        <w:tc>
          <w:tcPr>
            <w:tcW w:type="dxa" w:w="3888"/>
            <w:shd w:fill="1E3A8A"/>
            <w:tcMar>
              <w:top w:w="140" w:type="dxa"/>
              <w:bottom w:w="140" w:type="dxa"/>
              <w:left w:w="160" w:type="dxa"/>
              <w:right w:w="160" w:type="dxa"/>
            </w:tcMar>
          </w:tcPr>
          <w:p>
            <w:pPr>
              <w:jc w:val="center"/>
            </w:pPr>
            <w:r>
              <w:rPr>
                <w:rFonts w:ascii="Times New Roman" w:hAnsi="Times New Roman"/>
                <w:b/>
                <w:color w:val="FFFFFF"/>
                <w:sz w:val="21"/>
              </w:rPr>
              <w:t>Các thuộc tính phân tích (Attributes)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Thông tin tài khoản chung trong hệ thống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userId, username, password, fullName, email, phoneNumber, role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Kế thừa User, đại diện người mua vé</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rewardPoints, memberTier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Kế thừa User, đơn vị tổ chức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companyName, taxId, businessLicense, contactInfo</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Nơi diễn ra sự kiện (sân vận động, nhà hát)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venueId, venueName, address, capacity</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thiết kế phân bổ chỗ ngồi của địa điểm</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seatMapId, mapName, stageType, totalSeats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Khu vực khán đài cụ thể (VIP, VVIP, CAT 1)</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zoneId, zoneName, colorHex, zoneType, seatCount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Vị trí ghế cụ thể trên khán đài</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seatId, rowLabel, seatNumber, coordinateX, coordinateY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Sự kiện được tổ chức (Concert, liveshow, kịch)</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eventId, title, category, description, bannerUrl, status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Một buổi biểu diễn cụ thể của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showtimeId, showDate, startTime, endTime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Định giá vé cho từng khu vực của suất diễn</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pricingId, price, maxQuota, soldCount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ghi xếp hàng chờ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queueId, queueNumber, accessToken,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SeatHold</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Trạng thái khóa giữ ghế trong 10-15 phút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holdId, holdToken, startTime, expiresAt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Đơn hàng thanh toán vé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orderId, orderCode, subTotal, discount, finalTotal,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cấp phát cho từng chỗ ngồi</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ticketId, ticketCode, qrCodeHash, price, isUsed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Voucher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Mã giảm giá khuyến mãi áp dụng cho đơn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voucherId, code, percentOff, maxDiscount, validUntil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Giao dịch thanh toán trực tuyến qua cổng</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transactionId, transRef, paymentMethod, transAmount, status</w:t>
            </w:r>
          </w:p>
        </w:tc>
      </w:tr>
    </w:tbl>
    <w:p>
      <w:pPr>
        <w:spacing w:before="0" w:after="120"/>
      </w:pPr>
    </w:p>
    <w:p>
      <w:pPr>
        <w:keepNext/>
        <w:spacing w:before="240" w:after="80"/>
      </w:pPr>
      <w:r>
        <w:rPr>
          <w:rFonts w:ascii="Times New Roman" w:hAnsi="Times New Roman"/>
          <w:b/>
          <w:color w:val="1D4ED8"/>
          <w:sz w:val="25"/>
        </w:rPr>
        <w:t>3.2. Biểu đồ lớp thực thể phân tích Phân hệ 1: Quản lý tài khoản</w:t>
      </w:r>
    </w:p>
    <w:p>
      <w:pPr>
        <w:spacing w:before="0" w:after="100" w:line="300" w:lineRule="auto"/>
      </w:pPr>
      <w:r>
        <w:rPr>
          <w:rFonts w:ascii="Times New Roman" w:hAnsi="Times New Roman"/>
          <w:color w:val="1E293B"/>
          <w:sz w:val="23"/>
        </w:rPr>
        <w:t>Thể hiện quan hệ kế thừa giữa User với Customer và Organizer, đồng thời liên kết với UserSession (phiên làm việc) và Notification (thông báo gửi tới người dùng).</w:t>
      </w:r>
    </w:p>
    <w:p>
      <w:pPr>
        <w:keepNext/>
        <w:spacing w:before="160" w:after="40"/>
        <w:jc w:val="center"/>
      </w:pPr>
      <w:r>
        <w:drawing>
          <wp:inline xmlns:a="http://schemas.openxmlformats.org/drawingml/2006/main" xmlns:pic="http://schemas.openxmlformats.org/drawingml/2006/picture">
            <wp:extent cx="5669280" cy="4033196"/>
            <wp:docPr id="8" name="Picture 8"/>
            <wp:cNvGraphicFramePr>
              <a:graphicFrameLocks noChangeAspect="1"/>
            </wp:cNvGraphicFramePr>
            <a:graphic>
              <a:graphicData uri="http://schemas.openxmlformats.org/drawingml/2006/picture">
                <pic:pic>
                  <pic:nvPicPr>
                    <pic:cNvPr id="0" name="analysis_module1.png"/>
                    <pic:cNvPicPr/>
                  </pic:nvPicPr>
                  <pic:blipFill>
                    <a:blip r:embed="rId16"/>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3.2: Biểu đồ lớp thực thể phân tích - Phân hệ 1: Quản lý tài khoản</w:t>
      </w:r>
    </w:p>
    <w:p>
      <w:pPr>
        <w:keepNext/>
        <w:spacing w:before="240" w:after="80"/>
      </w:pPr>
      <w:r>
        <w:rPr>
          <w:rFonts w:ascii="Times New Roman" w:hAnsi="Times New Roman"/>
          <w:b/>
          <w:color w:val="1D4ED8"/>
          <w:sz w:val="25"/>
        </w:rPr>
        <w:t>3.3. Biểu đồ lớp thực thể phân tích Phân hệ 2: Tìm kiếm &amp; Xem sự kiện</w:t>
      </w:r>
    </w:p>
    <w:p>
      <w:pPr>
        <w:spacing w:before="0" w:after="100" w:line="300" w:lineRule="auto"/>
      </w:pPr>
      <w:r>
        <w:rPr>
          <w:rFonts w:ascii="Times New Roman" w:hAnsi="Times New Roman"/>
          <w:color w:val="1E293B"/>
          <w:sz w:val="23"/>
        </w:rPr>
        <w:t>Mô hình hóa thực thể Event liên kết với Category, Venue tổ chức, dàn Artist biểu diễn và danh sách FavoriteEvent của khách hàng.</w:t>
      </w:r>
    </w:p>
    <w:p>
      <w:pPr>
        <w:keepNext/>
        <w:spacing w:before="160" w:after="40"/>
        <w:jc w:val="center"/>
      </w:pPr>
      <w:r>
        <w:drawing>
          <wp:inline xmlns:a="http://schemas.openxmlformats.org/drawingml/2006/main" xmlns:pic="http://schemas.openxmlformats.org/drawingml/2006/picture">
            <wp:extent cx="5669280" cy="4067715"/>
            <wp:docPr id="9" name="Picture 9"/>
            <wp:cNvGraphicFramePr>
              <a:graphicFrameLocks noChangeAspect="1"/>
            </wp:cNvGraphicFramePr>
            <a:graphic>
              <a:graphicData uri="http://schemas.openxmlformats.org/drawingml/2006/picture">
                <pic:pic>
                  <pic:nvPicPr>
                    <pic:cNvPr id="0" name="analysis_module2.png"/>
                    <pic:cNvPicPr/>
                  </pic:nvPicPr>
                  <pic:blipFill>
                    <a:blip r:embed="rId17"/>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3.3: Biểu đồ lớp thực thể phân tích - Phân hệ 2: Tìm kiếm &amp; Xem sự kiện</w:t>
      </w:r>
    </w:p>
    <w:p>
      <w:pPr>
        <w:keepNext/>
        <w:spacing w:before="240" w:after="80"/>
      </w:pPr>
      <w:r>
        <w:rPr>
          <w:rFonts w:ascii="Times New Roman" w:hAnsi="Times New Roman"/>
          <w:b/>
          <w:color w:val="1D4ED8"/>
          <w:sz w:val="25"/>
        </w:rPr>
        <w:t>3.4. Biểu đồ lớp thực thể phân tích Phân hệ 3: Xếp hàng và chọn chỗ</w:t>
      </w:r>
    </w:p>
    <w:p>
      <w:pPr>
        <w:spacing w:before="0" w:after="100" w:line="300" w:lineRule="auto"/>
      </w:pPr>
      <w:r>
        <w:rPr>
          <w:rFonts w:ascii="Times New Roman" w:hAnsi="Times New Roman"/>
          <w:color w:val="1E293B"/>
          <w:sz w:val="23"/>
        </w:rPr>
        <w:t>Mô hình hóa cấu trúc phân cấp không gian từ SeatMap -&gt; SeatZone -&gt; Seat, kết hợp với VirtualQueue và thực thể SeatHold khóa giữ các ghế được chọn.</w:t>
      </w:r>
    </w:p>
    <w:p>
      <w:pPr>
        <w:keepNext/>
        <w:spacing w:before="160" w:after="40"/>
        <w:jc w:val="center"/>
      </w:pPr>
      <w:r>
        <w:drawing>
          <wp:inline xmlns:a="http://schemas.openxmlformats.org/drawingml/2006/main" xmlns:pic="http://schemas.openxmlformats.org/drawingml/2006/picture">
            <wp:extent cx="5669280" cy="4033196"/>
            <wp:docPr id="10" name="Picture 10"/>
            <wp:cNvGraphicFramePr>
              <a:graphicFrameLocks noChangeAspect="1"/>
            </wp:cNvGraphicFramePr>
            <a:graphic>
              <a:graphicData uri="http://schemas.openxmlformats.org/drawingml/2006/picture">
                <pic:pic>
                  <pic:nvPicPr>
                    <pic:cNvPr id="0" name="analysis_module3.png"/>
                    <pic:cNvPicPr/>
                  </pic:nvPicPr>
                  <pic:blipFill>
                    <a:blip r:embed="rId18"/>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3.4: Biểu đồ lớp thực thể phân tích - Phân hệ 3: Xếp hàng và chọn chỗ</w:t>
      </w:r>
    </w:p>
    <w:p>
      <w:pPr>
        <w:keepNext/>
        <w:spacing w:before="240" w:after="80"/>
      </w:pPr>
      <w:r>
        <w:rPr>
          <w:rFonts w:ascii="Times New Roman" w:hAnsi="Times New Roman"/>
          <w:b/>
          <w:color w:val="1D4ED8"/>
          <w:sz w:val="25"/>
        </w:rPr>
        <w:t>3.5. Biểu đồ lớp thực thể phân tích Phân hệ 4: Tính tiền và Xuất vé</w:t>
      </w:r>
    </w:p>
    <w:p>
      <w:pPr>
        <w:spacing w:before="0" w:after="100" w:line="300" w:lineRule="auto"/>
      </w:pPr>
      <w:r>
        <w:rPr>
          <w:rFonts w:ascii="Times New Roman" w:hAnsi="Times New Roman"/>
          <w:color w:val="1E293B"/>
          <w:sz w:val="23"/>
        </w:rPr>
        <w:t>Order đóng vai trò trung tâm liên kết với Voucher (0..1), PaymentTransaction (1) và chứa tập hợp các Ticket (1..*), mỗi Ticket tương ứng một Seat duy nhất.</w:t>
      </w:r>
    </w:p>
    <w:p>
      <w:pPr>
        <w:keepNext/>
        <w:spacing w:before="160" w:after="40"/>
        <w:jc w:val="center"/>
      </w:pPr>
      <w:r>
        <w:drawing>
          <wp:inline xmlns:a="http://schemas.openxmlformats.org/drawingml/2006/main" xmlns:pic="http://schemas.openxmlformats.org/drawingml/2006/picture">
            <wp:extent cx="5669280" cy="4067715"/>
            <wp:docPr id="11" name="Picture 11"/>
            <wp:cNvGraphicFramePr>
              <a:graphicFrameLocks noChangeAspect="1"/>
            </wp:cNvGraphicFramePr>
            <a:graphic>
              <a:graphicData uri="http://schemas.openxmlformats.org/drawingml/2006/picture">
                <pic:pic>
                  <pic:nvPicPr>
                    <pic:cNvPr id="0" name="analysis_module4.png"/>
                    <pic:cNvPicPr/>
                  </pic:nvPicPr>
                  <pic:blipFill>
                    <a:blip r:embed="rId19"/>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3.5: Biểu đồ lớp thực thể phân tích - Phân hệ 4: Tính tiền và Xuất vé</w:t>
      </w:r>
    </w:p>
    <w:p>
      <w:pPr>
        <w:keepNext/>
        <w:spacing w:before="240" w:after="80"/>
      </w:pPr>
      <w:r>
        <w:rPr>
          <w:rFonts w:ascii="Times New Roman" w:hAnsi="Times New Roman"/>
          <w:b/>
          <w:color w:val="1D4ED8"/>
          <w:sz w:val="25"/>
        </w:rPr>
        <w:t>3.6. Biểu đồ lớp thực thể phân tích Chức năng 5: Xem thống kê doanh thu sự kiện</w:t>
      </w:r>
    </w:p>
    <w:p>
      <w:pPr>
        <w:spacing w:before="0" w:after="100" w:line="300" w:lineRule="auto"/>
      </w:pPr>
      <w:r>
        <w:rPr>
          <w:rFonts w:ascii="Times New Roman" w:hAnsi="Times New Roman"/>
          <w:color w:val="1E293B"/>
          <w:sz w:val="23"/>
        </w:rPr>
        <w:t>Để đáp ứng nguyên tắc hướng đối tượng cốt lõi (Lớp phải đóng gói trạng thái và hành vi tính toán nghiệp vụ, không chỉ là tập hợp dữ liệu thụ động/Anemic Domain Model), biểu đồ lớp phân tích dưới đây thể hiện chi tiết các thực thể tham gia ca sử dụng đơn lẻ 'Xem thống kê doanh thu sự kiện' cùng các phương thức tính toán tài chính trọng tâm. Toàn bộ tên lớp, thuộc tính và phương thức được chuẩn hóa đồng nhất 100% với pha thiết kế:</w:t>
      </w:r>
    </w:p>
    <w:p>
      <w:pPr>
        <w:keepNext/>
        <w:spacing w:before="160" w:after="40"/>
        <w:jc w:val="center"/>
      </w:pPr>
      <w:r>
        <w:drawing>
          <wp:inline xmlns:a="http://schemas.openxmlformats.org/drawingml/2006/main" xmlns:pic="http://schemas.openxmlformats.org/drawingml/2006/picture">
            <wp:extent cx="5669280" cy="3833301"/>
            <wp:docPr id="12" name="Picture 12"/>
            <wp:cNvGraphicFramePr>
              <a:graphicFrameLocks noChangeAspect="1"/>
            </wp:cNvGraphicFramePr>
            <a:graphic>
              <a:graphicData uri="http://schemas.openxmlformats.org/drawingml/2006/picture">
                <pic:pic>
                  <pic:nvPicPr>
                    <pic:cNvPr id="0" name="analysis_m5_view_revenue_detail.png"/>
                    <pic:cNvPicPr/>
                  </pic:nvPicPr>
                  <pic:blipFill>
                    <a:blip r:embed="rId20"/>
                    <a:stretch>
                      <a:fillRect/>
                    </a:stretch>
                  </pic:blipFill>
                  <pic:spPr>
                    <a:xfrm>
                      <a:off x="0" y="0"/>
                      <a:ext cx="5669280" cy="3833301"/>
                    </a:xfrm>
                    <a:prstGeom prst="rect"/>
                  </pic:spPr>
                </pic:pic>
              </a:graphicData>
            </a:graphic>
          </wp:inline>
        </w:drawing>
      </w:r>
    </w:p>
    <w:p>
      <w:pPr>
        <w:spacing w:before="40" w:after="200"/>
        <w:jc w:val="center"/>
      </w:pPr>
      <w:r>
        <w:rPr>
          <w:rFonts w:ascii="Times New Roman" w:hAnsi="Times New Roman"/>
          <w:b/>
          <w:i/>
          <w:color w:val="475569"/>
          <w:sz w:val="20"/>
        </w:rPr>
        <w:t>Hình 3.6: Biểu đồ lớp thực thể phân tích - Chức năng Xem thống kê doanh thu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phân tích</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Các thuộc tính phân tích cốt lõi</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Các phương thức thực hiện tính toán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eventId, calculatedAt, taxRate, platformFeeRate, totalTicketsSold, grossRevenue, netRevenue, occupancyRate, averageTicketPrice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calculateTotalCapacity()</w:t>
              <w:br/>
              <w:t>+ calculateTotalTicketsSold()</w:t>
              <w:br/>
              <w:t>+ calculateGrossRevenue()</w:t>
              <w:br/>
              <w:t>+ calculateNetRevenue()</w:t>
              <w:br/>
              <w:t>+ calculateOccupancyRate()</w:t>
              <w:br/>
              <w:t>+ calculateAverageTicketPrice()</w:t>
              <w:br/>
              <w:t>+ calculateZoneContribution(zoneId)</w:t>
              <w:br/>
              <w:t>+ evaluatePerformance()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zoneName, price, maxQuota, soldCount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calculateZoneGross()</w:t>
              <w:br/>
              <w:t>+ calculateRemainingSeats()</w:t>
              <w:br/>
              <w:t>+ getSoldRate()</w:t>
              <w:br/>
              <w:t>+ isSoldOut()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showDate, startTime, endTime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calculateShowtimeRevenue()</w:t>
              <w:br/>
              <w:t>+ getSoldTicketsCount()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title, category, 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getTotalCapacity()</w:t>
              <w:br/>
              <w:t>+ getShowtimes()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SeatZone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zoneName, colorHex, seatCount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countTotalSeats()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companyName, taxId, email</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viewReports(eventId)</w:t>
            </w:r>
          </w:p>
        </w:tc>
      </w:tr>
    </w:tbl>
    <w:p>
      <w:pPr>
        <w:spacing w:before="0" w:after="120"/>
      </w:pPr>
    </w:p>
    <w:p>
      <w:pPr>
        <w:keepNext/>
        <w:spacing w:before="320" w:after="120"/>
      </w:pPr>
      <w:r>
        <w:rPr>
          <w:rFonts w:ascii="Times New Roman" w:hAnsi="Times New Roman"/>
          <w:b/>
          <w:color w:val="1E3A8A"/>
          <w:sz w:val="28"/>
        </w:rPr>
        <w:t>4. BIỂU ĐỒ LỚP THỰC THỂ THIẾT KẾ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thiết kế (Design Entity Class Diagram) là mô hình mức thiết kế chi tiết (Detailed Object-Oriented Design), sẵn sàng cho việc sinh mã nguồn trong các ngôn ngữ lập trình hiện đại (Java Spring Boot, C# .NET Core, TypeScript) và ánh xạ quan hệ ORM (Hibernate / JPA).</w:t>
      </w:r>
    </w:p>
    <w:p>
      <w:pPr>
        <w:pStyle w:val="ListBullet"/>
        <w:spacing w:before="0" w:after="60" w:line="288" w:lineRule="auto"/>
      </w:pPr>
      <w:r>
        <w:rPr>
          <w:rFonts w:ascii="Times New Roman" w:hAnsi="Times New Roman"/>
          <w:b/>
          <w:color w:val="0F172A"/>
          <w:sz w:val="22"/>
        </w:rPr>
        <w:t xml:space="preserve">Stereotype chuẩn: </w:t>
      </w:r>
      <w:r>
        <w:rPr>
          <w:rFonts w:ascii="Times New Roman" w:hAnsi="Times New Roman"/>
          <w:color w:val="1E293B"/>
          <w:sz w:val="22"/>
        </w:rPr>
        <w:t>Stereotype &lt;&lt;entity&gt;&gt; định danh các lớp thực thể lưu trữ dữ liệu.</w:t>
      </w:r>
    </w:p>
    <w:p>
      <w:pPr>
        <w:pStyle w:val="ListBullet"/>
        <w:spacing w:before="0" w:after="60" w:line="288" w:lineRule="auto"/>
      </w:pPr>
      <w:r>
        <w:rPr>
          <w:rFonts w:ascii="Times New Roman" w:hAnsi="Times New Roman"/>
          <w:b/>
          <w:color w:val="0F172A"/>
          <w:sz w:val="22"/>
        </w:rPr>
        <w:t xml:space="preserve">Cấu trúc 3 ngăn chi tiết: </w:t>
      </w:r>
      <w:r>
        <w:rPr>
          <w:rFonts w:ascii="Times New Roman" w:hAnsi="Times New Roman"/>
          <w:color w:val="1E293B"/>
          <w:sz w:val="22"/>
        </w:rPr>
        <w:t>Đầy đủ 3 ngăn chuẩn UML: Tên lớp, Thuộc tính có phạm vi truy cập (- private) và kiểu dữ liệu cụ thể (Long, String, LocalDateTime, double, boolean...), Phương thức có phạm vi (+ public) và danh sách tham số.</w:t>
      </w:r>
    </w:p>
    <w:p>
      <w:pPr>
        <w:pStyle w:val="ListBullet"/>
        <w:spacing w:before="0" w:after="60" w:line="288" w:lineRule="auto"/>
      </w:pPr>
      <w:r>
        <w:rPr>
          <w:rFonts w:ascii="Times New Roman" w:hAnsi="Times New Roman"/>
          <w:b/>
          <w:color w:val="0F172A"/>
          <w:sz w:val="22"/>
        </w:rPr>
        <w:t xml:space="preserve">Khóa chính và ràng buộc: </w:t>
      </w:r>
      <w:r>
        <w:rPr>
          <w:rFonts w:ascii="Times New Roman" w:hAnsi="Times New Roman"/>
          <w:color w:val="1E293B"/>
          <w:sz w:val="22"/>
        </w:rPr>
        <w:t>Xác định rõ các thuộc tính định danh khóa chính (Primary Key - id: Long) và các ràng buộc toàn vẹn.</w:t>
      </w:r>
    </w:p>
    <w:p>
      <w:pPr>
        <w:pStyle w:val="ListBullet"/>
        <w:spacing w:before="0" w:after="60" w:line="288" w:lineRule="auto"/>
      </w:pPr>
      <w:r>
        <w:rPr>
          <w:rFonts w:ascii="Times New Roman" w:hAnsi="Times New Roman"/>
          <w:b/>
          <w:color w:val="0F172A"/>
          <w:sz w:val="22"/>
        </w:rPr>
        <w:t xml:space="preserve">Phương thức nghiệp vụ: </w:t>
      </w:r>
      <w:r>
        <w:rPr>
          <w:rFonts w:ascii="Times New Roman" w:hAnsi="Times New Roman"/>
          <w:color w:val="1E293B"/>
          <w:sz w:val="22"/>
        </w:rPr>
        <w:t>Bao gồm các phương thức nghiệp vụ nội tại của đối tượng (ví dụ: isAvailable(), lock(), calculateTotal(), generateQR()).</w:t>
      </w:r>
    </w:p>
    <w:p>
      <w:pPr>
        <w:keepNext/>
        <w:spacing w:before="240" w:after="80"/>
      </w:pPr>
      <w:r>
        <w:rPr>
          <w:rFonts w:ascii="Times New Roman" w:hAnsi="Times New Roman"/>
          <w:b/>
          <w:color w:val="1D4ED8"/>
          <w:sz w:val="25"/>
        </w:rPr>
        <w:t>4.1. Biểu đồ lớp thực thể thiết kế tổng thể hệ thống</w:t>
      </w:r>
    </w:p>
    <w:p>
      <w:pPr>
        <w:spacing w:before="0" w:after="100" w:line="300" w:lineRule="auto"/>
      </w:pPr>
      <w:r>
        <w:rPr>
          <w:rFonts w:ascii="Times New Roman" w:hAnsi="Times New Roman"/>
          <w:color w:val="1E293B"/>
          <w:sz w:val="23"/>
        </w:rPr>
        <w:t>Biểu đồ lớp thực thể thiết kế tổng thể thể hiện mối liên kết chặt chẽ giữa tất cả các thực thể nghiệp vụ trong hệ thống:</w:t>
      </w:r>
    </w:p>
    <w:p>
      <w:pPr>
        <w:keepNext/>
        <w:spacing w:before="160" w:after="40"/>
        <w:jc w:val="center"/>
      </w:pPr>
      <w:r>
        <w:drawing>
          <wp:inline xmlns:a="http://schemas.openxmlformats.org/drawingml/2006/main" xmlns:pic="http://schemas.openxmlformats.org/drawingml/2006/picture">
            <wp:extent cx="5669280" cy="4243151"/>
            <wp:docPr id="13" name="Picture 13"/>
            <wp:cNvGraphicFramePr>
              <a:graphicFrameLocks noChangeAspect="1"/>
            </wp:cNvGraphicFramePr>
            <a:graphic>
              <a:graphicData uri="http://schemas.openxmlformats.org/drawingml/2006/picture">
                <pic:pic>
                  <pic:nvPicPr>
                    <pic:cNvPr id="0" name="design_tong_the.png"/>
                    <pic:cNvPicPr/>
                  </pic:nvPicPr>
                  <pic:blipFill>
                    <a:blip r:embed="rId21"/>
                    <a:stretch>
                      <a:fillRect/>
                    </a:stretch>
                  </pic:blipFill>
                  <pic:spPr>
                    <a:xfrm>
                      <a:off x="0" y="0"/>
                      <a:ext cx="5669280" cy="4243151"/>
                    </a:xfrm>
                    <a:prstGeom prst="rect"/>
                  </pic:spPr>
                </pic:pic>
              </a:graphicData>
            </a:graphic>
          </wp:inline>
        </w:drawing>
      </w:r>
    </w:p>
    <w:p>
      <w:pPr>
        <w:spacing w:before="40" w:after="200"/>
        <w:jc w:val="center"/>
      </w:pPr>
      <w:r>
        <w:rPr>
          <w:rFonts w:ascii="Times New Roman" w:hAnsi="Times New Roman"/>
          <w:b/>
          <w:i/>
          <w:color w:val="475569"/>
          <w:sz w:val="20"/>
        </w:rPr>
        <w:t>Hình 4.1: Biểu đồ lớp thực thể thiết kế tổng thể toàn hệ thống</w:t>
      </w:r>
    </w:p>
    <w:p>
      <w:pPr>
        <w:keepNext/>
        <w:spacing w:before="240" w:after="80"/>
      </w:pPr>
      <w:r>
        <w:rPr>
          <w:rFonts w:ascii="Times New Roman" w:hAnsi="Times New Roman"/>
          <w:b/>
          <w:color w:val="1D4ED8"/>
          <w:sz w:val="25"/>
        </w:rPr>
        <w:t>4.2. Biểu đồ lớp thực thể thiết kế Phân hệ 1: Quản lý tài khoản</w:t>
      </w:r>
    </w:p>
    <w:p>
      <w:pPr>
        <w:spacing w:before="0" w:after="100" w:line="300" w:lineRule="auto"/>
      </w:pPr>
      <w:r>
        <w:rPr>
          <w:rFonts w:ascii="Times New Roman" w:hAnsi="Times New Roman"/>
          <w:color w:val="1E293B"/>
          <w:sz w:val="23"/>
        </w:rPr>
        <w:t>Mô hình thiết kế chi tiết các lớp User, Customer, Organizer, UserSession và Notification:</w:t>
      </w:r>
    </w:p>
    <w:p>
      <w:pPr>
        <w:keepNext/>
        <w:spacing w:before="160" w:after="40"/>
        <w:jc w:val="center"/>
      </w:pPr>
      <w:r>
        <w:drawing>
          <wp:inline xmlns:a="http://schemas.openxmlformats.org/drawingml/2006/main" xmlns:pic="http://schemas.openxmlformats.org/drawingml/2006/picture">
            <wp:extent cx="5669280" cy="4108277"/>
            <wp:docPr id="14" name="Picture 14"/>
            <wp:cNvGraphicFramePr>
              <a:graphicFrameLocks noChangeAspect="1"/>
            </wp:cNvGraphicFramePr>
            <a:graphic>
              <a:graphicData uri="http://schemas.openxmlformats.org/drawingml/2006/picture">
                <pic:pic>
                  <pic:nvPicPr>
                    <pic:cNvPr id="0" name="design_module1.png"/>
                    <pic:cNvPicPr/>
                  </pic:nvPicPr>
                  <pic:blipFill>
                    <a:blip r:embed="rId22"/>
                    <a:stretch>
                      <a:fillRect/>
                    </a:stretch>
                  </pic:blipFill>
                  <pic:spPr>
                    <a:xfrm>
                      <a:off x="0" y="0"/>
                      <a:ext cx="5669280" cy="4108277"/>
                    </a:xfrm>
                    <a:prstGeom prst="rect"/>
                  </pic:spPr>
                </pic:pic>
              </a:graphicData>
            </a:graphic>
          </wp:inline>
        </w:drawing>
      </w:r>
    </w:p>
    <w:p>
      <w:pPr>
        <w:spacing w:before="40" w:after="200"/>
        <w:jc w:val="center"/>
      </w:pPr>
      <w:r>
        <w:rPr>
          <w:rFonts w:ascii="Times New Roman" w:hAnsi="Times New Roman"/>
          <w:b/>
          <w:i/>
          <w:color w:val="475569"/>
          <w:sz w:val="20"/>
        </w:rPr>
        <w:t>Hình 4.2: Biểu đồ lớp thực thể thiết kế - Phân hệ 1: Quản lý tài khoản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br/>
              <w:t>(Base Entity)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 Not Null]</w:t>
              <w:br/>
              <w:t>- username: String [Unique]</w:t>
              <w:br/>
              <w:t>- passwordHash: String [BCrypt]</w:t>
              <w:br/>
              <w:t>- email: String [Unique]</w:t>
              <w:br/>
              <w:t>- phone: String</w:t>
              <w:br/>
              <w:t>- role: UserRole [Enum: CUSTOMER, ORGANIZER, ADMIN]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authenticate(pwd: String): boolean</w:t>
              <w:br/>
              <w:t>+ changePassword(newPwd: String): void</w:t>
              <w:br/>
              <w:t>+ updateInfo(dto: UserDto): void</w:t>
              <w:br/>
              <w:t>+ isAccountNonLocked(): boolean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br/>
              <w:t>(extends User)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rewardPoints: int [Default: 0]</w:t>
              <w:br/>
              <w:t>- memberTier: MemberTier [BRONZE, SILVER, GOLD, VIP]</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addRewardPoints(pts: int): void</w:t>
              <w:br/>
              <w:t>+ getOrderHistory(): List&lt;Order&gt;</w:t>
              <w:br/>
              <w:t>+ canRedeemPoints(pts: int):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br/>
              <w:t>(extends User)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orgName: String [Not Null]</w:t>
              <w:br/>
              <w:t>- taxId: String [Unique]</w:t>
              <w:br/>
              <w:t>- businessLicense: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verifyLicense(): boolean</w:t>
              <w:br/>
              <w:t>+ getManagedEvents(): List&lt;Event&gt;</w:t>
              <w:br/>
              <w:t>+ updateOrgProfile(info: OrgDto):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UserSession</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jwtToken: String [Not Null]</w:t>
              <w:br/>
              <w:t>- createdAt: LocalDateTime</w:t>
              <w:br/>
              <w:t>- expiresAt: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isExpired(): boolean</w:t>
              <w:br/>
              <w:t>+ refreshToken(): String</w:t>
              <w:br/>
              <w:t>+ revoke():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Notification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w:t>
              <w:br/>
              <w:t>- message: String</w:t>
              <w:br/>
              <w:t>- isRead: boolean [Default: false]</w:t>
              <w:br/>
              <w:t>- sentAt: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markAsRead(): void</w:t>
              <w:br/>
              <w:t>+ sendEmailNotification(): boolean</w:t>
            </w:r>
          </w:p>
        </w:tc>
      </w:tr>
    </w:tbl>
    <w:p>
      <w:pPr>
        <w:spacing w:before="0" w:after="120"/>
      </w:pPr>
    </w:p>
    <w:p>
      <w:pPr>
        <w:keepNext/>
        <w:spacing w:before="240" w:after="80"/>
      </w:pPr>
      <w:r>
        <w:rPr>
          <w:rFonts w:ascii="Times New Roman" w:hAnsi="Times New Roman"/>
          <w:b/>
          <w:color w:val="1D4ED8"/>
          <w:sz w:val="25"/>
        </w:rPr>
        <w:t>4.3. Biểu đồ lớp thực thể thiết kế Phân hệ 2: Tìm kiếm &amp; Xem sự kiện</w:t>
      </w:r>
    </w:p>
    <w:p>
      <w:pPr>
        <w:spacing w:before="0" w:after="100" w:line="300" w:lineRule="auto"/>
      </w:pPr>
      <w:r>
        <w:rPr>
          <w:rFonts w:ascii="Times New Roman" w:hAnsi="Times New Roman"/>
          <w:color w:val="1E293B"/>
          <w:sz w:val="23"/>
        </w:rPr>
        <w:t>Mô hình thiết kế chi tiết các lớp Event, Showtime, Category, Venue, Artist và FavoriteEvent:</w:t>
      </w:r>
    </w:p>
    <w:p>
      <w:pPr>
        <w:keepNext/>
        <w:spacing w:before="160" w:after="40"/>
        <w:jc w:val="center"/>
      </w:pPr>
      <w:r>
        <w:drawing>
          <wp:inline xmlns:a="http://schemas.openxmlformats.org/drawingml/2006/main" xmlns:pic="http://schemas.openxmlformats.org/drawingml/2006/picture">
            <wp:extent cx="5669280" cy="4033196"/>
            <wp:docPr id="15" name="Picture 15"/>
            <wp:cNvGraphicFramePr>
              <a:graphicFrameLocks noChangeAspect="1"/>
            </wp:cNvGraphicFramePr>
            <a:graphic>
              <a:graphicData uri="http://schemas.openxmlformats.org/drawingml/2006/picture">
                <pic:pic>
                  <pic:nvPicPr>
                    <pic:cNvPr id="0" name="design_module2.png"/>
                    <pic:cNvPicPr/>
                  </pic:nvPicPr>
                  <pic:blipFill>
                    <a:blip r:embed="rId23"/>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4.3: Biểu đồ lớp thực thể thiết kế - Phân hệ 2: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Event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 [Not Null]</w:t>
              <w:br/>
              <w:t>- description: String [Text]</w:t>
              <w:br/>
              <w:t>- bannerUrl: String</w:t>
              <w:br/>
              <w:t>- status: EventStatus [DRAFT, PUBLISHED, SOLD_OUT, ENDED]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publish(): void</w:t>
              <w:br/>
              <w:t>+ cancel(): void</w:t>
              <w:br/>
              <w:t>+ isUpcoming(): boolean</w:t>
              <w:br/>
              <w:t>+ getActiveShowtimes(): List&lt;Showtime&gt;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Showtime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showDate: LocalDate [Not Null]</w:t>
              <w:br/>
              <w:t>- startTime: LocalTime [Not Null]</w:t>
              <w:br/>
              <w:t>- endTime: LocalTime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isAvailableForBooking(): boolean</w:t>
              <w:br/>
              <w:t>+ getAvailableSeats(): int</w:t>
              <w:br/>
              <w:t>+ isOngoing():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Category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name: String [Unique, Not Null]</w:t>
              <w:br/>
              <w:t>- code: String [Unique]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getEvents(): List&lt;Event&gt;</w:t>
              <w:br/>
              <w:t>+ countEvents():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name: String [Not Null]</w:t>
              <w:br/>
              <w:t>- address: String [Not Null]</w:t>
              <w:br/>
              <w:t>- capacity: int [&gt; 0]</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checkCapacity(): boolean</w:t>
              <w:br/>
              <w:t>+ getAssignedSeatMap(): SeatMap</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Artist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stageName: String [Not Null]</w:t>
              <w:br/>
              <w:t>- bio: String</w:t>
              <w:br/>
              <w:t>- avatarUrl: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getParticipatingEvents(): List&lt;Event&gt;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FavoriteEvent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customerId: Long [FK]</w:t>
              <w:br/>
              <w:t>- savedDate: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notifySaleOpening(): void</w:t>
              <w:br/>
              <w:t>+ remove(): void</w:t>
            </w:r>
          </w:p>
        </w:tc>
      </w:tr>
    </w:tbl>
    <w:p>
      <w:pPr>
        <w:spacing w:before="0" w:after="120"/>
      </w:pPr>
    </w:p>
    <w:p>
      <w:pPr>
        <w:keepNext/>
        <w:spacing w:before="240" w:after="80"/>
      </w:pPr>
      <w:r>
        <w:rPr>
          <w:rFonts w:ascii="Times New Roman" w:hAnsi="Times New Roman"/>
          <w:b/>
          <w:color w:val="1D4ED8"/>
          <w:sz w:val="25"/>
        </w:rPr>
        <w:t>4.4. Biểu đồ lớp thực thể thiết kế Phân hệ 3: Xếp hàng và chọn chỗ</w:t>
      </w:r>
    </w:p>
    <w:p>
      <w:pPr>
        <w:spacing w:before="0" w:after="100" w:line="300" w:lineRule="auto"/>
      </w:pPr>
      <w:r>
        <w:rPr>
          <w:rFonts w:ascii="Times New Roman" w:hAnsi="Times New Roman"/>
          <w:color w:val="1E293B"/>
          <w:sz w:val="23"/>
        </w:rPr>
        <w:t>Mô hình thiết kế chi tiết các lớp SeatMap, SeatZone, Seat, VirtualQueue và SeatHold:</w:t>
      </w:r>
    </w:p>
    <w:p>
      <w:pPr>
        <w:keepNext/>
        <w:spacing w:before="160" w:after="40"/>
        <w:jc w:val="center"/>
      </w:pPr>
      <w:r>
        <w:drawing>
          <wp:inline xmlns:a="http://schemas.openxmlformats.org/drawingml/2006/main" xmlns:pic="http://schemas.openxmlformats.org/drawingml/2006/picture">
            <wp:extent cx="5669280" cy="4033196"/>
            <wp:docPr id="16" name="Picture 16"/>
            <wp:cNvGraphicFramePr>
              <a:graphicFrameLocks noChangeAspect="1"/>
            </wp:cNvGraphicFramePr>
            <a:graphic>
              <a:graphicData uri="http://schemas.openxmlformats.org/drawingml/2006/picture">
                <pic:pic>
                  <pic:nvPicPr>
                    <pic:cNvPr id="0" name="design_module3.png"/>
                    <pic:cNvPicPr/>
                  </pic:nvPicPr>
                  <pic:blipFill>
                    <a:blip r:embed="rId24"/>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4.4: Biểu đồ lớp thực thể thiết kế - Phân hệ 3: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mapName: String [Not Null]</w:t>
              <w:br/>
              <w:t>- totalSeats: int [&gt; 0]</w:t>
              <w:br/>
              <w:t>- layoutSvg: String [SVG Schema]</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validateLayout(): boolean</w:t>
              <w:br/>
              <w:t>+ getZones(): List&lt;SeatZone&gt;</w:t>
              <w:br/>
              <w:t>+ getTotalCapacity():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zoneName: String [VIP, CAT 1...]</w:t>
              <w:br/>
              <w:t>- colorHex: String [#FF0000]</w:t>
              <w:br/>
              <w:t>- zoneType: ZoneType [SEATED, STANDING]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getSeats(): List&lt;Seat&gt;</w:t>
              <w:br/>
              <w:t>+ countVacantSeats(): int</w:t>
              <w:br/>
              <w:t>+ isStandingZone():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rowLabel: String [A, B, C...]</w:t>
              <w:br/>
              <w:t>- seatNumber: int [1, 2, 3...]</w:t>
              <w:br/>
              <w:t>- isLocked: boolean [Default: false]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lockSeat(token: String): boolean</w:t>
              <w:br/>
              <w:t>+ unlockSeat(): void</w:t>
              <w:br/>
              <w:t>+ isAvailable(): boolean</w:t>
              <w:br/>
              <w:t>+ getSeatCode():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queueNumber: int [Auto-increment]</w:t>
              <w:br/>
              <w:t>- accessToken: String [UUID]</w:t>
              <w:br/>
              <w:t>- status: QueueStatus [WAITING, SERVING, EXPIRED]</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isTurn(): boolean</w:t>
              <w:br/>
              <w:t>+ generateToken(): String</w:t>
              <w:br/>
              <w:t>+ expireToken():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SeatHold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holdToken: String [UUID, Unique]</w:t>
              <w:br/>
              <w:t>- startTime: LocalDateTime</w:t>
              <w:br/>
              <w:t>- expiresAt: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isExpired(): boolean</w:t>
              <w:br/>
              <w:t>+ getRemainingSeconds(): long</w:t>
              <w:br/>
              <w:t>+ confirmHold(): void</w:t>
              <w:br/>
              <w:t>+ releaseHold(): void</w:t>
            </w:r>
          </w:p>
        </w:tc>
      </w:tr>
    </w:tbl>
    <w:p>
      <w:pPr>
        <w:spacing w:before="0" w:after="120"/>
      </w:pPr>
    </w:p>
    <w:p>
      <w:pPr>
        <w:keepNext/>
        <w:spacing w:before="240" w:after="80"/>
      </w:pPr>
      <w:r>
        <w:rPr>
          <w:rFonts w:ascii="Times New Roman" w:hAnsi="Times New Roman"/>
          <w:b/>
          <w:color w:val="1D4ED8"/>
          <w:sz w:val="25"/>
        </w:rPr>
        <w:t>4.5. Biểu đồ lớp thực thể thiết kế Phân hệ 4: Tính tiền và Xuất vé</w:t>
      </w:r>
    </w:p>
    <w:p>
      <w:pPr>
        <w:spacing w:before="0" w:after="100" w:line="300" w:lineRule="auto"/>
      </w:pPr>
      <w:r>
        <w:rPr>
          <w:rFonts w:ascii="Times New Roman" w:hAnsi="Times New Roman"/>
          <w:color w:val="1E293B"/>
          <w:sz w:val="23"/>
        </w:rPr>
        <w:t>Mô hình thiết kế chi tiết các lớp Order, Voucher, PaymentTransaction và Ticket:</w:t>
      </w:r>
    </w:p>
    <w:p>
      <w:pPr>
        <w:keepNext/>
        <w:spacing w:before="160" w:after="40"/>
        <w:jc w:val="center"/>
      </w:pPr>
      <w:r>
        <w:drawing>
          <wp:inline xmlns:a="http://schemas.openxmlformats.org/drawingml/2006/main" xmlns:pic="http://schemas.openxmlformats.org/drawingml/2006/picture">
            <wp:extent cx="5669280" cy="4033196"/>
            <wp:docPr id="17" name="Picture 17"/>
            <wp:cNvGraphicFramePr>
              <a:graphicFrameLocks noChangeAspect="1"/>
            </wp:cNvGraphicFramePr>
            <a:graphic>
              <a:graphicData uri="http://schemas.openxmlformats.org/drawingml/2006/picture">
                <pic:pic>
                  <pic:nvPicPr>
                    <pic:cNvPr id="0" name="design_module4.png"/>
                    <pic:cNvPicPr/>
                  </pic:nvPicPr>
                  <pic:blipFill>
                    <a:blip r:embed="rId25"/>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4.5: Biểu đồ lớp thực thể thiết kế - Phân hệ 4: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orderCode: String [ORD-XXXXX]</w:t>
              <w:br/>
              <w:t>- subTotal: double [&gt;= 0]</w:t>
              <w:br/>
              <w:t>- discount: double [&gt;= 0]</w:t>
              <w:br/>
              <w:t>- finalTotal: double [&gt;= 0]</w:t>
              <w:br/>
              <w:t>- status: OrderStatus [PENDING, PAID, CANCELLED]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calculateFinalTotal(): double</w:t>
              <w:br/>
              <w:t>+ applyVoucher(v: Voucher): boolean</w:t>
              <w:br/>
              <w:t>+ markAsPaid(): void</w:t>
              <w:br/>
              <w:t>+ cancelOrder():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Voucher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code: String [Unique, Not Null]</w:t>
              <w:br/>
              <w:t>- percentOff: double [0.0 - 100.0]</w:t>
              <w:br/>
              <w:t>- maxDiscount: double</w:t>
              <w:br/>
              <w:t>- validUntil: LocalDate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isValid(amount: double): boolean</w:t>
              <w:br/>
              <w:t>+ calculateDiscount(amount: double): double</w:t>
              <w:br/>
              <w:t>+ decrementQuota():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transRef: String [Bank Reference]</w:t>
              <w:br/>
              <w:t>- method: PaymentMethod [VNPAY, MOMO, VISA]</w:t>
              <w:br/>
              <w:t>- transAmount: double</w:t>
              <w:br/>
              <w:t>- status: TransStatus [SUCCESS, FAILED, PENDING]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processPayment(): boolean</w:t>
              <w:br/>
              <w:t>+ verifyWebhook(payload: String): boolean</w:t>
              <w:br/>
              <w:t>+ getGatewayUrl():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ticketCode: String [TCK-XXXXX]</w:t>
              <w:br/>
              <w:t>- qrCodeHash: String [HMAC-SHA256 Encrypted]</w:t>
              <w:br/>
              <w:t>- price: double</w:t>
              <w:br/>
              <w:t>- isUsed: boolean [Default: false]</w:t>
              <w:br/>
              <w:t>- checkinTime: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generateEncryptedQR(): String</w:t>
              <w:br/>
              <w:t>+ checkIn(): boolean</w:t>
              <w:br/>
              <w:t>+ isCheckedIn(): boolean</w:t>
              <w:br/>
              <w:t>+ cancelTicket(): void</w:t>
            </w:r>
          </w:p>
        </w:tc>
      </w:tr>
    </w:tbl>
    <w:p>
      <w:pPr>
        <w:spacing w:before="0" w:after="120"/>
      </w:pPr>
    </w:p>
    <w:p>
      <w:pPr>
        <w:keepNext/>
        <w:spacing w:before="240" w:after="80"/>
      </w:pPr>
      <w:r>
        <w:rPr>
          <w:rFonts w:ascii="Times New Roman" w:hAnsi="Times New Roman"/>
          <w:b/>
          <w:color w:val="1D4ED8"/>
          <w:sz w:val="25"/>
        </w:rPr>
        <w:t>4.6. Biểu đồ lớp thực thể thiết kế Chức năng 5: Xem thống kê doanh thu sự kiện</w:t>
      </w:r>
    </w:p>
    <w:p>
      <w:pPr>
        <w:spacing w:before="0" w:after="100" w:line="300" w:lineRule="auto"/>
      </w:pPr>
      <w:r>
        <w:rPr>
          <w:rFonts w:ascii="Times New Roman" w:hAnsi="Times New Roman"/>
          <w:color w:val="1E293B"/>
          <w:sz w:val="23"/>
        </w:rPr>
        <w:t>Chức năng 'Xem thống kê doanh thu sự kiện' (View Event Revenue Statistics) là chức năng đơn lẻ (Single Atomic Function - Read/Calculate Analytics) phụ trách toàn bộ việc tính toán và kết xuất báo cáo tài chính cho sự kiện. Dưới đây là thiết kế chi tiết bao gồm đặc tả Use Case, biểu đồ tuần tự tương tác BCE, biểu đồ lớp thiết kế BCE và bảng thuật toán chi tiết cho các phương thức tính toán:</w:t>
      </w:r>
    </w:p>
    <w:p>
      <w:pPr>
        <w:keepNext/>
        <w:spacing w:before="160" w:after="60"/>
      </w:pPr>
      <w:r>
        <w:rPr>
          <w:rFonts w:ascii="Times New Roman" w:hAnsi="Times New Roman"/>
          <w:b/>
          <w:i/>
          <w:color w:val="334155"/>
          <w:sz w:val="23"/>
        </w:rPr>
        <w:t>a. Đặc tả ca sử dụng chi tiết (Use Case Specification)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701"/>
        <w:gridCol w:w="4701"/>
      </w:tblGrid>
      <w:tr>
        <w:tc>
          <w:tcPr>
            <w:tcW w:type="dxa" w:w="3168"/>
            <w:shd w:fill="1E3A8A"/>
            <w:tcMar>
              <w:top w:w="140" w:type="dxa"/>
              <w:bottom w:w="140" w:type="dxa"/>
              <w:left w:w="160" w:type="dxa"/>
              <w:right w:w="160" w:type="dxa"/>
            </w:tcMar>
          </w:tcPr>
          <w:p>
            <w:pPr>
              <w:jc w:val="center"/>
            </w:pPr>
            <w:r>
              <w:rPr>
                <w:rFonts w:ascii="Times New Roman" w:hAnsi="Times New Roman"/>
                <w:b/>
                <w:color w:val="FFFFFF"/>
                <w:sz w:val="21"/>
              </w:rPr>
              <w:t>Thuộc tính đặc tả</w:t>
            </w:r>
          </w:p>
        </w:tc>
        <w:tc>
          <w:tcPr>
            <w:tcW w:type="dxa" w:w="6192"/>
            <w:shd w:fill="1E3A8A"/>
            <w:tcMar>
              <w:top w:w="140" w:type="dxa"/>
              <w:bottom w:w="140" w:type="dxa"/>
              <w:left w:w="160" w:type="dxa"/>
              <w:right w:w="160" w:type="dxa"/>
            </w:tcMar>
          </w:tcPr>
          <w:p>
            <w:pPr>
              <w:jc w:val="center"/>
            </w:pPr>
            <w:r>
              <w:rPr>
                <w:rFonts w:ascii="Times New Roman" w:hAnsi="Times New Roman"/>
                <w:b/>
                <w:color w:val="FFFFFF"/>
                <w:sz w:val="21"/>
              </w:rPr>
              <w:t>Nội dung chi tiết</w:t>
            </w:r>
          </w:p>
        </w:tc>
      </w:tr>
      <w:tr>
        <w:tc>
          <w:tcPr>
            <w:tcW w:type="dxa" w:w="3168"/>
            <w:shd w:fill="FFFFFF"/>
            <w:tcMar>
              <w:top w:w="100" w:type="dxa"/>
              <w:bottom w:w="100" w:type="dxa"/>
              <w:left w:w="140" w:type="dxa"/>
              <w:right w:w="140" w:type="dxa"/>
            </w:tcMar>
          </w:tcPr>
          <w:p>
            <w:pPr>
              <w:jc w:val="center"/>
            </w:pPr>
            <w:r>
              <w:rPr>
                <w:rFonts w:ascii="Times New Roman" w:hAnsi="Times New Roman"/>
                <w:color w:val="1E293B"/>
                <w:sz w:val="20"/>
              </w:rPr>
              <w:t>Tên chức năng / Use Case</w:t>
            </w:r>
          </w:p>
        </w:tc>
        <w:tc>
          <w:tcPr>
            <w:tcW w:type="dxa" w:w="6192"/>
            <w:shd w:fill="FFFFFF"/>
            <w:tcMar>
              <w:top w:w="100" w:type="dxa"/>
              <w:bottom w:w="100" w:type="dxa"/>
              <w:left w:w="140" w:type="dxa"/>
              <w:right w:w="140" w:type="dxa"/>
            </w:tcMar>
          </w:tcPr>
          <w:p>
            <w:pPr>
              <w:jc w:val="left"/>
            </w:pPr>
            <w:r>
              <w:rPr>
                <w:rFonts w:ascii="Times New Roman" w:hAnsi="Times New Roman"/>
                <w:color w:val="1E293B"/>
                <w:sz w:val="20"/>
              </w:rPr>
              <w:t>Xem thống kê doanh thu sự kiện (View Event Revenue Statistics)</w:t>
            </w:r>
          </w:p>
        </w:tc>
      </w:tr>
      <w:tr>
        <w:tc>
          <w:tcPr>
            <w:tcW w:type="dxa" w:w="3168"/>
            <w:shd w:fill="F8FAFC"/>
            <w:tcMar>
              <w:top w:w="100" w:type="dxa"/>
              <w:bottom w:w="100" w:type="dxa"/>
              <w:left w:w="140" w:type="dxa"/>
              <w:right w:w="140" w:type="dxa"/>
            </w:tcMar>
          </w:tcPr>
          <w:p>
            <w:pPr>
              <w:jc w:val="center"/>
            </w:pPr>
            <w:r>
              <w:rPr>
                <w:rFonts w:ascii="Times New Roman" w:hAnsi="Times New Roman"/>
                <w:color w:val="1E293B"/>
                <w:sz w:val="20"/>
              </w:rPr>
              <w:t>Phân hệ trực thuộc</w:t>
            </w:r>
          </w:p>
        </w:tc>
        <w:tc>
          <w:tcPr>
            <w:tcW w:type="dxa" w:w="6192"/>
            <w:shd w:fill="F8FAFC"/>
            <w:tcMar>
              <w:top w:w="100" w:type="dxa"/>
              <w:bottom w:w="100" w:type="dxa"/>
              <w:left w:w="140" w:type="dxa"/>
              <w:right w:w="140" w:type="dxa"/>
            </w:tcMar>
          </w:tcPr>
          <w:p>
            <w:pPr>
              <w:jc w:val="left"/>
            </w:pPr>
            <w:r>
              <w:rPr>
                <w:rFonts w:ascii="Times New Roman" w:hAnsi="Times New Roman"/>
                <w:color w:val="1E293B"/>
                <w:sz w:val="20"/>
              </w:rPr>
              <w:t>Module 5: Quản lý và thống kê dành cho Ban tổ chức</w:t>
            </w:r>
          </w:p>
        </w:tc>
      </w:tr>
      <w:tr>
        <w:tc>
          <w:tcPr>
            <w:tcW w:type="dxa" w:w="3168"/>
            <w:shd w:fill="FFFFFF"/>
            <w:tcMar>
              <w:top w:w="100" w:type="dxa"/>
              <w:bottom w:w="100" w:type="dxa"/>
              <w:left w:w="140" w:type="dxa"/>
              <w:right w:w="140" w:type="dxa"/>
            </w:tcMar>
          </w:tcPr>
          <w:p>
            <w:pPr>
              <w:jc w:val="center"/>
            </w:pPr>
            <w:r>
              <w:rPr>
                <w:rFonts w:ascii="Times New Roman" w:hAnsi="Times New Roman"/>
                <w:color w:val="1E293B"/>
                <w:sz w:val="20"/>
              </w:rPr>
              <w:t>Tác nhân (Actor)</w:t>
            </w:r>
          </w:p>
        </w:tc>
        <w:tc>
          <w:tcPr>
            <w:tcW w:type="dxa" w:w="6192"/>
            <w:shd w:fill="FFFFFF"/>
            <w:tcMar>
              <w:top w:w="100" w:type="dxa"/>
              <w:bottom w:w="100" w:type="dxa"/>
              <w:left w:w="140" w:type="dxa"/>
              <w:right w:w="140" w:type="dxa"/>
            </w:tcMar>
          </w:tcPr>
          <w:p>
            <w:pPr>
              <w:jc w:val="left"/>
            </w:pPr>
            <w:r>
              <w:rPr>
                <w:rFonts w:ascii="Times New Roman" w:hAnsi="Times New Roman"/>
                <w:color w:val="1E293B"/>
                <w:sz w:val="20"/>
              </w:rPr>
              <w:t>Ban tổ chức sự kiện (Organizer), Quản trị viên (Admin)</w:t>
            </w:r>
          </w:p>
        </w:tc>
      </w:tr>
      <w:tr>
        <w:tc>
          <w:tcPr>
            <w:tcW w:type="dxa" w:w="3168"/>
            <w:shd w:fill="F8FAFC"/>
            <w:tcMar>
              <w:top w:w="100" w:type="dxa"/>
              <w:bottom w:w="100" w:type="dxa"/>
              <w:left w:w="140" w:type="dxa"/>
              <w:right w:w="140" w:type="dxa"/>
            </w:tcMar>
          </w:tcPr>
          <w:p>
            <w:pPr>
              <w:jc w:val="center"/>
            </w:pPr>
            <w:r>
              <w:rPr>
                <w:rFonts w:ascii="Times New Roman" w:hAnsi="Times New Roman"/>
                <w:color w:val="1E293B"/>
                <w:sz w:val="20"/>
              </w:rPr>
              <w:t>Mục tiêu nghiệp vụ</w:t>
            </w:r>
          </w:p>
        </w:tc>
        <w:tc>
          <w:tcPr>
            <w:tcW w:type="dxa" w:w="6192"/>
            <w:shd w:fill="F8FAFC"/>
            <w:tcMar>
              <w:top w:w="100" w:type="dxa"/>
              <w:bottom w:w="100" w:type="dxa"/>
              <w:left w:w="140" w:type="dxa"/>
              <w:right w:w="140" w:type="dxa"/>
            </w:tcMar>
          </w:tcPr>
          <w:p>
            <w:pPr>
              <w:jc w:val="left"/>
            </w:pPr>
            <w:r>
              <w:rPr>
                <w:rFonts w:ascii="Times New Roman" w:hAnsi="Times New Roman"/>
                <w:color w:val="1E293B"/>
                <w:sz w:val="20"/>
              </w:rPr>
              <w:t>Cung cấp bức tranh tài chính toàn cảnh của sự kiện: doanh thu gộp, doanh thu thuần sau thuế và phí sàn, tỷ lệ lấp đầy khán đài, giá vé bình quân và xếp hạng hiệu suất mở bán.</w:t>
            </w:r>
          </w:p>
        </w:tc>
      </w:tr>
      <w:tr>
        <w:tc>
          <w:tcPr>
            <w:tcW w:type="dxa" w:w="3168"/>
            <w:shd w:fill="FFFFFF"/>
            <w:tcMar>
              <w:top w:w="100" w:type="dxa"/>
              <w:bottom w:w="100" w:type="dxa"/>
              <w:left w:w="140" w:type="dxa"/>
              <w:right w:w="140" w:type="dxa"/>
            </w:tcMar>
          </w:tcPr>
          <w:p>
            <w:pPr>
              <w:jc w:val="center"/>
            </w:pPr>
            <w:r>
              <w:rPr>
                <w:rFonts w:ascii="Times New Roman" w:hAnsi="Times New Roman"/>
                <w:color w:val="1E293B"/>
                <w:sz w:val="20"/>
              </w:rPr>
              <w:t>Tiền điều kiện (Pre-conditions)</w:t>
            </w:r>
          </w:p>
        </w:tc>
        <w:tc>
          <w:tcPr>
            <w:tcW w:type="dxa" w:w="6192"/>
            <w:shd w:fill="FFFFFF"/>
            <w:tcMar>
              <w:top w:w="100" w:type="dxa"/>
              <w:bottom w:w="100" w:type="dxa"/>
              <w:left w:w="140" w:type="dxa"/>
              <w:right w:w="140" w:type="dxa"/>
            </w:tcMar>
          </w:tcPr>
          <w:p>
            <w:pPr>
              <w:jc w:val="left"/>
            </w:pPr>
            <w:r>
              <w:rPr>
                <w:rFonts w:ascii="Times New Roman" w:hAnsi="Times New Roman"/>
                <w:color w:val="1E293B"/>
                <w:sz w:val="20"/>
              </w:rPr>
              <w:t>1. Ban tổ chức đã đăng nhập thành công vào hệ thống.</w:t>
              <w:br/>
              <w:t>2. Sự kiện đã được cấu hình sơ đồ ghế và đã phát sinh giao dịch bán vé.</w:t>
            </w:r>
          </w:p>
        </w:tc>
      </w:tr>
      <w:tr>
        <w:tc>
          <w:tcPr>
            <w:tcW w:type="dxa" w:w="3168"/>
            <w:shd w:fill="F8FAFC"/>
            <w:tcMar>
              <w:top w:w="100" w:type="dxa"/>
              <w:bottom w:w="100" w:type="dxa"/>
              <w:left w:w="140" w:type="dxa"/>
              <w:right w:w="140" w:type="dxa"/>
            </w:tcMar>
          </w:tcPr>
          <w:p>
            <w:pPr>
              <w:jc w:val="center"/>
            </w:pPr>
            <w:r>
              <w:rPr>
                <w:rFonts w:ascii="Times New Roman" w:hAnsi="Times New Roman"/>
                <w:color w:val="1E293B"/>
                <w:sz w:val="20"/>
              </w:rPr>
              <w:t>Hậu điều kiện (Post-conditions)</w:t>
            </w:r>
          </w:p>
        </w:tc>
        <w:tc>
          <w:tcPr>
            <w:tcW w:type="dxa" w:w="6192"/>
            <w:shd w:fill="F8FAFC"/>
            <w:tcMar>
              <w:top w:w="100" w:type="dxa"/>
              <w:bottom w:w="100" w:type="dxa"/>
              <w:left w:w="140" w:type="dxa"/>
              <w:right w:w="140" w:type="dxa"/>
            </w:tcMar>
          </w:tcPr>
          <w:p>
            <w:pPr>
              <w:jc w:val="left"/>
            </w:pPr>
            <w:r>
              <w:rPr>
                <w:rFonts w:ascii="Times New Roman" w:hAnsi="Times New Roman"/>
                <w:color w:val="1E293B"/>
                <w:sz w:val="20"/>
              </w:rPr>
              <w:t>Hệ thống tổng hợp và hiển thị trực quan các chỉ số tài chính (KPIs) cùng biểu đồ phân bổ doanh thu theo từng khu vực khán đài.</w:t>
            </w:r>
          </w:p>
        </w:tc>
      </w:tr>
      <w:tr>
        <w:tc>
          <w:tcPr>
            <w:tcW w:type="dxa" w:w="3168"/>
            <w:shd w:fill="FFFFFF"/>
            <w:tcMar>
              <w:top w:w="100" w:type="dxa"/>
              <w:bottom w:w="100" w:type="dxa"/>
              <w:left w:w="140" w:type="dxa"/>
              <w:right w:w="140" w:type="dxa"/>
            </w:tcMar>
          </w:tcPr>
          <w:p>
            <w:pPr>
              <w:jc w:val="center"/>
            </w:pPr>
            <w:r>
              <w:rPr>
                <w:rFonts w:ascii="Times New Roman" w:hAnsi="Times New Roman"/>
                <w:color w:val="1E293B"/>
                <w:sz w:val="20"/>
              </w:rPr>
              <w:t>Luồng sự kiện chính (Main Flow)</w:t>
            </w:r>
          </w:p>
        </w:tc>
        <w:tc>
          <w:tcPr>
            <w:tcW w:type="dxa" w:w="6192"/>
            <w:shd w:fill="FFFFFF"/>
            <w:tcMar>
              <w:top w:w="100" w:type="dxa"/>
              <w:bottom w:w="100" w:type="dxa"/>
              <w:left w:w="140" w:type="dxa"/>
              <w:right w:w="140" w:type="dxa"/>
            </w:tcMar>
          </w:tcPr>
          <w:p>
            <w:pPr>
              <w:jc w:val="left"/>
            </w:pPr>
            <w:r>
              <w:rPr>
                <w:rFonts w:ascii="Times New Roman" w:hAnsi="Times New Roman"/>
                <w:color w:val="1E293B"/>
                <w:sz w:val="20"/>
              </w:rPr>
              <w:t>1. Ban tổ chức chọn sự kiện cần xem từ danh sách sự kiện do mình quản lý.</w:t>
              <w:br/>
              <w:t>2. Giao diện RevenueReportView gửi yêu cầu tra cứu tới RevenueReportController.</w:t>
              <w:br/>
              <w:t>3. Controller khởi tạo đối tượng RevenueReport nạp dữ liệu cấu hình vé và các giao dịch.</w:t>
              <w:br/>
              <w:t>4. RevenueReport thực hiện chuỗi phương thức tính toán nội tại: calculateGrossRevenue(), calculateNetRevenue(), calculateOccupancyRate(), evaluatePerformance().</w:t>
              <w:br/>
              <w:t>5. Controller đóng gói kết quả vào RevenueSummaryDto và trả về cho RevenueReportView.</w:t>
              <w:br/>
              <w:t>6. Giao diện kết xuất các thẻ KPI và biểu đồ phân bổ doanh thu trực quan.</w:t>
            </w:r>
          </w:p>
        </w:tc>
      </w:tr>
    </w:tbl>
    <w:p>
      <w:pPr>
        <w:spacing w:before="0" w:after="120"/>
      </w:pPr>
    </w:p>
    <w:p>
      <w:pPr>
        <w:keepNext/>
        <w:spacing w:before="160" w:after="60"/>
      </w:pPr>
      <w:r>
        <w:rPr>
          <w:rFonts w:ascii="Times New Roman" w:hAnsi="Times New Roman"/>
          <w:b/>
          <w:i/>
          <w:color w:val="334155"/>
          <w:sz w:val="23"/>
        </w:rPr>
        <w:t>b. Biểu đồ tuần tự (Sequence Diagram) thể hiện tương tác BCE</w:t>
      </w:r>
    </w:p>
    <w:p>
      <w:pPr>
        <w:spacing w:before="0" w:after="100" w:line="300" w:lineRule="auto"/>
      </w:pPr>
      <w:r>
        <w:rPr>
          <w:rFonts w:ascii="Times New Roman" w:hAnsi="Times New Roman"/>
          <w:color w:val="1E293B"/>
          <w:sz w:val="23"/>
        </w:rPr>
        <w:t>Biểu đồ tuần tự thể hiện sự tương tác mạch lạc giữa tác nhân Ban tổ chức, lớp Boundary (Giao diện), lớp Control (Điều phối) và các lớp Entity (Thực thể tính toán):</w:t>
      </w:r>
    </w:p>
    <w:p>
      <w:pPr>
        <w:keepNext/>
        <w:spacing w:before="160" w:after="40"/>
        <w:jc w:val="center"/>
      </w:pPr>
      <w:r>
        <w:drawing>
          <wp:inline xmlns:a="http://schemas.openxmlformats.org/drawingml/2006/main" xmlns:pic="http://schemas.openxmlformats.org/drawingml/2006/picture">
            <wp:extent cx="5669280" cy="3764771"/>
            <wp:docPr id="18" name="Picture 18"/>
            <wp:cNvGraphicFramePr>
              <a:graphicFrameLocks noChangeAspect="1"/>
            </wp:cNvGraphicFramePr>
            <a:graphic>
              <a:graphicData uri="http://schemas.openxmlformats.org/drawingml/2006/picture">
                <pic:pic>
                  <pic:nvPicPr>
                    <pic:cNvPr id="0" name="seq_m5_view_revenue.png"/>
                    <pic:cNvPicPr/>
                  </pic:nvPicPr>
                  <pic:blipFill>
                    <a:blip r:embed="rId26"/>
                    <a:stretch>
                      <a:fillRect/>
                    </a:stretch>
                  </pic:blipFill>
                  <pic:spPr>
                    <a:xfrm>
                      <a:off x="0" y="0"/>
                      <a:ext cx="5669280" cy="3764771"/>
                    </a:xfrm>
                    <a:prstGeom prst="rect"/>
                  </pic:spPr>
                </pic:pic>
              </a:graphicData>
            </a:graphic>
          </wp:inline>
        </w:drawing>
      </w:r>
    </w:p>
    <w:p>
      <w:pPr>
        <w:spacing w:before="40" w:after="200"/>
        <w:jc w:val="center"/>
      </w:pPr>
      <w:r>
        <w:rPr>
          <w:rFonts w:ascii="Times New Roman" w:hAnsi="Times New Roman"/>
          <w:b/>
          <w:i/>
          <w:color w:val="475569"/>
          <w:sz w:val="20"/>
        </w:rPr>
        <w:t>Hình 4.6: Biểu đồ tuần tự ca sử dụng Xem thống kê doanh thu sự kiện</w:t>
      </w:r>
    </w:p>
    <w:p>
      <w:pPr>
        <w:keepNext/>
        <w:spacing w:before="160" w:after="60"/>
      </w:pPr>
      <w:r>
        <w:rPr>
          <w:rFonts w:ascii="Times New Roman" w:hAnsi="Times New Roman"/>
          <w:b/>
          <w:i/>
          <w:color w:val="334155"/>
          <w:sz w:val="23"/>
        </w:rPr>
        <w:t>c. Biểu đồ lớp thiết kế chi tiết theo mô hình BCE &amp; DTO</w:t>
      </w:r>
    </w:p>
    <w:p>
      <w:pPr>
        <w:spacing w:before="0" w:after="100" w:line="300" w:lineRule="auto"/>
      </w:pPr>
      <w:r>
        <w:rPr>
          <w:rFonts w:ascii="Times New Roman" w:hAnsi="Times New Roman"/>
          <w:color w:val="1E293B"/>
          <w:sz w:val="23"/>
        </w:rPr>
        <w:t>Mô hình thiết kế 3 lớp (Boundary - Control - Entity) kết hợp tầng DTO làm nổi bật các phương thức tính toán nghiệp vụ trong các lớp thực thể RevenueReport và ZonePricing. Toàn bộ tên biến, kiểu dữ liệu chuẩn và phương thức tương ứng đồng nhất 100% với pha phân tích:</w:t>
      </w:r>
    </w:p>
    <w:p>
      <w:pPr>
        <w:keepNext/>
        <w:spacing w:before="160" w:after="40"/>
        <w:jc w:val="center"/>
      </w:pPr>
      <w:r>
        <w:drawing>
          <wp:inline xmlns:a="http://schemas.openxmlformats.org/drawingml/2006/main" xmlns:pic="http://schemas.openxmlformats.org/drawingml/2006/picture">
            <wp:extent cx="5669280" cy="3700158"/>
            <wp:docPr id="19" name="Picture 19"/>
            <wp:cNvGraphicFramePr>
              <a:graphicFrameLocks noChangeAspect="1"/>
            </wp:cNvGraphicFramePr>
            <a:graphic>
              <a:graphicData uri="http://schemas.openxmlformats.org/drawingml/2006/picture">
                <pic:pic>
                  <pic:nvPicPr>
                    <pic:cNvPr id="0" name="design_m5_view_revenue_detail.png"/>
                    <pic:cNvPicPr/>
                  </pic:nvPicPr>
                  <pic:blipFill>
                    <a:blip r:embed="rId27"/>
                    <a:stretch>
                      <a:fillRect/>
                    </a:stretch>
                  </pic:blipFill>
                  <pic:spPr>
                    <a:xfrm>
                      <a:off x="0" y="0"/>
                      <a:ext cx="5669280" cy="3700158"/>
                    </a:xfrm>
                    <a:prstGeom prst="rect"/>
                  </pic:spPr>
                </pic:pic>
              </a:graphicData>
            </a:graphic>
          </wp:inline>
        </w:drawing>
      </w:r>
    </w:p>
    <w:p>
      <w:pPr>
        <w:spacing w:before="40" w:after="200"/>
        <w:jc w:val="center"/>
      </w:pPr>
      <w:r>
        <w:rPr>
          <w:rFonts w:ascii="Times New Roman" w:hAnsi="Times New Roman"/>
          <w:b/>
          <w:i/>
          <w:color w:val="475569"/>
          <w:sz w:val="20"/>
        </w:rPr>
        <w:t>Hình 4.7: Biểu đồ lớp thiết kế chi tiết (BCE &amp; DTO) chức năng Thống kê doanh thu</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&amp; Tính toán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w:t>
              <w:br/>
              <w:t>(&lt;&lt;entity&gt;&gt;)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eventId: Long [FK]</w:t>
              <w:br/>
              <w:t>- calculatedAt: LocalDateTime</w:t>
              <w:br/>
              <w:t>- taxRate: double</w:t>
              <w:br/>
              <w:t>- platformFeeRate: double</w:t>
              <w:br/>
              <w:t>- totalTicketsSold: int</w:t>
              <w:br/>
              <w:t>- grossRevenue: double</w:t>
              <w:br/>
              <w:t>- netRevenue: double</w:t>
              <w:br/>
              <w:t>- occupancyRate: double</w:t>
              <w:br/>
              <w:t>- averageTicketPrice: 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calculateTotalCapacity(): int</w:t>
              <w:br/>
              <w:t>+ calculateTotalTicketsSold(): int</w:t>
              <w:br/>
              <w:t>+ calculateGrossRevenue(): double</w:t>
              <w:br/>
              <w:t>+ calculateNetRevenue(): double</w:t>
              <w:br/>
              <w:t>+ calculateOccupancyRate(): double</w:t>
              <w:br/>
              <w:t>+ calculateAverageTicketPrice(): double</w:t>
              <w:br/>
              <w:t>+ calculateZoneContribution(zoneId: Long): double</w:t>
              <w:br/>
              <w:t>+ evaluatePerformance(): PerformanceStatus</w:t>
              <w:br/>
              <w:t>+ exportExcel(): byte[]</w:t>
              <w:br/>
              <w:t>+ exportPdf(): byte[]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br/>
              <w:t>(&lt;&lt;entity&gt;&gt;)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zoneName: String</w:t>
              <w:br/>
              <w:t>- price: double [&gt;= 0]</w:t>
              <w:br/>
              <w:t>- maxQuota: int</w:t>
              <w:br/>
              <w:t>- soldCount: int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calculateZoneGross(): double</w:t>
              <w:br/>
              <w:t>+ calculateRemainingSeats(): int</w:t>
              <w:br/>
              <w:t>+ getSoldRate(): double</w:t>
              <w:br/>
              <w:t>+ isSoldOut(): boolean</w:t>
              <w:br/>
              <w:t>+ recordSale(quantity: int):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br/>
              <w:t>(&lt;&lt;entity&gt;&gt;)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showDate: LocalDate</w:t>
              <w:br/>
              <w:t>- startTime: LocalTime</w:t>
              <w:br/>
              <w:t>- endTime: LocalTime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calculateShowtimeRevenue(): double</w:t>
              <w:br/>
              <w:t>+ getSoldTicketsCount(): int</w:t>
              <w:br/>
              <w:t>+ isPublished(): boolean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br/>
              <w:t>(&lt;&lt;entity&gt;&gt;)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title: String</w:t>
              <w:br/>
              <w:t>- category: String</w:t>
              <w:br/>
              <w:t>- status: EventStatus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getTotalCapacity(): int</w:t>
              <w:br/>
              <w:t>+ getShowtimes(): List&lt;Showtime&gt;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RevenueSummaryDto</w:t>
              <w:br/>
              <w:t>(&lt;&lt;dto&gt;&gt;)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grossRevenue: double</w:t>
              <w:br/>
              <w:t>- netRevenue: double</w:t>
              <w:br/>
              <w:t>- occupancyRate: double</w:t>
              <w:br/>
              <w:t>- averagePrice: double</w:t>
              <w:br/>
              <w:t>- status: PerformanceStatus</w:t>
              <w:br/>
              <w:t>- zoneBreakdowns: List&lt;ZoneRevenueDto&gt;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getGrossRevenue(): double</w:t>
              <w:br/>
              <w:t>+ getNetRevenue(): double</w:t>
              <w:br/>
              <w:t>+ getOccupancyRate(): double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RevenueReportController</w:t>
              <w:br/>
              <w:t>(&lt;&lt;control&gt;&gt;)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reportService: ReportService</w:t>
              <w:br/>
              <w:t>- eventRepo: EventRepository</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handleViewReport(eventId: Long): RevenueSummaryDto</w:t>
              <w:br/>
              <w:t>+ calculateZoneAnalytics(eventId: Long): List&lt;ZoneRevenueDto&gt;</w:t>
              <w:br/>
              <w:t>+ formatReportData(report: RevenueReport): RevenueSummaryDto</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RevenueReportView</w:t>
              <w:br/>
              <w:t>(&lt;&lt;boundary&gt;&gt;)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eventSelector: ComboBox</w:t>
              <w:br/>
              <w:t>- kpiPanel: Panel</w:t>
              <w:br/>
              <w:t>- zoneChart: ChartView</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onSelectEvent(eventId: Long): void</w:t>
              <w:br/>
              <w:t>+ displayKPIs(dto: RevenueSummaryDto): void</w:t>
              <w:br/>
              <w:t>+ renderZoneChart(data: List&lt;ZoneRevenueDto&gt;): void</w:t>
              <w:br/>
              <w:t>+ showError(msg: String): void</w:t>
            </w:r>
          </w:p>
        </w:tc>
      </w:tr>
    </w:tbl>
    <w:p>
      <w:pPr>
        <w:spacing w:before="0" w:after="120"/>
      </w:pPr>
    </w:p>
    <w:p>
      <w:pPr>
        <w:keepNext/>
        <w:spacing w:before="160" w:after="60"/>
      </w:pPr>
      <w:r>
        <w:rPr>
          <w:rFonts w:ascii="Times New Roman" w:hAnsi="Times New Roman"/>
          <w:b/>
          <w:i/>
          <w:color w:val="334155"/>
          <w:sz w:val="23"/>
        </w:rPr>
        <w:t>d. Bảng phân tích chi tiết các phương thức tính toán (Computational Methods)</w:t>
      </w:r>
    </w:p>
    <w:p>
      <w:pPr>
        <w:spacing w:before="0" w:after="100" w:line="300" w:lineRule="auto"/>
      </w:pPr>
      <w:r>
        <w:rPr>
          <w:rFonts w:ascii="Times New Roman" w:hAnsi="Times New Roman"/>
          <w:color w:val="1E293B"/>
          <w:sz w:val="23"/>
        </w:rPr>
        <w:t>Để các lớp không bị biến thành 'cấu trúc dữ liệu thụ động' (Anemic Domain Model), toàn bộ logic tính toán tài chính được đóng gói trực tiếp vào các thực thể:</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592"/>
            <w:shd w:fill="1E3A8A"/>
            <w:tcMar>
              <w:top w:w="140" w:type="dxa"/>
              <w:bottom w:w="140" w:type="dxa"/>
              <w:left w:w="160" w:type="dxa"/>
              <w:right w:w="160" w:type="dxa"/>
            </w:tcMar>
          </w:tcPr>
          <w:p>
            <w:pPr>
              <w:jc w:val="center"/>
            </w:pPr>
            <w:r>
              <w:rPr>
                <w:rFonts w:ascii="Times New Roman" w:hAnsi="Times New Roman"/>
                <w:b/>
                <w:color w:val="FFFFFF"/>
                <w:sz w:val="21"/>
              </w:rPr>
              <w:t>Tên phương thức tính toán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Lớp sở hữu</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Kiểu trả về</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Công thức / Thuật toán tính toán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calculateTotalCapacity()</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int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Tổng sức chứa của khán đài = tổng số ghế của tất cả các phân khu (ZonePricing):</w:t>
              <w:br/>
              <w:t>TotalCapacity = sum(zone.seatCount)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calculateTotalTicketsSold()</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int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Tổng số vé thực tế đã bán thành công = tổng số vé bán ra của từng phân khu:</w:t>
              <w:br/>
              <w:t>TotalSold = sum(zone.soldCount)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calculateGrossRevenue()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Tổng doanh thu gộp = tổng tích số giữa số vé đã bán và đơn giá vé từng khu vực:</w:t>
              <w:br/>
              <w:t>GrossRevenue = sum(zone.soldCount * zone.price)</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calculateNetRevenue()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Doanh thu thuần thực nhận sau khi khấu trừ thuế VAT và phí nền tảng:</w:t>
              <w:br/>
              <w:t>NetRevenue = GrossRevenue * (1 - taxRate - platformFeeRate)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calculateOccupancyRate()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Tỷ lệ lấp đầy khán đài theo phần trăm:</w:t>
              <w:br/>
              <w:t>OccupancyRate = (TotalSold / (double) TotalCapacity) * 100.0%</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calculateAverageTicketPrice()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Giá vé bình quân trên mỗi vé bán ra:</w:t>
              <w:br/>
              <w:t>AvgPrice = TotalSold &gt; 0 ? (GrossRevenue / TotalSold) : 0.0</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calculateZoneContribution(zoneId)</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Tỷ trọng đóng góp doanh thu của một khu vực so với tổng doanh thu:</w:t>
              <w:br/>
              <w:t>Contribution = (ZoneGross / GrossRevenue) * 100.0%</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evaluatePerformance()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PerformanceStatus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Đánh giá phân loại sức mua theo thang tỷ lệ lấp đầy:</w:t>
              <w:br/>
              <w:t>- Occupancy &gt;= 85%: EXCELLENT (Cháy vé)</w:t>
              <w:br/>
              <w:t>- 70% &lt;= Occupancy &lt; 85%: GOOD (Đạt chỉ tiêu)</w:t>
              <w:br/>
              <w:t>- 50% &lt;= Occupancy &lt; 70%: AVERAGE (Hòa vốn)</w:t>
              <w:br/>
              <w:t>- Occupancy &lt; 50%: POOR (Cần giải cứu vé)</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calculateZoneGross()</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ZonePricing</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Doanh thu của riêng phân khu vé = price * soldCount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getSoldRate()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ZonePricing</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Tỷ lệ bán của riêng phân khu = (soldCount / (double) maxQuota) * 100.0%</w:t>
            </w:r>
          </w:p>
        </w:tc>
      </w:tr>
    </w:tbl>
    <w:p>
      <w:pPr>
        <w:spacing w:before="0" w:after="120"/>
      </w:pPr>
    </w:p>
    <w:p>
      <w:pPr>
        <w:keepNext/>
        <w:spacing w:before="160" w:after="60"/>
      </w:pPr>
      <w:r>
        <w:rPr>
          <w:rFonts w:ascii="Times New Roman" w:hAnsi="Times New Roman"/>
          <w:b/>
          <w:i/>
          <w:color w:val="334155"/>
          <w:sz w:val="23"/>
        </w:rPr>
        <w:t>e. Các ghi chú kiến trúc và thiết kế giải thích chi tiết sơ đồ (Architectural &amp; Design Notes)</w:t>
      </w:r>
    </w:p>
    <w:p>
      <w:pPr>
        <w:spacing w:before="0" w:after="100" w:line="300" w:lineRule="auto"/>
      </w:pPr>
      <w:r>
        <w:rPr>
          <w:rFonts w:ascii="Times New Roman" w:hAnsi="Times New Roman"/>
          <w:b/>
          <w:color w:val="0F172A"/>
          <w:sz w:val="23"/>
        </w:rPr>
        <w:t xml:space="preserve">1. Khái niệm DTO (Data Transfer Object) và lý do áp dụng: </w:t>
      </w:r>
      <w:r>
        <w:rPr>
          <w:rFonts w:ascii="Times New Roman" w:hAnsi="Times New Roman"/>
          <w:color w:val="1E293B"/>
          <w:sz w:val="23"/>
        </w:rPr>
        <w:t>Trong sơ đồ lớp thiết kế, RevenueSummaryDto (Data Transfer Object) và ZoneRevenueDto là các đối tượng truyền tải dữ liệu thuần túy (POJO) giữa tầng Điều khiển (RevenueReportController) và tầng Giao diện (RevenueReportView). Việc sử dụng DTO mang lại 3 lợi ích kiến trúc cốt lõi:</w:t>
        <w:br/>
        <w:t>1. Tính đóng gói và bảo mật (Encapsulation &amp; Security): DTO che giấu cấu trúc bảng cơ sở dữ liệu và các thông tin nghiệp vụ nội bộ nhạy cảm của Entity, không để lộ xuống tầng Presentation.</w:t>
        <w:br/>
        <w:t>2. Tối ưu hóa hiệu năng và làm phẳng dữ liệu (Flattening &amp; Performance): Thay vì truyền các đối tượng Entity phức tạp có liên kết vòng, Controller gọi các hàm tính toán của Entity, đóng gói toàn bộ kết quả đã tính toán (Gross Revenue, Net Revenue, Occupancy Rate, Performance Status) vào một đối tượng DTO phẳng, nhẹ. Giao diện người dùng (UI) chỉ việc đọc các giá trị này để hiển thị lên thẻ KPI và vẽ biểu đồ mà không cần tính toán lại.</w:t>
        <w:br/>
        <w:t>3. Giải quyết vấn đề Lazy Loading trong ORM: Khi sử dụng các framework ORM (như Hibernate/JPA), việc truy cập các thuộc tính liên kết lười ngoài phạm vi Session/Transaction dễ dẫn đến lỗi LazyInitializationException. DTO được khởi tạo bên trong ranh giới Service/Controller giải quyết triệt để lỗi này.</w:t>
      </w:r>
    </w:p>
    <w:p>
      <w:pPr>
        <w:spacing w:before="0" w:after="100" w:line="300" w:lineRule="auto"/>
      </w:pPr>
      <w:r>
        <w:rPr>
          <w:rFonts w:ascii="Times New Roman" w:hAnsi="Times New Roman"/>
          <w:b/>
          <w:color w:val="0F172A"/>
          <w:sz w:val="23"/>
        </w:rPr>
        <w:t xml:space="preserve">2. Phân tách vai trò theo mẫu thiết kế BCE (Boundary - Control - Entity): </w:t>
      </w:r>
      <w:r>
        <w:rPr>
          <w:rFonts w:ascii="Times New Roman" w:hAnsi="Times New Roman"/>
          <w:color w:val="1E293B"/>
          <w:sz w:val="23"/>
        </w:rPr>
        <w:t>Hệ thống áp dụng nghiêm ngặt mẫu phân rã trách nhiệm 3 lớp của Jacobson:</w:t>
        <w:br/>
        <w:t>• &lt;&lt;boundary&gt;&gt; (RevenueReportView): Lớp giao diện người dùng, chịu trách nhiệm nhận sự kiện tương tác (chọn sự kiện từ ComboBox) và kết xuất dữ liệu DTO lên màn hình (KPI cards, biểu đồ tròn phân khu).</w:t>
        <w:br/>
        <w:t>• &lt;&lt;control&gt;&gt; (RevenueReportController): Đóng vai trò điều phối luồng xử lý (Orchestrator). Controller không trực tiếp chứa các công thức toán học tính tiền, mà điều hướng: nhận yêu cầu từ View -&gt; nạp Entity -&gt; kích hoạt các hàm tính toán của Entity -&gt; đóng gói kết quả vào DTO -&gt; gửi trả View.</w:t>
        <w:br/>
        <w:t>• &lt;&lt;entity&gt;&gt; (RevenueReport, ZonePricing, Showtime, Event): Lớp thực thể nghiệp vụ chứa dữ liệu và trực tiếp đóng gói các thuật toán tính toán (Rich Domain Model).</w:t>
        <w:br/>
        <w:t>• &lt;&lt;enumeration&gt;&gt; (PerformanceStatus): Kiểu liệt kê định nghĩa tập hợp các giá trị đánh giá chuẩn mực (EXCELLENT, GOOD, AVERAGE, POOR).</w:t>
        <w:br/>
        <w:t>• &lt;&lt;dto&gt;&gt; (RevenueSummaryDto): Đối tượng mang dữ liệu kết quả giữa Control và Boundary.</w:t>
      </w:r>
    </w:p>
    <w:p>
      <w:pPr>
        <w:spacing w:before="0" w:after="100" w:line="300" w:lineRule="auto"/>
      </w:pPr>
      <w:r>
        <w:rPr>
          <w:rFonts w:ascii="Times New Roman" w:hAnsi="Times New Roman"/>
          <w:b/>
          <w:color w:val="0F172A"/>
          <w:sz w:val="23"/>
        </w:rPr>
        <w:t xml:space="preserve">3. Giải quyết quan hệ N-N giữa Showtime và SeatZone: </w:t>
      </w:r>
      <w:r>
        <w:rPr>
          <w:rFonts w:ascii="Times New Roman" w:hAnsi="Times New Roman"/>
          <w:color w:val="1E293B"/>
          <w:sz w:val="23"/>
        </w:rPr>
        <w:t>Mối quan hệ giữa Suất diễn (Showtime) và Phân khu ghế (SeatZone) về bản chất là quan hệ nhiều - nhiều (*..*). Tuy nhiên, tại mỗi suất diễn cụ thể, một phân khu sẽ có đơn giá vé riêng (price), chỉ tiêu phát hành riêng (maxQuota) và số vé đã bán thực tế riêng (soldCount). Do đó, lớp ZonePricing đóng vai trò là Lớp liên kết nghiệp vụ (Association Class), phân rã quan hệ *..* thành 2 quan hệ 1..* (Showtime 1 -&gt; * ZonePricing * -&gt; 1 SeatZone). Thiết kế này loại bỏ hoàn toàn sự dư thừa liên kết (Redundant Association) và phản ánh chính xác nghiệp vụ bán vé theo từng đêm diễn.</w:t>
      </w:r>
    </w:p>
    <w:p>
      <w:pPr>
        <w:spacing w:before="0" w:after="100" w:line="300" w:lineRule="auto"/>
      </w:pPr>
      <w:r>
        <w:rPr>
          <w:rFonts w:ascii="Times New Roman" w:hAnsi="Times New Roman"/>
          <w:b/>
          <w:color w:val="0F172A"/>
          <w:sz w:val="23"/>
        </w:rPr>
        <w:t xml:space="preserve">4. Nguyên lý đóng gói hành vi tính toán (Information Expert): </w:t>
      </w:r>
      <w:r>
        <w:rPr>
          <w:rFonts w:ascii="Times New Roman" w:hAnsi="Times New Roman"/>
          <w:color w:val="1E293B"/>
          <w:sz w:val="23"/>
        </w:rPr>
        <w:t>Theo nguyên lý Information Expert của GRASP, trách nhiệm tính toán phải được gán cho lớp sở hữu đầy đủ thông tin nhất để thực hiện tính toán đó. Do RevenueReport chứa tập hợp các phân khu ZonePricing và thuế phí, việc đặt các phương thức calculateGrossRevenue(), calculateNetRevenue(), calculateOccupancyRate() trực tiếp trong RevenueReport đảm bảo lớp có cả Trạng thái (State) và Hành vi (Behavior), đáp ứng tiêu chuẩn khắt khe của môn học, tránh mô hình Anemic Domain Model.</w:t>
      </w:r>
    </w:p>
    <w:p>
      <w:pPr>
        <w:keepNext/>
        <w:spacing w:before="320" w:after="120"/>
      </w:pPr>
      <w:r>
        <w:rPr>
          <w:rFonts w:ascii="Times New Roman" w:hAnsi="Times New Roman"/>
          <w:b/>
          <w:color w:val="1E3A8A"/>
          <w:sz w:val="28"/>
        </w:rPr>
        <w:t>KẾT LUẬN VÀ CAM KẾT HOÀN THÀNH</w:t>
      </w:r>
    </w:p>
    <w:p>
      <w:pPr>
        <w:spacing w:before="0" w:after="100" w:line="300" w:lineRule="auto"/>
      </w:pPr>
      <w:r>
        <w:rPr>
          <w:rFonts w:ascii="Times New Roman" w:hAnsi="Times New Roman"/>
          <w:color w:val="1E293B"/>
          <w:sz w:val="23"/>
        </w:rPr>
        <w:t>Tài liệu phân tích và thiết kế hệ thống trên đã hoàn thiện đầy đủ 4 yêu cầu kiểm tra môn học theo đúng đề cương bài tập lớn do Thầy Nguyễn Đức Hiển giao:</w:t>
      </w:r>
    </w:p>
    <w:p>
      <w:pPr>
        <w:pStyle w:val="ListBullet"/>
        <w:spacing w:before="0" w:after="60" w:line="288" w:lineRule="auto"/>
      </w:pPr>
      <w:r>
        <w:rPr>
          <w:rFonts w:ascii="Times New Roman" w:hAnsi="Times New Roman"/>
          <w:b/>
          <w:color w:val="0F172A"/>
          <w:sz w:val="22"/>
        </w:rPr>
        <w:t xml:space="preserve">1. Thông tin nhóm: </w:t>
      </w:r>
      <w:r>
        <w:rPr>
          <w:rFonts w:ascii="Times New Roman" w:hAnsi="Times New Roman"/>
          <w:color w:val="1E293B"/>
          <w:sz w:val="22"/>
        </w:rPr>
        <w:t>Đầy đủ thông tin nhóm, đề tài, phân công nhiệm vụ và phạm vi 5 module chức năng cho các thành viên.</w:t>
      </w:r>
    </w:p>
    <w:p>
      <w:pPr>
        <w:pStyle w:val="ListBullet"/>
        <w:spacing w:before="0" w:after="60" w:line="288" w:lineRule="auto"/>
      </w:pPr>
      <w:r>
        <w:rPr>
          <w:rFonts w:ascii="Times New Roman" w:hAnsi="Times New Roman"/>
          <w:b/>
          <w:color w:val="0F172A"/>
          <w:sz w:val="22"/>
        </w:rPr>
        <w:t xml:space="preserve">2. Biểu đồ Use Case: </w:t>
      </w:r>
      <w:r>
        <w:rPr>
          <w:rFonts w:ascii="Times New Roman" w:hAnsi="Times New Roman"/>
          <w:color w:val="1E293B"/>
          <w:sz w:val="22"/>
        </w:rPr>
        <w:t>Biểu đồ Use Case tổng thể toàn hệ thống và 5 biểu đồ Use Case phân rã chi tiết cho từng phân hệ kèm bảng đặc tả tóm tắt nghiệp vụ.</w:t>
      </w:r>
    </w:p>
    <w:p>
      <w:pPr>
        <w:pStyle w:val="ListBullet"/>
        <w:spacing w:before="0" w:after="60" w:line="288" w:lineRule="auto"/>
      </w:pPr>
      <w:r>
        <w:rPr>
          <w:rFonts w:ascii="Times New Roman" w:hAnsi="Times New Roman"/>
          <w:b/>
          <w:color w:val="0F172A"/>
          <w:sz w:val="22"/>
        </w:rPr>
        <w:t xml:space="preserve">3. Biểu đồ lớp phân tích: </w:t>
      </w:r>
      <w:r>
        <w:rPr>
          <w:rFonts w:ascii="Times New Roman" w:hAnsi="Times New Roman"/>
          <w:color w:val="1E293B"/>
          <w:sz w:val="22"/>
        </w:rPr>
        <w:t>Biểu đồ lớp thực thể phân tích tổng thể và 5 biểu đồ lớp thực thể phân tích phân rã theo 5 module, thể hiện đúng bản chất mô hình hóa khái niệm miền bài toán.</w:t>
      </w:r>
    </w:p>
    <w:p>
      <w:pPr>
        <w:pStyle w:val="ListBullet"/>
        <w:spacing w:before="0" w:after="60" w:line="288" w:lineRule="auto"/>
      </w:pPr>
      <w:r>
        <w:rPr>
          <w:rFonts w:ascii="Times New Roman" w:hAnsi="Times New Roman"/>
          <w:b/>
          <w:color w:val="0F172A"/>
          <w:sz w:val="22"/>
        </w:rPr>
        <w:t xml:space="preserve">4. Biểu đồ lớp thiết kế: </w:t>
      </w:r>
      <w:r>
        <w:rPr>
          <w:rFonts w:ascii="Times New Roman" w:hAnsi="Times New Roman"/>
          <w:color w:val="1E293B"/>
          <w:sz w:val="22"/>
        </w:rPr>
        <w:t>Biểu đồ lớp thực thể thiết kế tổng thể và 5 biểu đồ lớp thực thể thiết kế chi tiết theo 5 module với cấu trúc 3 ngăn chuẩn UML, kiểu dữ liệu chặt chẽ, ràng buộc khóa chính và phương thức nghiệp vụ.</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