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在头文件中定义数据类型int8, int16 ....等，来兼容不同机器默认整形长度。减少空间和时间上的浪费。头文件中包含每台机器特定的声明。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Typedef enum {PENNY, NICKEL}  money;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声明的全局变量用static修饰，可以在没有声明的情况下让你从不同的源文件访问。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全局变量和函数可以跨文件看到的。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函数形参变量和函数内部开始时定义的局部变量作用域相同，若形参和函数开始时的局部变量名字相同，将会报错（名字冲突）；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由于两个非嵌套的代码块的变量不可能同时存在，编译器可能把他们存储于同一个内存地址。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变量的存储类型决定了变量何时创建、销毁以及其生命周期。（内存、堆栈、硬件寄存器）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修改变量的存储类型并不表示修改它的作用域，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231791">
    <w:nsid w:val="5AE930AF"/>
    <w:multiLevelType w:val="singleLevel"/>
    <w:tmpl w:val="5AE930A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52317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C96678"/>
    <w:rsid w:val="2ECF55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2018-05-09T08:44:38Z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