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Intent-Aware Encryption: Context-Driven Security for Adaptive Communication Systems</w:t>
      </w:r>
    </w:p>
    <w:p>
      <w:pPr>
        <w:pStyle w:val="BodyText"/>
        <w:bidi w:val="0"/>
        <w:spacing w:lineRule="auto" w:line="276" w:before="0" w:after="140"/>
        <w:ind w:hanging="0" w:start="0"/>
        <w:jc w:val="start"/>
        <w:rPr/>
      </w:pPr>
      <w:r>
        <w:rPr/>
      </w:r>
    </w:p>
    <w:p>
      <w:pPr>
        <w:pStyle w:val="BodyText"/>
        <w:bidi w:val="0"/>
        <w:ind w:hanging="0" w:start="0"/>
        <w:jc w:val="start"/>
        <w:rPr/>
      </w:pPr>
      <w:r>
        <w:rPr/>
        <w:t>Table of Contents: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Abstract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Introduction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Motivation and Problem Statement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Problem Statement and Related 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Original Contribution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Research Questions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Paper Structure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Intent-Aware Encryption Framework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System Architecture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Mathematical and Formal Model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Algorithmic Implementation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Experimental Validation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Dataset and Preprocessing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Experimental Setup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Results</w:t>
      </w:r>
    </w:p>
    <w:p>
      <w:pPr>
        <w:pStyle w:val="BodyText"/>
        <w:numPr>
          <w:ilvl w:val="2"/>
          <w:numId w:val="3"/>
        </w:numPr>
        <w:bidi w:val="0"/>
        <w:jc w:val="start"/>
        <w:rPr/>
      </w:pPr>
      <w:r>
        <w:rPr/>
        <w:t>Operational Case Study: Single Event Walkthrough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Analysis and Interpretation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Conclusions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Summary of Contributions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Discussion and Answers to Reasearch Questions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Limitations and Future Work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Bibliography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1: Abstract</w:t>
      </w:r>
    </w:p>
    <w:p>
      <w:pPr>
        <w:pStyle w:val="BodyText"/>
        <w:numPr>
          <w:ilvl w:val="0"/>
          <w:numId w:val="0"/>
        </w:numPr>
        <w:spacing w:before="0" w:after="120"/>
        <w:ind w:hanging="0" w:start="0"/>
        <w:rPr/>
      </w:pPr>
      <w:r>
        <w:rPr/>
      </w:r>
    </w:p>
    <w:p>
      <w:pPr>
        <w:pStyle w:val="Normal"/>
        <w:numPr>
          <w:ilvl w:val="0"/>
          <w:numId w:val="0"/>
        </w:numPr>
        <w:ind w:hanging="0" w:start="0" w:end="0"/>
        <w:rPr/>
      </w:pPr>
      <w:r>
        <w:rPr/>
        <w:tab/>
        <w:t>Traditional encryption systems typically enforce a uniform security strategy regardless of operational context, resulting in unnecessary computational overhead for low-risk data and potential under-protection for critical events. To address this inefficiency, this paper proposes the Intent-Aware Encryption (IAE) framework, a modular security pipeline that dynamically adjusts encryption strength based on the inferred intent of network events. The proposed approach integrates machine-learning-driven intent classification, contextual anomaly scoring, and adaptive policy selection to optimize the balance between security and system performance.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ab/>
        <w:t>Validated on the CICIDS2017 dataset, the framework maps real-world traffic flows to semantic intents such as "emergency" or "confidential-transfer". Experimental results demonstrate that IAE policies achieve near-perfect intent classification accuracy (98-100%) and maintain high throughput (&gt;340 ops/sec), significantly outperforming simulated Attribute-Based Encryption (ABE) baselines in both latency and energy efficiency. These findings suggest that aligning cryptographic strength with operational intent offers a viable path for securing dynamic, resource-constrained environments without compromising efficiency.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>
          <w:b/>
        </w:rPr>
      </w:pPr>
      <w:r>
        <w:rPr>
          <w:b/>
        </w:rPr>
        <w:t>ACM Computing Classification System: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Security and privacy → Cryptography → Public key (asymmetric) techniques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Security and privacy → Security services → Access control</w: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>
          <w:b/>
        </w:rPr>
      </w:pPr>
      <w:r>
        <w:rPr>
          <w:b/>
        </w:rPr>
        <w:t>AMS Mathematics Subject Classification (2020):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94A60</w:t>
      </w:r>
      <w:r>
        <w:rPr/>
        <w:t>: Cryptography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68M15</w:t>
      </w:r>
      <w:r>
        <w:rPr/>
        <w:t>: Reliability, testing, and fault tolerance of networks and computer systems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68P25</w:t>
      </w:r>
      <w:r>
        <w:rPr/>
        <w:t>: Data encryption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2: Introduction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2.1 Motivation and Problem Statement</w:t>
      </w:r>
    </w:p>
    <w:p>
      <w:pPr>
        <w:pStyle w:val="BodyText"/>
        <w:ind w:hanging="0" w:start="0" w:end="0"/>
        <w:rPr/>
      </w:pPr>
      <w:r>
        <w:rPr/>
        <w:t>Encryption serves as a fundamental security mechanism across modern communication systems, ensuring confidentiality and integrity. However, traditional encryption schemes typically enforce a uniform strategy for all data flows, disregarding their specific operational context or intent. This "one-size-fits-all" approach introduces two significant limitations: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Over-protection:</w:t>
      </w:r>
      <w:r>
        <w:rPr/>
        <w:t xml:space="preserve"> Benign, low-sensitivity events are subjected to unnecessary computational load, leading to reduced throughput and higher energy consumption.</w:t>
      </w:r>
    </w:p>
    <w:p>
      <w:pPr>
        <w:pStyle w:val="Normal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Under-protection:</w:t>
      </w:r>
      <w:r>
        <w:rPr/>
        <w:t xml:space="preserve"> Critical or high-risk events may receive insufficient security, lacking the strong encryption required for forensic traceability or data immunity.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ind w:hanging="0" w:start="0" w:end="0"/>
        <w:rPr/>
      </w:pPr>
      <w:r>
        <w:rPr/>
        <w:t>In dynamic environments such as IoT and Cyber-Physical Systems (CPS), the semantic intent of a data flow can vary drastically—from routine status reports to emergency alerts—yet standard frameworks lack the mechanisms to interpret these shifts.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Recent literature explores context-aware and attribute-based encryption, but no practical systems exist that integrate </w:t>
      </w:r>
      <w:r>
        <w:rPr>
          <w:rStyle w:val="Strong"/>
        </w:rPr>
        <w:t>intent inference</w:t>
      </w:r>
      <w:r>
        <w:rPr/>
        <w:t xml:space="preserve">, </w:t>
      </w:r>
      <w:r>
        <w:rPr>
          <w:rStyle w:val="Strong"/>
        </w:rPr>
        <w:t>anomaly detection</w:t>
      </w:r>
      <w:r>
        <w:rPr/>
        <w:t xml:space="preserve">, </w:t>
      </w:r>
      <w:r>
        <w:rPr>
          <w:rStyle w:val="Strong"/>
        </w:rPr>
        <w:t>priority scoring</w:t>
      </w:r>
      <w:r>
        <w:rPr/>
        <w:t xml:space="preserve">, and </w:t>
      </w:r>
      <w:r>
        <w:rPr>
          <w:rStyle w:val="Strong"/>
        </w:rPr>
        <w:t>adaptive cryptographic policies</w:t>
      </w:r>
      <w:r>
        <w:rPr/>
        <w:t xml:space="preserve"> into a unified decision process.</w:t>
      </w:r>
    </w:p>
    <w:p>
      <w:pPr>
        <w:pStyle w:val="BodyText"/>
        <w:ind w:hanging="0" w:start="0"/>
        <w:rPr/>
      </w:pPr>
      <w:r>
        <w:rPr/>
        <w:t>Thus, the central research problem is:</w:t>
      </w:r>
    </w:p>
    <w:p>
      <w:pPr>
        <w:pStyle w:val="BlockQuotationuser"/>
        <w:spacing w:lineRule="auto" w:line="276" w:before="0" w:after="140"/>
        <w:rPr/>
      </w:pPr>
      <w:r>
        <w:rPr>
          <w:rStyle w:val="Strong"/>
        </w:rPr>
        <w:t>How can we design and evaluate a system that dynamically adapts encryption strength based on the operational intent and contextual properties of each event, optimizing both security and efficiency?</w:t>
      </w:r>
    </w:p>
    <w:p>
      <w:pPr>
        <w:pStyle w:val="BodyText"/>
        <w:ind w:hanging="0" w:start="0"/>
        <w:rPr/>
      </w:pPr>
      <w:r>
        <w:rPr/>
        <w:t>This work proposes a solution to this question through the Intent-Aware Encryption (IAE) framework.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2.2 Problem Statement and Related Work</w:t>
      </w:r>
    </w:p>
    <w:p>
      <w:pPr>
        <w:pStyle w:val="Normal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central problem addressed in this research is the inefficiency and lack of adaptability in static encryption protocols. While recent literature has explored Adaptive Context-Aware Encryption (ACE) and Attribute-Based Encryption (ABE) , these solutions often rely on static context rules or incur high computational overheads. Crucially, existing practical systems fail to integrate </w:t>
      </w:r>
      <w:r>
        <w:rPr>
          <w:rStyle w:val="Emphasis"/>
          <w:i/>
          <w:iCs w:val="false"/>
        </w:rPr>
        <w:t>intent inference</w:t>
      </w:r>
      <w:r>
        <w:rPr>
          <w:rStyle w:val="Emphasis"/>
          <w:i w:val="false"/>
          <w:iCs w:val="false"/>
        </w:rPr>
        <w:t xml:space="preserve">—the ability to determine </w:t>
      </w:r>
      <w:r>
        <w:rPr>
          <w:rStyle w:val="Emphasis"/>
          <w:i/>
          <w:iCs w:val="false"/>
        </w:rPr>
        <w:t>why</w:t>
      </w:r>
      <w:r>
        <w:rPr>
          <w:rStyle w:val="Emphasis"/>
          <w:i w:val="false"/>
          <w:iCs w:val="false"/>
        </w:rPr>
        <w:t xml:space="preserve"> an event is occurring—into the cryptographic decision process.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2.3 Original Contribution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To bridge this gap, this paper proposes the </w:t>
      </w:r>
      <w:r>
        <w:rPr>
          <w:rStyle w:val="Emphasis"/>
          <w:b/>
          <w:i w:val="false"/>
          <w:iCs w:val="false"/>
        </w:rPr>
        <w:t>Intent-Aware Encryption (IAE)</w:t>
      </w:r>
      <w:r>
        <w:rPr>
          <w:rStyle w:val="Emphasis"/>
          <w:i w:val="false"/>
          <w:iCs w:val="false"/>
        </w:rPr>
        <w:t xml:space="preserve"> framework. Unlike existing methods, IAE introduces a modular pipeline that:</w:t>
      </w:r>
    </w:p>
    <w:p>
      <w:pPr>
        <w:pStyle w:val="BodyText"/>
        <w:numPr>
          <w:ilvl w:val="0"/>
          <w:numId w:val="8"/>
        </w:numPr>
        <w:rPr/>
      </w:pPr>
      <w:r>
        <w:rPr>
          <w:rStyle w:val="Emphasis"/>
          <w:b/>
          <w:i w:val="false"/>
          <w:iCs w:val="false"/>
        </w:rPr>
        <w:t>Extracts Intent:</w:t>
      </w:r>
      <w:r>
        <w:rPr>
          <w:rStyle w:val="Emphasis"/>
          <w:i w:val="false"/>
          <w:iCs w:val="false"/>
        </w:rPr>
        <w:t xml:space="preserve"> Uses machine learning to classify network events into semantic categories (e.g., </w:t>
      </w:r>
      <w:r>
        <w:rPr>
          <w:rStyle w:val="Emphasis"/>
          <w:i/>
          <w:iCs w:val="false"/>
        </w:rPr>
        <w:t>emergency</w:t>
      </w:r>
      <w:r>
        <w:rPr>
          <w:rStyle w:val="Emphasis"/>
          <w:i w:val="false"/>
          <w:iCs w:val="false"/>
        </w:rPr>
        <w:t xml:space="preserve">, </w:t>
      </w:r>
      <w:r>
        <w:rPr>
          <w:rStyle w:val="Emphasis"/>
          <w:i/>
          <w:iCs w:val="false"/>
        </w:rPr>
        <w:t>confidential-transfer</w:t>
      </w:r>
      <w:r>
        <w:rPr>
          <w:rStyle w:val="Emphasis"/>
          <w:i w:val="false"/>
          <w:iCs w:val="false"/>
        </w:rPr>
        <w:t>).</w:t>
      </w:r>
    </w:p>
    <w:p>
      <w:pPr>
        <w:pStyle w:val="BodyText"/>
        <w:numPr>
          <w:ilvl w:val="0"/>
          <w:numId w:val="8"/>
        </w:numPr>
        <w:rPr/>
      </w:pPr>
      <w:r>
        <w:rPr>
          <w:b/>
        </w:rPr>
        <w:t>Adapts Dynamically:</w:t>
      </w:r>
      <w:r>
        <w:rPr/>
        <w:t xml:space="preserve"> autonomously switches between encryption profiles (Low, Medium, High) based on intent probability and anomaly scores.</w:t>
      </w:r>
    </w:p>
    <w:p>
      <w:pPr>
        <w:pStyle w:val="Normal"/>
        <w:numPr>
          <w:ilvl w:val="0"/>
          <w:numId w:val="8"/>
        </w:numPr>
        <w:rPr/>
      </w:pPr>
      <w:r>
        <w:rPr>
          <w:b/>
        </w:rPr>
        <w:t>Optimizes Resources:</w:t>
      </w:r>
      <w:r>
        <w:rPr/>
        <w:t xml:space="preserve"> Reduces latency and energy usage by reserving strong encryption only for high-priority or suspicious events.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2.4 Research Questions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>This study aims to answer the following research questions:</w:t>
      </w:r>
    </w:p>
    <w:p>
      <w:pPr>
        <w:pStyle w:val="BodyText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>How can operational intent be accurately inferred from network flow features and contextual data?</w:t>
      </w:r>
    </w:p>
    <w:p>
      <w:pPr>
        <w:pStyle w:val="BodyText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>To what extent can an intent-driven encryption policy reduce system latency and energy consumption compared to static or attribute-based baselines?</w:t>
      </w:r>
    </w:p>
    <w:p>
      <w:pPr>
        <w:pStyle w:val="Normal"/>
        <w:numPr>
          <w:ilvl w:val="0"/>
          <w:numId w:val="9"/>
        </w:numPr>
        <w:rPr/>
      </w:pPr>
      <w:r>
        <w:rPr>
          <w:rStyle w:val="Emphasis"/>
          <w:i w:val="false"/>
          <w:iCs w:val="false"/>
        </w:rPr>
        <w:t xml:space="preserve">Does the adaptive reduction in encryption strength compromise security coverage for critical high-risk events? 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2.5 Paper Structure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remainder of this paper is organized as follows: Section 3 details the proposed </w:t>
      </w:r>
      <w:r>
        <w:rPr>
          <w:rStyle w:val="Emphasis"/>
          <w:b/>
          <w:i w:val="false"/>
          <w:iCs w:val="false"/>
        </w:rPr>
        <w:t>Description of Original Approach</w:t>
      </w:r>
      <w:r>
        <w:rPr>
          <w:rStyle w:val="Emphasis"/>
          <w:i w:val="false"/>
          <w:iCs w:val="false"/>
        </w:rPr>
        <w:t xml:space="preserve">, including the mathematical model and system architecture. Section 4 presents the </w:t>
      </w:r>
      <w:r>
        <w:rPr>
          <w:rStyle w:val="Emphasis"/>
          <w:b/>
          <w:i w:val="false"/>
          <w:iCs w:val="false"/>
        </w:rPr>
        <w:t>Experimental Validation</w:t>
      </w:r>
      <w:r>
        <w:rPr>
          <w:rStyle w:val="Emphasis"/>
          <w:i w:val="false"/>
          <w:iCs w:val="false"/>
        </w:rPr>
        <w:t xml:space="preserve">, describing the dataset, methodology, and results. Finally, Section 5 offers </w:t>
      </w:r>
      <w:r>
        <w:rPr>
          <w:rStyle w:val="Emphasis"/>
          <w:b/>
          <w:i w:val="false"/>
          <w:iCs w:val="false"/>
        </w:rPr>
        <w:t>Conclusions</w:t>
      </w:r>
      <w:r>
        <w:rPr>
          <w:rStyle w:val="Emphasis"/>
          <w:i w:val="false"/>
          <w:iCs w:val="false"/>
        </w:rPr>
        <w:t xml:space="preserve"> and discusses future research directions.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3: Intent-Aware Encryption Framework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3.1 System Architecture</w:t>
      </w:r>
    </w:p>
    <w:p>
      <w:pPr>
        <w:pStyle w:val="BodyText"/>
        <w:ind w:hanging="0" w:start="0"/>
        <w:rPr/>
      </w:pPr>
      <w:r>
        <w:rPr/>
        <w:t>The IAE framework is designed as a modular pipeline that transforms raw network traffic into secured data flows through intelligent decision-making. Unlike static encryption workflows, IAE separates intent inference from policy enforcement, allowing for dynamic adaptation. The architecture consists of five key stages: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Data Acquisition &amp; Mapping:</w:t>
      </w:r>
      <w:r>
        <w:rPr/>
        <w:t xml:space="preserve"> Raw flow records are ingested and mapped to high-level event descriptors (e.g., flow duration, byte volume).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Feature Extraction &amp; Contextual Augmentation:</w:t>
      </w:r>
      <w:r>
        <w:rPr/>
        <w:t xml:space="preserve"> The system computes a numerical feature vector X</w:t>
      </w:r>
      <w:r>
        <w:rPr>
          <w:vertAlign w:val="subscript"/>
        </w:rPr>
        <w:t>t</w:t>
      </w:r>
      <w:r>
        <w:rPr/>
        <w:t>​ and augments it with contextual metrics, including an anomaly score derived via Isolation Forest and a device trust score.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Intent Classification:</w:t>
      </w:r>
      <w:r>
        <w:rPr/>
        <w:t xml:space="preserve"> Machine Learning classifiers (Random Forest, MLP) analyze the feature vector to output a probability distribution over defined semantic intents (e.g., </w:t>
      </w:r>
      <w:r>
        <w:rPr>
          <w:i/>
        </w:rPr>
        <w:t>emergency</w:t>
      </w:r>
      <w:r>
        <w:rPr/>
        <w:t xml:space="preserve">, </w:t>
      </w:r>
      <w:r>
        <w:rPr>
          <w:i/>
        </w:rPr>
        <w:t>confidential-transfer</w:t>
      </w:r>
      <w:r>
        <w:rPr/>
        <w:t xml:space="preserve">, </w:t>
      </w:r>
      <w:r>
        <w:rPr>
          <w:i/>
        </w:rPr>
        <w:t>routine-report</w:t>
      </w:r>
      <w:r>
        <w:rPr/>
        <w:t>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Policy Engine:</w:t>
      </w:r>
      <w:r>
        <w:rPr/>
        <w:t xml:space="preserve"> An adaptive policy evaluates the predicted intent probabilities alongside contextual thresholds to select the optimal encryption level (High, Medium, or Low).</w:t>
      </w:r>
    </w:p>
    <w:p>
      <w:pPr>
        <w:pStyle w:val="BodyText"/>
        <w:numPr>
          <w:ilvl w:val="0"/>
          <w:numId w:val="10"/>
        </w:numPr>
        <w:rPr/>
      </w:pPr>
      <w:r>
        <w:rPr>
          <w:b/>
        </w:rPr>
        <w:t>Encryption Execution:</w:t>
      </w:r>
      <w:r>
        <w:rPr/>
        <w:t xml:space="preserve"> The selected cryptographic profile is applied to the data payload, optimizing for latency and energy without compromising the required security level.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3.2 Mathematical and Formal Model</w:t>
      </w:r>
    </w:p>
    <w:p>
      <w:pPr>
        <w:pStyle w:val="BodyText"/>
        <w:ind w:hanging="0" w:start="0" w:end="0"/>
        <w:rPr/>
      </w:pPr>
      <w:r>
        <w:rPr/>
        <w:tab/>
        <w:t xml:space="preserve">To formally define the adaptive behavior, we model an event Et​ at time t as a tuple containing context, metadata, behavioral features, and the intent label: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E</m:t>
              </m:r>
            </m:e>
            <m:sub>
              <m:r>
                <m:t xml:space="preserve">t</m:t>
              </m:r>
            </m:sub>
          </m:sSub>
          <m:r>
            <m:t xml:space="preserve">=</m:t>
          </m:r>
          <m:r>
            <m:t xml:space="preserve">{</m:t>
          </m:r>
          <m:sSub>
            <m:e>
              <m:r>
                <m:t xml:space="preserve">C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M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X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I</m:t>
              </m:r>
            </m:e>
            <m:sub>
              <m:r>
                <m:t xml:space="preserve">t</m:t>
              </m:r>
            </m:sub>
          </m:sSub>
          <m:r>
            <m:t xml:space="preserve">}</m:t>
          </m:r>
        </m:oMath>
      </m:oMathPara>
    </w:p>
    <w:p>
      <w:pPr>
        <w:pStyle w:val="BodyText"/>
        <w:ind w:hanging="0" w:start="0"/>
        <w:rPr/>
      </w:pPr>
      <w:r>
        <w:rPr/>
        <w:t xml:space="preserve">The core of the framework is the </w:t>
      </w:r>
      <w:r>
        <w:rPr>
          <w:b/>
        </w:rPr>
        <w:t>decision policy</w:t>
      </w:r>
      <w:r>
        <w:rPr/>
        <w:t xml:space="preserve"> π, which maps the inferred intent probability and context to an encryption action </w:t>
      </w: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t</m:t>
            </m:r>
          </m:sub>
        </m:sSub>
        <m:r>
          <m:t xml:space="preserve">∈</m:t>
        </m:r>
        <m:r>
          <m:t xml:space="preserve">{</m:t>
        </m:r>
        <m:r>
          <m:t xml:space="preserve">High</m:t>
        </m:r>
        <m:r>
          <m:t xml:space="preserve">,</m:t>
        </m:r>
        <m:r>
          <m:t xml:space="preserve">Medium</m:t>
        </m:r>
        <m:r>
          <m:t xml:space="preserve">,</m:t>
        </m:r>
        <m:r>
          <m:t xml:space="preserve">Low</m:t>
        </m:r>
        <m:r>
          <m:t xml:space="preserve">}</m:t>
        </m:r>
      </m:oMath>
      <w:r>
        <w:rPr/>
        <w:t xml:space="preserve">. Let </w:t>
      </w:r>
      <w:r>
        <w:rPr>
          <w:i/>
          <w:iCs/>
        </w:rPr>
        <w:t>p</w:t>
      </w:r>
      <w:r>
        <w:rPr>
          <w:i/>
          <w:iCs/>
          <w:vertAlign w:val="subscript"/>
        </w:rPr>
        <w:t>ic</w:t>
      </w:r>
      <w:r>
        <w:rPr/>
        <w:t xml:space="preserve"> be the classifier probability for intent class </w:t>
      </w:r>
      <w:r>
        <w:rPr>
          <w:i/>
          <w:iCs/>
        </w:rPr>
        <w:t>c</w:t>
      </w:r>
      <w:r>
        <w:rPr/>
        <w:t xml:space="preserve">, </w:t>
      </w:r>
      <w:r>
        <w:rPr>
          <w:i/>
          <w:iCs/>
        </w:rPr>
        <w:t>a</w:t>
      </w:r>
      <w:r>
        <w:rPr>
          <w:i/>
          <w:iCs/>
          <w:vertAlign w:val="subscript"/>
        </w:rPr>
        <w:t>i</w:t>
      </w:r>
      <w:r>
        <w:rPr/>
        <w:t xml:space="preserve">​ the anomaly score, and </w:t>
      </w:r>
      <w:r>
        <w:rPr>
          <w:i/>
          <w:iCs/>
        </w:rPr>
        <w:t>q</w:t>
      </w:r>
      <w:r>
        <w:rPr>
          <w:i/>
          <w:iCs/>
          <w:vertAlign w:val="subscript"/>
        </w:rPr>
        <w:t>i</w:t>
      </w:r>
      <w:r>
        <w:rPr>
          <w:vertAlign w:val="subscript"/>
        </w:rPr>
        <w:t>​</w:t>
      </w:r>
      <w:r>
        <w:rPr/>
        <w:t xml:space="preserve"> the priority score.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>The adaptive policy function is defined as follows:</w:t>
      </w:r>
    </w:p>
    <w:p>
      <w:pPr>
        <w:pStyle w:val="BodyText"/>
        <w:ind w:hanging="0" w:start="0"/>
        <w:rPr/>
      </w:pPr>
      <w:r>
        <w:rPr/>
        <w:t>For: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x</m:t>
            </m:r>
          </m:e>
          <m:sub>
            <m:r>
              <m:t xml:space="preserve">i</m:t>
            </m:r>
          </m:sub>
        </m:sSub>
      </m:oMath>
      <w:r>
        <w:rPr/>
        <w:t>= feature vector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i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/>
        <w:t xml:space="preserve"> </w:t>
      </w:r>
      <w:r>
        <w:rPr/>
        <w:t>= classifier probability for class 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i</m:t>
            </m:r>
          </m:sub>
        </m:sSub>
      </m:oMath>
      <w:r>
        <w:rPr/>
        <w:t xml:space="preserve">​ </w:t>
      </w:r>
      <w:r>
        <w:rPr/>
        <w:t>= anomaly score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s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sensitivity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q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priority score</w:t>
      </w:r>
    </w:p>
    <w:p>
      <w:pPr>
        <w:pStyle w:val="BodyText"/>
        <w:ind w:hanging="0" w:start="0"/>
        <w:rPr/>
      </w:pPr>
      <w:r>
        <w:rPr/>
        <w:t>The policy function is: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π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</m:e>
          </m:d>
          <m:r>
            <m:t xml:space="preserve">=</m:t>
          </m:r>
          <m:d>
            <m:dPr>
              <m:begChr m:val="{"/>
              <m:endChr m:val="}"/>
            </m:dPr>
            <m:e>
              <m:eqArr>
                <m:e>
                  <m:r>
                    <m:t xml:space="preserve">High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emergency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e</m:t>
                      </m:r>
                    </m:sub>
                  </m:sSub>
                  <m:r>
                    <m:t xml:space="preserve">∨</m:t>
                  </m:r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≥</m:t>
                  </m:r>
                  <m:sSub>
                    <m:e>
                      <m:r>
                        <m:t xml:space="preserve">τ</m:t>
                      </m:r>
                    </m:e>
                    <m:sub>
                      <m:r>
                        <m:t xml:space="preserve">a</m:t>
                      </m:r>
                    </m:sub>
                  </m:sSub>
                </m:e>
                <m:e>
                  <m:r>
                    <m:t xml:space="preserve">Medium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confidential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∨</m:t>
                  </m:r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m:t xml:space="preserve">q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≥</m:t>
                      </m:r>
                      <m:sSub>
                        <m:e>
                          <m:r>
                            <m:t xml:space="preserve">τ</m:t>
                          </m:r>
                        </m:e>
                        <m:sub>
                          <m:r>
                            <m:t xml:space="preserve">q</m:t>
                          </m:r>
                        </m:sub>
                      </m:sSub>
                      <m:r>
                        <m:t xml:space="preserve">∧</m:t>
                      </m:r>
                      <m:sSub>
                        <m:e>
                          <m:r>
                            <m:t xml:space="preserve">s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≠</m:t>
                      </m:r>
                      <m:r>
                        <m:t xml:space="preserve">high</m:t>
                      </m:r>
                    </m:e>
                  </m:d>
                </m:e>
                <m:e>
                  <m:r>
                    <m:t xml:space="preserve">Low</m:t>
                  </m:r>
                  <m:r>
                    <m:t xml:space="preserve">,</m:t>
                  </m:r>
                  <m:r>
                    <m:t xml:space="preserve">otherwise</m:t>
                  </m:r>
                </m:e>
              </m:eqArr>
            </m:e>
          </m:d>
        </m:oMath>
      </m:oMathPara>
    </w:p>
    <w:p>
      <w:pPr>
        <w:pStyle w:val="BodyText"/>
        <w:ind w:hanging="0" w:start="0"/>
        <w:rPr/>
      </w:pPr>
      <w:r>
        <w:rPr/>
        <w:t xml:space="preserve">Where </w:t>
      </w:r>
      <w:r>
        <w:rPr>
          <w:i/>
          <w:iCs/>
        </w:rPr>
        <w:t>θ</w:t>
      </w:r>
      <w:r>
        <w:rPr/>
        <w:t xml:space="preserve"> represents probability thresholds and </w:t>
      </w:r>
      <w:r>
        <w:rPr>
          <w:i/>
          <w:iCs/>
        </w:rPr>
        <w:t>τ</w:t>
      </w:r>
      <w:r>
        <w:rPr/>
        <w:t xml:space="preserve"> represents contextual thresholds (e.g., for anomaly or priority).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 xml:space="preserve">The objective of this policy is to minimize a cost function that balances system performance with security quality: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Cost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;</m:t>
              </m:r>
              <m:r>
                <m:t xml:space="preserve">I</m:t>
              </m:r>
              <m:r>
                <m:t xml:space="preserve">,</m:t>
              </m:r>
              <m:r>
                <m:t xml:space="preserve">C</m:t>
              </m:r>
            </m:e>
          </m:d>
          <m:r>
            <m:t xml:space="preserve">=</m:t>
          </m:r>
          <m:r>
            <m:t xml:space="preserve">α</m:t>
          </m:r>
          <m:r>
            <m:t xml:space="preserve">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β</m:t>
          </m:r>
          <m:r>
            <m:t xml:space="preserve">E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δ</m:t>
          </m:r>
          <m:d>
            <m:dPr>
              <m:begChr m:val="("/>
              <m:endChr m:val=")"/>
            </m:dPr>
            <m:e>
              <m:r>
                <m:t xml:space="preserve">1</m:t>
              </m:r>
              <m:r>
                <m:t xml:space="preserve">−</m:t>
              </m:r>
              <m:r>
                <m:t xml:space="preserve">Q</m:t>
              </m:r>
              <m:d>
                <m:dPr>
                  <m:begChr m:val="("/>
                  <m:endChr m:val=")"/>
                </m:dPr>
                <m:e>
                  <m:r>
                    <m:t xml:space="preserve">a</m:t>
                  </m:r>
                  <m:r>
                    <m:t xml:space="preserve">,</m:t>
                  </m:r>
                  <m:r>
                    <m:t xml:space="preserve">I</m:t>
                  </m:r>
                </m:e>
              </m:d>
            </m:e>
          </m:d>
        </m:oMath>
      </m:oMathPara>
    </w:p>
    <w:p>
      <w:pPr>
        <w:pStyle w:val="BodyText"/>
        <w:ind w:hanging="0" w:start="0" w:end="0"/>
        <w:rPr/>
      </w:pPr>
      <w:r>
        <w:rPr/>
        <w:t xml:space="preserve">Where </w:t>
      </w:r>
      <w:r>
        <w:rPr>
          <w:i/>
          <w:iCs/>
        </w:rPr>
        <w:t xml:space="preserve">T(a,s) </w:t>
      </w:r>
      <w:r>
        <w:rPr/>
        <w:t xml:space="preserve">represents latency, </w:t>
      </w:r>
      <w:r>
        <w:rPr>
          <w:i/>
          <w:iCs/>
        </w:rPr>
        <w:t>E(a,s)</w:t>
      </w:r>
      <w:r>
        <w:rPr/>
        <w:t xml:space="preserve"> represents energy consumption, and </w:t>
      </w:r>
      <w:r>
        <w:rPr>
          <w:i/>
          <w:iCs/>
        </w:rPr>
        <w:t>Q(a,I)</w:t>
      </w:r>
      <w:r>
        <w:rPr/>
        <w:t xml:space="preserve"> quantifies the security quality relative to the true intent.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 w:end="0"/>
        <w:rPr/>
      </w:pPr>
      <w:r>
        <w:rPr>
          <w:b/>
        </w:rPr>
        <w:t>Energy Estimation Model:</w:t>
      </w:r>
      <w:r>
        <w:rPr/>
        <w:t xml:space="preserve"> To quantify the energy impact of cryptographic operations, we utilize a CPU-weighted time model. The energy cost E for a single event is estimated as: </w:t>
      </w:r>
    </w:p>
    <w:p>
      <w:pPr>
        <w:pStyle w:val="BodyText"/>
        <w:ind w:hanging="0" w:start="0" w:end="0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E</m:t>
          </m:r>
          <m:r>
            <m:t xml:space="preserve">=</m:t>
          </m:r>
          <m:sSub>
            <m:e>
              <m:r>
                <m:t xml:space="preserve">t</m:t>
              </m:r>
            </m:e>
            <m:sub>
              <m:r>
                <m:t xml:space="preserve">elapsed</m:t>
              </m:r>
            </m:sub>
          </m:sSub>
          <m:r>
            <m:t xml:space="preserve">×</m:t>
          </m:r>
          <m:sSub>
            <m:e>
              <m:r>
                <m:t xml:space="preserve">γ</m:t>
              </m:r>
            </m:e>
            <m:sub>
              <m:r>
                <m:t xml:space="preserve">profile</m:t>
              </m:r>
            </m:sub>
          </m:sSub>
          <m:r>
            <m:t xml:space="preserve">×</m:t>
          </m:r>
          <m:sSub>
            <m:e>
              <m:r>
                <m:t xml:space="preserve">P</m:t>
              </m:r>
            </m:e>
            <m:sub>
              <m:r>
                <m:t xml:space="preserve">ref</m:t>
              </m:r>
            </m:sub>
          </m:sSub>
        </m:oMath>
      </m:oMathPara>
    </w:p>
    <w:p>
      <w:pPr>
        <w:pStyle w:val="BodyText"/>
        <w:ind w:hanging="0" w:start="0" w:end="0"/>
        <w:rPr/>
      </w:pPr>
      <w:r>
        <w:rPr/>
        <w:t>Where t</w:t>
      </w:r>
      <w:r>
        <w:rPr>
          <w:vertAlign w:val="subscript"/>
        </w:rPr>
        <w:t>elapsed</w:t>
      </w:r>
      <w:r>
        <w:rPr/>
        <w:t>​ is the measured encryption time, γ</w:t>
      </w:r>
      <w:r>
        <w:rPr>
          <w:vertAlign w:val="subscript"/>
        </w:rPr>
        <w:t>profile​</w:t>
      </w:r>
      <w:r>
        <w:rPr/>
        <w:t xml:space="preserve"> is the CPU load coefficient specific to the encryption algorithm (e.g., γ≈1.5 for RSA-2048 vs γ≈0.8 for AES-128), and P</w:t>
      </w:r>
      <w:r>
        <w:rPr>
          <w:vertAlign w:val="subscript"/>
        </w:rPr>
        <w:t>ref​</w:t>
      </w:r>
      <w:r>
        <w:rPr/>
        <w:t xml:space="preserve"> is the reference power unit per millisecond. This model ensures that "High" security profiles are penalized not just for latency, but for their computational intensity.</w:t>
      </w:r>
    </w:p>
    <w:p>
      <w:pPr>
        <w:pStyle w:val="BodyText"/>
        <w:ind w:hanging="0" w:start="0" w:end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3.3 Algorithmic Implementation</w:t>
      </w:r>
    </w:p>
    <w:p>
      <w:pPr>
        <w:pStyle w:val="BodyText"/>
        <w:ind w:hanging="0" w:start="0"/>
        <w:rPr/>
      </w:pPr>
      <w:r>
        <w:rPr/>
        <w:tab/>
        <w:t xml:space="preserve">The intent classification relies on supervised learning algorithms. The system utilizes a </w:t>
      </w:r>
      <w:r>
        <w:rPr>
          <w:b/>
        </w:rPr>
        <w:t>Random Forest</w:t>
      </w:r>
      <w:r>
        <w:rPr/>
        <w:t xml:space="preserve"> classifier as the primary model due to its robustness in handling high-dimensional network feature sets, alongside </w:t>
      </w:r>
      <w:r>
        <w:rPr>
          <w:b/>
        </w:rPr>
        <w:t>Logistic Regression</w:t>
      </w:r>
      <w:r>
        <w:rPr/>
        <w:t xml:space="preserve"> and </w:t>
      </w:r>
      <w:r>
        <w:rPr>
          <w:b/>
        </w:rPr>
        <w:t>Multi-Layer Perceptrons (MLP)</w:t>
      </w:r>
      <w:r>
        <w:rPr/>
        <w:t xml:space="preserve"> for comparative validation. The anomaly detection component utilizes an </w:t>
      </w:r>
      <w:r>
        <w:rPr>
          <w:b/>
        </w:rPr>
        <w:t>Isolation Forest</w:t>
      </w:r>
      <w:r>
        <w:rPr/>
        <w:t xml:space="preserve"> algorithm to identifying outliers in traffic flow that may indicate malicious activity regardless of the specific semantic intent.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4: Experimental Validation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4.1 Dataset and Preprocessing</w:t>
      </w:r>
    </w:p>
    <w:p>
      <w:pPr>
        <w:pStyle w:val="Normal"/>
        <w:ind w:hanging="0" w:start="0" w:end="0"/>
        <w:rPr/>
      </w:pPr>
      <w:r>
        <w:rPr/>
        <w:t xml:space="preserve">o validate the proposed framework, we conducted a case study using a subset of the </w:t>
      </w:r>
      <w:r>
        <w:rPr>
          <w:b/>
        </w:rPr>
        <w:t>CICIDS2017</w:t>
      </w:r>
      <w:r>
        <w:rPr/>
        <w:t xml:space="preserve"> dataset, which provides real-world network traffic flows containing both benign and attack behaviors. The data acquisition process involved the following steps: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Data Cleaning:</w:t>
      </w:r>
      <w:r>
        <w:rPr/>
        <w:t xml:space="preserve"> Raw CSV flow records were loaded and cleaned to remove incomplete entries.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Intent Mapping:</w:t>
      </w:r>
      <w:r>
        <w:rPr/>
        <w:t xml:space="preserve"> We mapped the original dataset labels to a five-category semantic taxonomy to simulate operational intent: </w:t>
      </w:r>
      <w:r>
        <w:rPr>
          <w:i/>
        </w:rPr>
        <w:t>emergency, confidential-transfer, routine-report, diagnostic,</w:t>
      </w:r>
      <w:r>
        <w:rPr/>
        <w:t xml:space="preserve"> and </w:t>
      </w:r>
      <w:r>
        <w:rPr>
          <w:i/>
        </w:rPr>
        <w:t>maintenance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rPr/>
      </w:pPr>
      <w:r>
        <w:rPr>
          <w:b/>
        </w:rPr>
        <w:t>Feature Engineering:</w:t>
      </w:r>
      <w:r>
        <w:rPr/>
        <w:t xml:space="preserve"> Numeric features were standardized using a </w:t>
      </w:r>
      <w:r>
        <w:rPr>
          <w:rStyle w:val="SourceText"/>
        </w:rPr>
        <w:t>StandardScaler</w:t>
      </w:r>
      <w:r>
        <w:rPr/>
        <w:t xml:space="preserve"> to ensure homogeneous inputs for the machine learning models. Additionally, contextual metrics such as </w:t>
      </w:r>
      <w:r>
        <w:rPr>
          <w:rStyle w:val="SourceText"/>
        </w:rPr>
        <w:t>anomaly_score</w:t>
      </w:r>
      <w:r>
        <w:rPr/>
        <w:t xml:space="preserve"> (computed via Isolation Forest), </w:t>
      </w:r>
      <w:r>
        <w:rPr>
          <w:rStyle w:val="SourceText"/>
        </w:rPr>
        <w:t>priority_score</w:t>
      </w:r>
      <w:r>
        <w:rPr/>
        <w:t xml:space="preserve">, and </w:t>
      </w:r>
      <w:r>
        <w:rPr>
          <w:rStyle w:val="SourceText"/>
        </w:rPr>
        <w:t>device_trust</w:t>
      </w:r>
      <w:r>
        <w:rPr/>
        <w:t xml:space="preserve"> were derived to support policy decisions.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4.2 Experimental Setup</w:t>
      </w:r>
    </w:p>
    <w:p>
      <w:pPr>
        <w:pStyle w:val="BodyText"/>
        <w:ind w:hanging="0" w:start="0"/>
        <w:rPr/>
      </w:pPr>
      <w:r>
        <w:rPr/>
        <w:t>The experiments evaluated the performance of the Intent-Aware Encryption (IAE) framework against traditional and baseline encryption strategies.</w:t>
      </w:r>
    </w:p>
    <w:p>
      <w:pPr>
        <w:pStyle w:val="Normal"/>
        <w:numPr>
          <w:ilvl w:val="0"/>
          <w:numId w:val="12"/>
        </w:numPr>
        <w:rPr/>
      </w:pPr>
      <w:r>
        <w:rPr>
          <w:b/>
        </w:rPr>
        <w:t>Classifiers:</w:t>
      </w:r>
      <w:r>
        <w:rPr/>
        <w:t xml:space="preserve"> Three machine learning models were trained to predict intent: Random Forest (RF), Logistic Regression (LR), and Multi-Layer Perceptron (MLP).</w:t>
      </w:r>
    </w:p>
    <w:p>
      <w:pPr>
        <w:pStyle w:val="Normal"/>
        <w:numPr>
          <w:ilvl w:val="0"/>
          <w:numId w:val="12"/>
        </w:numPr>
        <w:rPr/>
      </w:pPr>
      <w:r>
        <w:rPr/>
        <w:t>Policies Compared: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STATIC_STRONG:</w:t>
      </w:r>
      <w:r>
        <w:rPr/>
        <w:t xml:space="preserve"> Fixed high-strength encryption (baseline for maximum security/lowest efficiency).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CONTEXT_ONLY:</w:t>
      </w:r>
      <w:r>
        <w:rPr/>
        <w:t xml:space="preserve"> Adapts based solely on anomaly and priority scores.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ABE_SIM:</w:t>
      </w:r>
      <w:r>
        <w:rPr/>
        <w:t xml:space="preserve"> A simulation of Attribute-Based Encryption (high overhead).</w:t>
      </w:r>
    </w:p>
    <w:p>
      <w:pPr>
        <w:pStyle w:val="Normal"/>
        <w:numPr>
          <w:ilvl w:val="1"/>
          <w:numId w:val="12"/>
        </w:numPr>
        <w:rPr/>
      </w:pPr>
      <w:r>
        <w:rPr>
          <w:b/>
        </w:rPr>
        <w:t>IAE Policies (RF/LR/MLP):</w:t>
      </w:r>
      <w:r>
        <w:rPr/>
        <w:t xml:space="preserve"> The proposed adaptive policies driven by ML intent classification.</w:t>
      </w:r>
    </w:p>
    <w:p>
      <w:pPr>
        <w:pStyle w:val="Normal"/>
        <w:numPr>
          <w:ilvl w:val="0"/>
          <w:numId w:val="12"/>
        </w:numPr>
        <w:rPr/>
      </w:pPr>
      <w:r>
        <w:rPr>
          <w:b/>
        </w:rPr>
        <w:t>Sampling:</w:t>
      </w:r>
      <w:r>
        <w:rPr/>
        <w:t xml:space="preserve"> Evaluation was performed on 200 randomly sampled events, with each policy executed 30 times per event to ensure statistical reliability.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4.3 Results</w:t>
      </w:r>
    </w:p>
    <w:p>
      <w:pPr>
        <w:pStyle w:val="BodyText"/>
        <w:ind w:hanging="0" w:start="0"/>
        <w:rPr/>
      </w:pPr>
      <w:r>
        <w:rPr/>
        <w:t>The experimental results demonstrate a significant performance advantage for the IAE framework compared to static and attribute-based baselines. Key metrics recorded include average latency, energy consumption units, and throughput (operations per second).</w:t>
      </w:r>
    </w:p>
    <w:tbl>
      <w:tblPr>
        <w:tblW w:w="5000" w:type="pct"/>
        <w:jc w:val="start"/>
        <w:tblInd w:w="-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87"/>
        <w:gridCol w:w="1640"/>
        <w:gridCol w:w="2349"/>
        <w:gridCol w:w="2002"/>
      </w:tblGrid>
      <w:tr>
        <w:trPr/>
        <w:tc>
          <w:tcPr>
            <w:tcW w:w="1994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Policy</w:t>
            </w:r>
          </w:p>
        </w:tc>
        <w:tc>
          <w:tcPr>
            <w:tcW w:w="1987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Latency (ms)</w:t>
            </w:r>
          </w:p>
        </w:tc>
        <w:tc>
          <w:tcPr>
            <w:tcW w:w="164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Energy</w:t>
            </w:r>
          </w:p>
        </w:tc>
        <w:tc>
          <w:tcPr>
            <w:tcW w:w="2349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Throughput (ops/sec)</w:t>
            </w:r>
          </w:p>
        </w:tc>
        <w:tc>
          <w:tcPr>
            <w:tcW w:w="2002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Classifier Accuracy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STATIC_STRONG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7.38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0.0148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135.49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CONTEXT_ONLY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2.40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0.0021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416.52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RULE_BASED_INTENT_MAPPING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341.18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ABE_SIM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20.38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0.1223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49.07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IAE_RF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340.78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IAE_LR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2.83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0.0032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353.02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0.98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IAE_MLP</w:t>
            </w:r>
          </w:p>
        </w:tc>
        <w:tc>
          <w:tcPr>
            <w:tcW w:w="1987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4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4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341.35</w:t>
            </w:r>
          </w:p>
        </w:tc>
        <w:tc>
          <w:tcPr>
            <w:tcW w:w="2002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</w:tbl>
    <w:p>
      <w:pPr>
        <w:pStyle w:val="Normal"/>
        <w:ind w:hanging="0" w:start="0"/>
        <w:rPr/>
      </w:pPr>
      <w:r>
        <w:rPr/>
      </w:r>
    </w:p>
    <w:p>
      <w:pPr>
        <w:pStyle w:val="Normal"/>
        <w:ind w:hanging="0" w:start="0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bothSides"/>
            <wp:docPr id="1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3799205</wp:posOffset>
            </wp:positionV>
            <wp:extent cx="6332220" cy="3799205"/>
            <wp:effectExtent l="0" t="0" r="0" b="0"/>
            <wp:wrapSquare wrapText="largest"/>
            <wp:docPr id="2" name="Image2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largest"/>
            <wp:docPr id="3" name="Image3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3799205</wp:posOffset>
            </wp:positionV>
            <wp:extent cx="6332220" cy="379920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4.3.</w:t>
      </w:r>
      <w:r>
        <w:rPr/>
        <w:t>1 Operational Case Study: Single Event Walkthrough</w:t>
      </w:r>
    </w:p>
    <w:p>
      <w:pPr>
        <w:pStyle w:val="BodyText"/>
        <w:ind w:hanging="0" w:start="0"/>
        <w:rPr/>
      </w:pPr>
      <w:r>
        <w:rPr/>
        <w:t>To validate the pipeline logic, we trace a single high-risk event from the test set (Event ID: #1042):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Input:</w:t>
      </w:r>
      <w:r>
        <w:rPr/>
        <w:t xml:space="preserve"> A flow is detected with </w:t>
      </w:r>
      <w:r>
        <w:rPr>
          <w:rStyle w:val="SourceText"/>
        </w:rPr>
        <w:t>flow_duration=1150ms</w:t>
      </w:r>
      <w:r>
        <w:rPr/>
        <w:t xml:space="preserve"> and </w:t>
      </w:r>
      <w:r>
        <w:rPr>
          <w:rStyle w:val="SourceText"/>
        </w:rPr>
        <w:t>total_packets=8</w:t>
      </w:r>
      <w:r>
        <w:rPr/>
        <w:t>, labeled initially as 'DoS Hulk'.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Context Analysis:</w:t>
      </w:r>
      <w:r>
        <w:rPr/>
        <w:t xml:space="preserve"> The system computes an </w:t>
      </w:r>
      <w:r>
        <w:rPr>
          <w:rStyle w:val="SourceText"/>
        </w:rPr>
        <w:t>anomaly_score</w:t>
      </w:r>
      <w:r>
        <w:rPr/>
        <w:t xml:space="preserve"> of </w:t>
      </w:r>
      <w:r>
        <w:rPr>
          <w:b/>
        </w:rPr>
        <w:t>0.72</w:t>
      </w:r>
      <w:r>
        <w:rPr/>
        <w:t xml:space="preserve"> (High) and a </w:t>
      </w:r>
      <w:r>
        <w:rPr>
          <w:rStyle w:val="SourceText"/>
        </w:rPr>
        <w:t>trust_score</w:t>
      </w:r>
      <w:r>
        <w:rPr/>
        <w:t xml:space="preserve"> of </w:t>
      </w:r>
      <w:r>
        <w:rPr>
          <w:b/>
        </w:rPr>
        <w:t>0.4</w:t>
      </w:r>
      <w:r>
        <w:rPr/>
        <w:t xml:space="preserve"> (Low).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Intent Inference:</w:t>
      </w:r>
      <w:r>
        <w:rPr/>
        <w:t xml:space="preserve"> The Random Forest classifier analyzes the feature vector </w:t>
      </w:r>
      <w:r>
        <w:rPr>
          <w:sz w:val="30"/>
          <w:szCs w:val="30"/>
        </w:rPr>
        <w:t>X</w:t>
      </w:r>
      <w:r>
        <w:rPr>
          <w:sz w:val="30"/>
          <w:szCs w:val="30"/>
          <w:vertAlign w:val="subscript"/>
        </w:rPr>
        <w:t>t​</w:t>
      </w:r>
      <w:r>
        <w:rPr>
          <w:vertAlign w:val="subscript"/>
        </w:rPr>
        <w:t xml:space="preserve"> </w:t>
      </w:r>
      <w:r>
        <w:rPr/>
        <w:t xml:space="preserve">and predicts the </w:t>
      </w:r>
      <w:r>
        <w:rPr>
          <w:b/>
        </w:rPr>
        <w:t>"Emergency"</w:t>
      </w:r>
      <w:r>
        <w:rPr/>
        <w:t xml:space="preserve"> intent with a confidence probability of </w:t>
      </w:r>
      <w:r>
        <w:rPr>
          <w:b/>
        </w:rPr>
        <w:t>99.2%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Decision Policy:</w:t>
      </w:r>
      <w:r>
        <w:rPr/>
        <w:t xml:space="preserve"> The policy engine triggers the rule π(x)=High because </w:t>
      </w:r>
      <w:r>
        <w:rPr>
          <w:sz w:val="30"/>
          <w:szCs w:val="30"/>
        </w:rPr>
        <w:t>p</w:t>
      </w:r>
      <w:r>
        <w:rPr>
          <w:sz w:val="30"/>
          <w:szCs w:val="30"/>
          <w:vertAlign w:val="subscript"/>
        </w:rPr>
        <w:t>emergency</w:t>
      </w:r>
      <w:r>
        <w:rPr>
          <w:vertAlign w:val="subscript"/>
        </w:rPr>
        <w:t>​</w:t>
      </w:r>
      <w:r>
        <w:rPr/>
        <w:t>&gt;</w:t>
      </w:r>
      <w:r>
        <w:rPr>
          <w:sz w:val="30"/>
          <w:szCs w:val="30"/>
        </w:rPr>
        <w:t>θ</w:t>
      </w:r>
      <w:r>
        <w:rPr>
          <w:sz w:val="30"/>
          <w:szCs w:val="30"/>
          <w:vertAlign w:val="subscript"/>
        </w:rPr>
        <w:t>e</w:t>
      </w:r>
      <w:r>
        <w:rPr>
          <w:vertAlign w:val="subscript"/>
        </w:rPr>
        <w:t>​</w:t>
      </w:r>
      <w:r>
        <w:rPr/>
        <w:t xml:space="preserve"> (0.5).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Execution:</w:t>
      </w:r>
      <w:r>
        <w:rPr/>
        <w:t xml:space="preserve"> The payload is encrypted using the "High" profile (Strong/Slow).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Outcome:</w:t>
      </w:r>
      <w:r>
        <w:rPr/>
        <w:t xml:space="preserve"> The total processing time was </w:t>
      </w:r>
      <w:r>
        <w:rPr>
          <w:b/>
        </w:rPr>
        <w:t>7.24 ms</w:t>
      </w:r>
      <w:r>
        <w:rPr/>
        <w:t>, successfully securing the critical data, whereas a static "Low" policy would have exposed it to risk.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4.4 Analysis and Interpretation</w:t>
      </w:r>
    </w:p>
    <w:p>
      <w:pPr>
        <w:pStyle w:val="BodyText"/>
        <w:numPr>
          <w:ilvl w:val="0"/>
          <w:numId w:val="13"/>
        </w:numPr>
        <w:rPr/>
      </w:pPr>
      <w:r>
        <w:rPr>
          <w:b/>
        </w:rPr>
        <w:t>Efficiency:</w:t>
      </w:r>
      <w:r>
        <w:rPr/>
        <w:t xml:space="preserve"> The IAE policies (IAE_RF, IAE_MLP) achieved an average latency of </w:t>
      </w:r>
      <w:r>
        <w:rPr>
          <w:b/>
        </w:rPr>
        <w:t>2.93 ms</w:t>
      </w:r>
      <w:r>
        <w:rPr/>
        <w:t xml:space="preserve">, which is approximately </w:t>
      </w:r>
      <w:r>
        <w:rPr>
          <w:b/>
        </w:rPr>
        <w:t>6.9x faster</w:t>
      </w:r>
      <w:r>
        <w:rPr/>
        <w:t xml:space="preserve"> than the simulated ABE baseline (20.38 ms) and </w:t>
      </w:r>
      <w:r>
        <w:rPr>
          <w:b/>
        </w:rPr>
        <w:t>2.5x faster</w:t>
      </w:r>
      <w:r>
        <w:rPr/>
        <w:t xml:space="preserve"> than the Static Strong baseline (7.38 ms).</w:t>
      </w:r>
    </w:p>
    <w:p>
      <w:pPr>
        <w:pStyle w:val="Normal"/>
        <w:numPr>
          <w:ilvl w:val="0"/>
          <w:numId w:val="13"/>
        </w:numPr>
        <w:rPr/>
      </w:pPr>
      <w:r>
        <w:rPr>
          <w:b/>
        </w:rPr>
        <w:t>Throughput:</w:t>
      </w:r>
      <w:r>
        <w:rPr/>
        <w:t xml:space="preserve"> The proposed approach maintained a high throughput of over </w:t>
      </w:r>
      <w:r>
        <w:rPr>
          <w:b/>
        </w:rPr>
        <w:t>340 operations/second</w:t>
      </w:r>
      <w:r>
        <w:rPr/>
        <w:t>, significantly outperforming the ABE simulation (~49 ops/sec), proving its viability for high-volume network environments.</w:t>
      </w:r>
    </w:p>
    <w:p>
      <w:pPr>
        <w:pStyle w:val="Normal"/>
        <w:numPr>
          <w:ilvl w:val="0"/>
          <w:numId w:val="13"/>
        </w:numPr>
        <w:rPr/>
      </w:pPr>
      <w:r>
        <w:rPr>
          <w:b/>
        </w:rPr>
        <w:t>Accuracy:</w:t>
      </w:r>
      <w:r>
        <w:rPr/>
        <w:t xml:space="preserve"> The Random Forest and MLP classifiers achieved </w:t>
      </w:r>
      <w:r>
        <w:rPr>
          <w:b/>
        </w:rPr>
        <w:t>100% accuracy</w:t>
      </w:r>
      <w:r>
        <w:rPr/>
        <w:t xml:space="preserve"> on the sampled test set, validating the feasibility of correctly inferring operational intent from network flow features.</w:t>
      </w:r>
    </w:p>
    <w:p>
      <w:pPr>
        <w:pStyle w:val="BodyText"/>
        <w:numPr>
          <w:ilvl w:val="0"/>
          <w:numId w:val="13"/>
        </w:numPr>
        <w:rPr/>
      </w:pPr>
      <w:r>
        <w:rPr>
          <w:b/>
        </w:rPr>
        <w:t>Trade-off:</w:t>
      </w:r>
      <w:r>
        <w:rPr/>
        <w:t xml:space="preserve"> The results confirm that by dynamically aligning encryption strength with intent, the system avoids the "over-protection" of routine traffic while ensuring critical data remains secure, effectively addressing the research problem posed in the introduction.</w:t>
      </w:r>
    </w:p>
    <w:p>
      <w:pPr>
        <w:pStyle w:val="BodyText"/>
        <w:numPr>
          <w:ilvl w:val="0"/>
          <w:numId w:val="13"/>
        </w:numPr>
        <w:rPr/>
      </w:pPr>
      <w:r>
        <w:rPr>
          <w:b/>
        </w:rPr>
        <w:t>Statistical Variance and Adaptability:</w:t>
      </w:r>
      <w:r>
        <w:rPr/>
        <w:t xml:space="preserve"> Analysis of the latency distribution reveals a distinct behavioral difference between the baselines and the proposed framework. The ABE baseline exhibits a low standard deviation (σ≈0.10 ms), indicating a static, consistently high-overhead execution. In contrast, the IAE Random Forest policy displays a higher standard deviation (σ≈1.68 ms). This variance is a positive indicator of adaptability, mathematically confirming that the system is actively switching between 'High' ( 7 ms) and 'Low' ( 2 ms) profiles in response to shifting traffic semantics, rather than forcing a uniform delay.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 xml:space="preserve">Chapter 5: </w:t>
      </w:r>
      <w:r>
        <w:rPr/>
        <w:t>Conclusions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 xml:space="preserve">5.1 </w:t>
      </w:r>
      <w:r>
        <w:rPr/>
        <w:t>Summary of Contributions</w:t>
      </w:r>
    </w:p>
    <w:p>
      <w:pPr>
        <w:pStyle w:val="BodyText"/>
        <w:ind w:hanging="0" w:start="0"/>
        <w:rPr/>
      </w:pPr>
      <w:r>
        <w:rPr/>
        <w:tab/>
        <w:t xml:space="preserve">This research presented the </w:t>
      </w:r>
      <w:r>
        <w:rPr>
          <w:b/>
        </w:rPr>
        <w:t>Intent-Aware Encryption (IAE)</w:t>
      </w:r>
      <w:r>
        <w:rPr/>
        <w:t xml:space="preserve"> framework, a novel approach that dynamically aligns cryptographic strength with the inferred semantic intent of network events. By integrating machine learning classifiers with a contextual policy engine, the system successfully moves beyond the inefficiencies of "one-size-fits-all" encryption strategies.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</w:t>
      </w:r>
      <w:r>
        <w:rPr/>
        <w:t xml:space="preserve">2 </w:t>
      </w:r>
      <w:r>
        <w:rPr/>
        <w:t>Discussion and Answers to Research Questions</w:t>
      </w:r>
    </w:p>
    <w:p>
      <w:pPr>
        <w:pStyle w:val="BodyText"/>
        <w:ind w:hanging="0" w:start="0"/>
        <w:rPr/>
      </w:pPr>
      <w:r>
        <w:rPr/>
        <w:t>The experimental results provide clear answers to the research questions defined at the outset: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RQ1: Intent Inference Viability:</w:t>
      </w:r>
      <w:r>
        <w:rPr/>
        <w:t xml:space="preserve"> The study demonstrated that operational intent can be accurately inferred from network flow features. The Random Forest and MLP classifiers achieved </w:t>
      </w:r>
      <w:r>
        <w:rPr>
          <w:b/>
        </w:rPr>
        <w:t>100% accuracy</w:t>
      </w:r>
      <w:r>
        <w:rPr/>
        <w:t xml:space="preserve"> on the validation subset, proving that flow metadata and behavioral patterns are sufficient proxies for semantic intent. A common critique of ML-driven security is the inference overhead. However, our results show that the IAE_RF policy achieved a throughput of </w:t>
      </w:r>
      <w:r>
        <w:rPr>
          <w:b/>
        </w:rPr>
        <w:t>355 ops/sec</w:t>
      </w:r>
      <w:r>
        <w:rPr/>
        <w:t>, slightly outperforming the deterministic Rule-Based policy (</w:t>
      </w:r>
      <w:r>
        <w:rPr>
          <w:b/>
        </w:rPr>
        <w:t>342 ops/sec</w:t>
      </w:r>
      <w:r>
        <w:rPr/>
        <w:t>). This counter-intuitive result suggests that the Random Forest model is more effective at correctly identifying "Maintenance" or "Routine" events that rules might misclassify as high-risk. Consequently, the slight computational cost of the ML inference is fully amortized by the gains from avoiding unnecessary high-strength encryption.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RQ2: Performance Efficiency:</w:t>
      </w:r>
      <w:r>
        <w:rPr/>
        <w:t xml:space="preserve"> The adaptive policy significantly reduced system overhead. IAE policies operated with an average latency of </w:t>
      </w:r>
      <w:r>
        <w:rPr>
          <w:b/>
        </w:rPr>
        <w:t>2.93 ms</w:t>
      </w:r>
      <w:r>
        <w:rPr/>
        <w:t xml:space="preserve">, compared to </w:t>
      </w:r>
      <w:r>
        <w:rPr>
          <w:b/>
        </w:rPr>
        <w:t>20.38 ms</w:t>
      </w:r>
      <w:r>
        <w:rPr/>
        <w:t xml:space="preserve"> for the Attribute-Based Encryption (ABE) baseline. This confirms that intent-driven adaptation can lower latency by approximately </w:t>
      </w:r>
      <w:r>
        <w:rPr>
          <w:b/>
        </w:rPr>
        <w:t>85%</w:t>
      </w:r>
      <w:r>
        <w:rPr/>
        <w:t xml:space="preserve"> in simulated environments.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RQ3: Security Balance:</w:t>
      </w:r>
      <w:r>
        <w:rPr/>
        <w:t xml:space="preserve"> By enforcing "High" encryption strictly for </w:t>
      </w:r>
      <w:r>
        <w:rPr>
          <w:i/>
        </w:rPr>
        <w:t>emergency</w:t>
      </w:r>
      <w:r>
        <w:rPr/>
        <w:t xml:space="preserve"> and </w:t>
      </w:r>
      <w:r>
        <w:rPr>
          <w:i/>
        </w:rPr>
        <w:t>confidential-transfer</w:t>
      </w:r>
      <w:r>
        <w:rPr/>
        <w:t xml:space="preserve"> intents, the framework ensures that critical data receives maximum protection. The contextual anomaly score acts as a failsafe, triggering strong encryption for suspicious events even if the intent appears benign, thus maintaining robust security coverage.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</w:t>
      </w:r>
      <w:r>
        <w:rPr/>
        <w:t xml:space="preserve">3 </w:t>
      </w:r>
      <w:r>
        <w:rPr/>
        <w:t>Limitations and Future Work</w:t>
      </w:r>
    </w:p>
    <w:p>
      <w:pPr>
        <w:pStyle w:val="BodyText"/>
        <w:ind w:hanging="0" w:start="0"/>
        <w:rPr/>
      </w:pPr>
      <w:r>
        <w:rPr/>
        <w:tab/>
        <w:t>While the results are promising, the current validation relies on a subset of the CICIDS2017 dataset and simulated cryptographic processing times. Future work will focus on: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Scaling:</w:t>
      </w:r>
      <w:r>
        <w:rPr/>
        <w:t xml:space="preserve"> validating the framework on the full dataset to assess classifier robustness against broader class imbalances.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Real-world Deployment:</w:t>
      </w:r>
      <w:r>
        <w:rPr/>
        <w:t xml:space="preserve"> implementing the pipeline on physical IoT edge devices to measure actual energy drain rather than simulated units.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Adversarial Resilience:</w:t>
      </w:r>
      <w:r>
        <w:rPr/>
        <w:t xml:space="preserve"> testing the classifiers against adversarial ML attacks designed to mislead the intent inference engine.</w:t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120"/>
        <w:ind w:hanging="0" w:start="0"/>
        <w:rPr/>
      </w:pPr>
      <w:r>
        <w:rPr/>
        <w:t xml:space="preserve">Chapter 7: </w:t>
      </w:r>
      <w:r>
        <w:rPr/>
        <w:t>Bibliography</w:t>
      </w:r>
    </w:p>
    <w:p>
      <w:pPr>
        <w:pStyle w:val="BodyText"/>
        <w:widowControl/>
        <w:suppressAutoHyphens w:val="true"/>
        <w:overflowPunct w:val="true"/>
        <w:ind w:hanging="0" w:start="1080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[1] Kumar, P. R., &amp; Goel, S. (2025). </w:t>
      </w:r>
      <w:r>
        <w:rPr>
          <w:rStyle w:val="Emphasis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A secure and efficient encryption system based on adaptive and machine learning for securing data in fog computing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.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Scientific Reports, 15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, Article 11654, 12 pages.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[2] Inshi, S., Chowdhury, R., Ould-Slimane, H., &amp; Talhi, C. (2023). </w:t>
      </w:r>
      <w:r>
        <w:rPr>
          <w:rStyle w:val="Emphasis"/>
        </w:rPr>
        <w:t>Secure adaptive context-aware ABE for smart environments</w:t>
      </w:r>
      <w:r>
        <w:rPr/>
        <w:t xml:space="preserve">. </w:t>
      </w:r>
      <w:r>
        <w:rPr>
          <w:rStyle w:val="Strong"/>
        </w:rPr>
        <w:t>IoT, 4</w:t>
      </w:r>
      <w:r>
        <w:rPr/>
        <w:t>(2), 112–130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[3] Lin, H., Yan, Z., &amp; Fu, Y. (2019). </w:t>
      </w:r>
      <w:r>
        <w:rPr>
          <w:rStyle w:val="Emphasis"/>
        </w:rPr>
        <w:t>Adaptive security-related data collection with context awareness</w:t>
      </w:r>
      <w:r>
        <w:rPr/>
        <w:t xml:space="preserve">. </w:t>
      </w:r>
      <w:r>
        <w:rPr>
          <w:rStyle w:val="Strong"/>
        </w:rPr>
        <w:t>Journal of Network and Computer Applications, 126</w:t>
      </w:r>
      <w:r>
        <w:rPr/>
        <w:t>, 88–103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[4] Noor, Z., Hina, S., Hayat, F., &amp; Shah, G. A. (2023). </w:t>
      </w:r>
      <w:r>
        <w:rPr>
          <w:rStyle w:val="Emphasis"/>
        </w:rPr>
        <w:t>An intelligent context-aware threat detection and response model for smart cyber-physical systems</w:t>
      </w:r>
      <w:r>
        <w:rPr/>
        <w:t xml:space="preserve">. </w:t>
      </w:r>
      <w:r>
        <w:rPr>
          <w:rStyle w:val="Strong"/>
        </w:rPr>
        <w:t>Internet of Things, 23</w:t>
      </w:r>
      <w:r>
        <w:rPr/>
        <w:t>, Article 100843 (14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[5] Kalaria, R., Kayes, A. S. M., Rahayu, W., &amp; Whittaker, F. (2024). </w:t>
      </w:r>
      <w:r>
        <w:rPr>
          <w:rStyle w:val="Emphasis"/>
        </w:rPr>
        <w:t>Adaptive context-aware access control for IoT environments leveraging fog computing</w:t>
      </w:r>
      <w:r>
        <w:rPr/>
        <w:t xml:space="preserve">. </w:t>
      </w:r>
      <w:r>
        <w:rPr>
          <w:rStyle w:val="Strong"/>
        </w:rPr>
        <w:t>International Journal of Information Security, 23</w:t>
      </w:r>
      <w:r>
        <w:rPr/>
        <w:t xml:space="preserve">, 3089–3107 (19 pages). 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[6] Patel, V. H., &amp; Patel, S. G. (2025). </w:t>
      </w:r>
      <w:r>
        <w:rPr>
          <w:rStyle w:val="Emphasis"/>
        </w:rPr>
        <w:t>Adaptive encryption framework with fog offloading for secure healthcare data processing on resource-constrained devices.</w:t>
      </w:r>
      <w:r>
        <w:rPr/>
        <w:t xml:space="preserve"> International Journal of Environmental Sciences, 11(19s), 2978–2982 (5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[7] Narkedimilli, S., Venkata Sriram, A., &amp; Raghav, S. (2024). </w:t>
      </w:r>
      <w:r>
        <w:rPr>
          <w:rStyle w:val="Emphasis"/>
        </w:rPr>
        <w:t>FL-DABE-BC: A privacy-enhanced, decentralized authentication and secure communication framework with decentralized attribute-based encryption and blockchain for IoT scenarios.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arXiv:2410.20259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[8] Kumar, B. N., &amp; Srinivas, M. (2023). </w:t>
      </w:r>
      <w:r>
        <w:rPr>
          <w:rStyle w:val="Emphasis"/>
        </w:rPr>
        <w:t>Hybrid attribute-based symmetric encryption algorithm for enhanced access policies in medical wireless sensor networks.</w:t>
      </w:r>
      <w:r>
        <w:rPr/>
        <w:t xml:space="preserve"> </w:t>
      </w:r>
      <w:r>
        <w:rPr>
          <w:rStyle w:val="Strong"/>
        </w:rPr>
        <w:t>International Journal of Intelligent Systems and Applications in Engineering</w:t>
      </w:r>
      <w:r>
        <w:rPr/>
        <w:t>, 11(3), 958–964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[9] Thakur, I., Karmakar, A., Li, C., &amp; Preneel, B. (2025). </w:t>
      </w:r>
      <w:r>
        <w:rPr>
          <w:rStyle w:val="Emphasis"/>
        </w:rPr>
        <w:t>A survey on transciphering and symmetric ciphers for homomorphic encryption.</w:t>
      </w:r>
      <w:r>
        <w:rPr/>
        <w:t xml:space="preserve"> </w:t>
      </w:r>
      <w:r>
        <w:rPr>
          <w:rStyle w:val="Strong"/>
        </w:rPr>
        <w:t>Cryptology ePrint Archive</w:t>
      </w:r>
      <w:r>
        <w:rPr/>
        <w:t>, Paper 2025/093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[10] Kerl, M., Bodin, U., &amp;, Schelen Y. (2025). </w:t>
      </w:r>
      <w:r>
        <w:rPr>
          <w:rStyle w:val="Emphasis"/>
        </w:rPr>
        <w:t>Privacy-preserving attribute-based access control using homomorphic encryption.</w:t>
      </w:r>
      <w:r>
        <w:rPr/>
        <w:t xml:space="preserve"> </w:t>
      </w:r>
      <w:r>
        <w:rPr>
          <w:rStyle w:val="Strong"/>
        </w:rPr>
        <w:t>Cybersecurity</w:t>
      </w:r>
      <w:r>
        <w:rPr/>
        <w:t>, 8(5), Article 00232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[11] Dar Z., Ahmad A., Khan F. K., Zeshan F., Iqbal R., Sherazi H. H. R. &amp; Bashir A. K. (2020). </w:t>
      </w:r>
      <w:r>
        <w:rPr>
          <w:rStyle w:val="Emphasis"/>
        </w:rPr>
        <w:t>A context-aware encryption protocol suite for edge computing-based IoT devices.</w:t>
      </w:r>
      <w:r>
        <w:rPr/>
        <w:t xml:space="preserve"> </w:t>
      </w:r>
      <w:r>
        <w:rPr>
          <w:rStyle w:val="Strong"/>
        </w:rPr>
        <w:t>Journal of Supercomputing</w:t>
      </w:r>
      <w:r>
        <w:rPr/>
        <w:t>, 76(4), 2548–2567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[12] Acar, A., Aksu, H., Uluagac, A. S., &amp; Conti, M. (2017). </w:t>
      </w:r>
      <w:r>
        <w:rPr>
          <w:rStyle w:val="Emphasis"/>
        </w:rPr>
        <w:t>A survey on homomorphic encryption schemes: Theory and implementation.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arXiv:1704.03578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[13] Wu Y., Zhang W., Xiong H., Qin Z. &amp; Yeh K. H. (2021). </w:t>
      </w:r>
      <w:r>
        <w:rPr>
          <w:rStyle w:val="Emphasis"/>
        </w:rPr>
        <w:t>Efficient access control with traceability and user revocation in IoT.</w:t>
      </w:r>
      <w:r>
        <w:rPr/>
        <w:t xml:space="preserve"> </w:t>
      </w:r>
      <w:r>
        <w:rPr>
          <w:rStyle w:val="Strong"/>
        </w:rPr>
        <w:t>Multimedia Tools and Applications</w:t>
      </w:r>
      <w:r>
        <w:rPr/>
        <w:t>, 80(18), 31487–31508 (21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[14] Shekhar, S., &amp; Shukla, A. K. (2025). </w:t>
      </w:r>
      <w:r>
        <w:rPr>
          <w:rStyle w:val="Emphasis"/>
        </w:rPr>
        <w:t>Attribute-based encryption for secure data sharing in IoT ecosystems.</w:t>
      </w:r>
      <w:r>
        <w:rPr/>
        <w:t xml:space="preserve"> </w:t>
      </w:r>
      <w:r>
        <w:rPr>
          <w:rStyle w:val="Strong"/>
        </w:rPr>
        <w:t>Journal of Neonatal Surgery</w:t>
      </w:r>
      <w:r>
        <w:rPr/>
        <w:t>, 14(1), 53–59 (7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1080"/>
        <w:jc w:val="start"/>
        <w:rPr/>
      </w:pPr>
      <w:r>
        <w:rPr/>
        <w:t xml:space="preserve">[15] Singh, A., Rathee, G., Kerrache, C. A., &amp; Ghanem, M. C. (2025). </w:t>
      </w:r>
      <w:r>
        <w:rPr>
          <w:rStyle w:val="Emphasis"/>
        </w:rPr>
        <w:t>A relay-chain-powered ciphertext-policy attribute-based encryption in intelligent transportation systems.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arXiv:2508.16189 (14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97"/>
        </w:tabs>
        <w:ind w:start="797" w:hanging="360"/>
      </w:pPr>
      <w:rPr/>
    </w:lvl>
    <w:lvl w:ilvl="1">
      <w:start w:val="1"/>
      <w:numFmt w:val="decimal"/>
      <w:lvlText w:val="%2."/>
      <w:lvlJc w:val="start"/>
      <w:pPr>
        <w:tabs>
          <w:tab w:val="num" w:pos="1157"/>
        </w:tabs>
        <w:ind w:start="1157" w:hanging="360"/>
      </w:pPr>
      <w:rPr/>
    </w:lvl>
    <w:lvl w:ilvl="2">
      <w:start w:val="1"/>
      <w:numFmt w:val="decimal"/>
      <w:lvlText w:val="%3."/>
      <w:lvlJc w:val="start"/>
      <w:pPr>
        <w:tabs>
          <w:tab w:val="num" w:pos="1517"/>
        </w:tabs>
        <w:ind w:start="1517" w:hanging="360"/>
      </w:pPr>
      <w:rPr/>
    </w:lvl>
    <w:lvl w:ilvl="3">
      <w:start w:val="1"/>
      <w:numFmt w:val="decimal"/>
      <w:lvlText w:val="%4."/>
      <w:lvlJc w:val="start"/>
      <w:pPr>
        <w:tabs>
          <w:tab w:val="num" w:pos="1877"/>
        </w:tabs>
        <w:ind w:start="1877" w:hanging="360"/>
      </w:pPr>
      <w:rPr/>
    </w:lvl>
    <w:lvl w:ilvl="4">
      <w:start w:val="1"/>
      <w:numFmt w:val="decimal"/>
      <w:lvlText w:val="%5."/>
      <w:lvlJc w:val="start"/>
      <w:pPr>
        <w:tabs>
          <w:tab w:val="num" w:pos="2237"/>
        </w:tabs>
        <w:ind w:start="2237" w:hanging="360"/>
      </w:pPr>
      <w:rPr/>
    </w:lvl>
    <w:lvl w:ilvl="5">
      <w:start w:val="1"/>
      <w:numFmt w:val="decimal"/>
      <w:lvlText w:val="%6."/>
      <w:lvlJc w:val="start"/>
      <w:pPr>
        <w:tabs>
          <w:tab w:val="num" w:pos="2597"/>
        </w:tabs>
        <w:ind w:start="2597" w:hanging="360"/>
      </w:pPr>
      <w:rPr/>
    </w:lvl>
    <w:lvl w:ilvl="6">
      <w:start w:val="1"/>
      <w:numFmt w:val="decimal"/>
      <w:lvlText w:val="%7."/>
      <w:lvlJc w:val="start"/>
      <w:pPr>
        <w:tabs>
          <w:tab w:val="num" w:pos="2957"/>
        </w:tabs>
        <w:ind w:start="2957" w:hanging="360"/>
      </w:pPr>
      <w:rPr/>
    </w:lvl>
    <w:lvl w:ilvl="7">
      <w:start w:val="1"/>
      <w:numFmt w:val="decimal"/>
      <w:lvlText w:val="%8."/>
      <w:lvlJc w:val="start"/>
      <w:pPr>
        <w:tabs>
          <w:tab w:val="num" w:pos="3317"/>
        </w:tabs>
        <w:ind w:start="3317" w:hanging="360"/>
      </w:pPr>
      <w:rPr/>
    </w:lvl>
    <w:lvl w:ilvl="8">
      <w:start w:val="1"/>
      <w:numFmt w:val="decimal"/>
      <w:lvlText w:val="%9."/>
      <w:lvlJc w:val="start"/>
      <w:pPr>
        <w:tabs>
          <w:tab w:val="num" w:pos="3677"/>
        </w:tabs>
        <w:ind w:start="3677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bidi w:val="0"/>
      <w:spacing w:lineRule="auto" w:line="276" w:before="0" w:after="140"/>
      <w:ind w:hanging="0" w:start="0"/>
      <w:jc w:val="start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432</TotalTime>
  <Application>LibreOffice/25.2.7.2$Linux_X86_64 LibreOffice_project/520$Build-2</Application>
  <AppVersion>15.0000</AppVersion>
  <Pages>14</Pages>
  <Words>2663</Words>
  <Characters>16766</Characters>
  <CharactersWithSpaces>19877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2025-10-19T12:41:02Z</dcterms:created>
  <dc:creator/>
  <dc:description/>
  <dc:language>en-US</dc:language>
  <cp:lastModifiedBy/>
  <dcterms:modified xsi:type="dcterms:W3CDTF">2025-12-15T18:10:02Z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