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Intent-Aware Encryption: Context-Driven Security for Adaptive Communication Systems</w:t>
      </w:r>
    </w:p>
    <w:p>
      <w:pPr>
        <w:pStyle w:val="BodyText"/>
        <w:bidi w:val="0"/>
        <w:spacing w:lineRule="auto" w:line="276" w:before="0" w:after="140"/>
        <w:ind w:hanging="0" w:start="0"/>
        <w:jc w:val="start"/>
        <w:rPr/>
      </w:pPr>
      <w:r>
        <w:rPr/>
      </w:r>
    </w:p>
    <w:p>
      <w:pPr>
        <w:pStyle w:val="Normal"/>
        <w:bidi w:val="0"/>
        <w:jc w:val="start"/>
        <w:rPr/>
      </w:pPr>
      <w:r>
        <w:rPr/>
        <w:t>AMS:</w:t>
      </w:r>
    </w:p>
    <w:p>
      <w:pPr>
        <w:pStyle w:val="Normal"/>
        <w:bidi w:val="0"/>
        <w:jc w:val="start"/>
        <w:rPr/>
      </w:pPr>
      <w:r>
        <w:rPr/>
        <w:tab/>
        <w:t>94A60 – Cryptography</w:t>
      </w:r>
    </w:p>
    <w:p>
      <w:pPr>
        <w:pStyle w:val="Normal"/>
        <w:bidi w:val="0"/>
        <w:jc w:val="start"/>
        <w:rPr/>
      </w:pPr>
      <w:r>
        <w:rPr/>
        <w:tab/>
        <w:t>68M15 – Reliability, testing, and fault tolerance of networks and computer systems</w:t>
      </w:r>
    </w:p>
    <w:p>
      <w:pPr>
        <w:pStyle w:val="Normal"/>
        <w:bidi w:val="0"/>
        <w:jc w:val="start"/>
        <w:rPr/>
      </w:pPr>
      <w:r>
        <w:rPr/>
        <w:tab/>
        <w:t>68P25 – Data encryption</w:t>
      </w:r>
    </w:p>
    <w:p>
      <w:pPr>
        <w:pStyle w:val="Normal"/>
        <w:bidi w:val="0"/>
        <w:jc w:val="start"/>
        <w:rPr/>
      </w:pPr>
      <w:r>
        <w:rPr/>
        <w:t>ACM:</w:t>
      </w:r>
    </w:p>
    <w:p>
      <w:pPr>
        <w:pStyle w:val="Normal"/>
        <w:bidi w:val="0"/>
        <w:jc w:val="start"/>
        <w:rPr/>
      </w:pPr>
      <w:r>
        <w:rPr/>
        <w:tab/>
        <w:t>Security and privacy -&gt; Cryptography -&gt; Public key (asymmetric) techniques</w:t>
      </w:r>
    </w:p>
    <w:p>
      <w:pPr>
        <w:pStyle w:val="Normal"/>
        <w:bidi w:val="0"/>
        <w:jc w:val="start"/>
        <w:rPr/>
      </w:pPr>
      <w:r>
        <w:rPr/>
        <w:tab/>
        <w:t>Security and privacy -&gt; Security services -&gt; Access control</w:t>
      </w:r>
    </w:p>
    <w:p>
      <w:pPr>
        <w:pStyle w:val="Normal"/>
        <w:bidi w:val="0"/>
        <w:jc w:val="start"/>
        <w:rPr/>
      </w:pPr>
      <w:r>
        <w:rPr/>
      </w:r>
    </w:p>
    <w:p>
      <w:pPr>
        <w:pStyle w:val="Normal"/>
        <w:bidi w:val="0"/>
        <w:jc w:val="start"/>
        <w:rPr/>
      </w:pPr>
      <w:r>
        <w:rPr/>
      </w:r>
    </w:p>
    <w:p>
      <w:pPr>
        <w:pStyle w:val="BodyText"/>
        <w:bidi w:val="0"/>
        <w:ind w:hanging="0" w:start="0"/>
        <w:jc w:val="start"/>
        <w:rPr/>
      </w:pPr>
      <w:r>
        <w:rPr/>
        <w:t>Table of Contents:</w:t>
      </w:r>
    </w:p>
    <w:p>
      <w:pPr>
        <w:pStyle w:val="BodyText"/>
        <w:numPr>
          <w:ilvl w:val="0"/>
          <w:numId w:val="3"/>
        </w:numPr>
        <w:bidi w:val="0"/>
        <w:jc w:val="start"/>
        <w:rPr/>
      </w:pPr>
      <w:r>
        <w:rPr/>
        <w:t>Abstract</w:t>
      </w:r>
    </w:p>
    <w:p>
      <w:pPr>
        <w:pStyle w:val="BodyText"/>
        <w:numPr>
          <w:ilvl w:val="0"/>
          <w:numId w:val="3"/>
        </w:numPr>
        <w:bidi w:val="0"/>
        <w:jc w:val="start"/>
        <w:rPr/>
      </w:pPr>
      <w:r>
        <w:rPr/>
        <w:t>Introduction</w:t>
      </w:r>
    </w:p>
    <w:p>
      <w:pPr>
        <w:pStyle w:val="BodyText"/>
        <w:numPr>
          <w:ilvl w:val="1"/>
          <w:numId w:val="3"/>
        </w:numPr>
        <w:bidi w:val="0"/>
        <w:jc w:val="start"/>
        <w:rPr/>
      </w:pPr>
      <w:r>
        <w:rPr/>
        <w:t>Motivation and Problem Statement</w:t>
      </w:r>
    </w:p>
    <w:p>
      <w:pPr>
        <w:pStyle w:val="BodyText"/>
        <w:numPr>
          <w:ilvl w:val="1"/>
          <w:numId w:val="3"/>
        </w:numPr>
        <w:bidi w:val="0"/>
        <w:jc w:val="start"/>
        <w:rPr/>
      </w:pPr>
      <w:r>
        <w:rPr/>
        <w:t>Research Objectives</w:t>
      </w:r>
    </w:p>
    <w:p>
      <w:pPr>
        <w:pStyle w:val="BodyText"/>
        <w:numPr>
          <w:ilvl w:val="0"/>
          <w:numId w:val="3"/>
        </w:numPr>
        <w:bidi w:val="0"/>
        <w:jc w:val="start"/>
        <w:rPr/>
      </w:pPr>
      <w:r>
        <w:rPr/>
        <w:t>Background and Related Work</w:t>
      </w:r>
    </w:p>
    <w:p>
      <w:pPr>
        <w:pStyle w:val="BodyText"/>
        <w:numPr>
          <w:ilvl w:val="1"/>
          <w:numId w:val="3"/>
        </w:numPr>
        <w:bidi w:val="0"/>
        <w:jc w:val="start"/>
        <w:rPr/>
      </w:pPr>
      <w:r>
        <w:rPr/>
        <w:t>Context-Aware Encryption</w:t>
      </w:r>
    </w:p>
    <w:p>
      <w:pPr>
        <w:pStyle w:val="BodyText"/>
        <w:numPr>
          <w:ilvl w:val="1"/>
          <w:numId w:val="3"/>
        </w:numPr>
        <w:bidi w:val="0"/>
        <w:jc w:val="start"/>
        <w:rPr/>
      </w:pPr>
      <w:r>
        <w:rPr/>
        <w:t>Intent-Based or Goal-Oriented Security Approaches</w:t>
      </w:r>
    </w:p>
    <w:p>
      <w:pPr>
        <w:pStyle w:val="BodyText"/>
        <w:numPr>
          <w:ilvl w:val="1"/>
          <w:numId w:val="3"/>
        </w:numPr>
        <w:bidi w:val="0"/>
        <w:jc w:val="start"/>
        <w:rPr/>
      </w:pPr>
      <w:r>
        <w:rPr/>
        <w:t>Gaps and Limitations in Existing Approaches</w:t>
      </w:r>
    </w:p>
    <w:p>
      <w:pPr>
        <w:pStyle w:val="BodyText"/>
        <w:numPr>
          <w:ilvl w:val="0"/>
          <w:numId w:val="3"/>
        </w:numPr>
        <w:bidi w:val="0"/>
        <w:jc w:val="start"/>
        <w:rPr/>
      </w:pPr>
      <w:r>
        <w:rPr/>
        <w:t>Intent-Aware Encryption Framework</w:t>
      </w:r>
    </w:p>
    <w:p>
      <w:pPr>
        <w:pStyle w:val="BodyText"/>
        <w:numPr>
          <w:ilvl w:val="1"/>
          <w:numId w:val="3"/>
        </w:numPr>
        <w:bidi w:val="0"/>
        <w:jc w:val="start"/>
        <w:rPr/>
      </w:pPr>
      <w:r>
        <w:rPr/>
        <w:t>Concept and Design Principles</w:t>
      </w:r>
    </w:p>
    <w:p>
      <w:pPr>
        <w:pStyle w:val="BodyText"/>
        <w:numPr>
          <w:ilvl w:val="1"/>
          <w:numId w:val="3"/>
        </w:numPr>
        <w:bidi w:val="0"/>
        <w:jc w:val="start"/>
        <w:rPr/>
      </w:pPr>
      <w:r>
        <w:rPr/>
        <w:t>System Architecture and Data Flow</w:t>
      </w:r>
    </w:p>
    <w:p>
      <w:pPr>
        <w:pStyle w:val="BodyText"/>
        <w:numPr>
          <w:ilvl w:val="1"/>
          <w:numId w:val="3"/>
        </w:numPr>
        <w:bidi w:val="0"/>
        <w:jc w:val="start"/>
        <w:rPr/>
      </w:pPr>
      <w:r>
        <w:rPr/>
        <w:t>Intent Extraction and Decision Logic</w:t>
      </w:r>
    </w:p>
    <w:p>
      <w:pPr>
        <w:pStyle w:val="BodyText"/>
        <w:numPr>
          <w:ilvl w:val="1"/>
          <w:numId w:val="3"/>
        </w:numPr>
        <w:bidi w:val="0"/>
        <w:jc w:val="start"/>
        <w:rPr/>
      </w:pPr>
      <w:r>
        <w:rPr/>
        <w:t>Adaptive Encryption Policy</w:t>
      </w:r>
    </w:p>
    <w:p>
      <w:pPr>
        <w:pStyle w:val="BodyText"/>
        <w:numPr>
          <w:ilvl w:val="0"/>
          <w:numId w:val="3"/>
        </w:numPr>
        <w:bidi w:val="0"/>
        <w:jc w:val="start"/>
        <w:rPr/>
      </w:pPr>
      <w:r>
        <w:rPr/>
        <w:t>Methodology and Implementation</w:t>
      </w:r>
    </w:p>
    <w:p>
      <w:pPr>
        <w:pStyle w:val="BodyText"/>
        <w:numPr>
          <w:ilvl w:val="1"/>
          <w:numId w:val="3"/>
        </w:numPr>
        <w:bidi w:val="0"/>
        <w:jc w:val="start"/>
        <w:rPr/>
      </w:pPr>
      <w:r>
        <w:rPr/>
        <w:t>Overview</w:t>
      </w:r>
    </w:p>
    <w:p>
      <w:pPr>
        <w:pStyle w:val="BodyText"/>
        <w:numPr>
          <w:ilvl w:val="1"/>
          <w:numId w:val="3"/>
        </w:numPr>
        <w:bidi w:val="0"/>
        <w:jc w:val="start"/>
        <w:rPr/>
      </w:pPr>
      <w:r>
        <w:rPr/>
        <w:t>Data and Scenario Design</w:t>
      </w:r>
    </w:p>
    <w:p>
      <w:pPr>
        <w:pStyle w:val="BodyText"/>
        <w:numPr>
          <w:ilvl w:val="2"/>
          <w:numId w:val="3"/>
        </w:numPr>
        <w:bidi w:val="0"/>
        <w:jc w:val="start"/>
        <w:rPr/>
      </w:pPr>
      <w:r>
        <w:rPr/>
        <w:t>Data Sources</w:t>
      </w:r>
    </w:p>
    <w:p>
      <w:pPr>
        <w:pStyle w:val="BodyText"/>
        <w:numPr>
          <w:ilvl w:val="2"/>
          <w:numId w:val="3"/>
        </w:numPr>
        <w:bidi w:val="0"/>
        <w:jc w:val="start"/>
        <w:rPr/>
      </w:pPr>
      <w:r>
        <w:rPr/>
        <w:t>Feature Design</w:t>
      </w:r>
    </w:p>
    <w:p>
      <w:pPr>
        <w:pStyle w:val="BodyText"/>
        <w:numPr>
          <w:ilvl w:val="1"/>
          <w:numId w:val="3"/>
        </w:numPr>
        <w:bidi w:val="0"/>
        <w:jc w:val="start"/>
        <w:rPr/>
      </w:pPr>
      <w:r>
        <w:rPr/>
        <w:t>Experimental Protocols</w:t>
      </w:r>
    </w:p>
    <w:p>
      <w:pPr>
        <w:pStyle w:val="BodyText"/>
        <w:numPr>
          <w:ilvl w:val="2"/>
          <w:numId w:val="3"/>
        </w:numPr>
        <w:bidi w:val="0"/>
        <w:jc w:val="start"/>
        <w:rPr/>
      </w:pPr>
      <w:r>
        <w:rPr/>
        <w:t>Intent Classification</w:t>
      </w:r>
    </w:p>
    <w:p>
      <w:pPr>
        <w:pStyle w:val="BodyText"/>
        <w:numPr>
          <w:ilvl w:val="2"/>
          <w:numId w:val="3"/>
        </w:numPr>
        <w:bidi w:val="0"/>
        <w:jc w:val="start"/>
        <w:rPr/>
      </w:pPr>
      <w:r>
        <w:rPr/>
        <w:t>Adaptive Encryption Behavior</w:t>
      </w:r>
    </w:p>
    <w:p>
      <w:pPr>
        <w:pStyle w:val="BodyText"/>
        <w:numPr>
          <w:ilvl w:val="2"/>
          <w:numId w:val="3"/>
        </w:numPr>
        <w:bidi w:val="0"/>
        <w:jc w:val="start"/>
        <w:rPr/>
      </w:pPr>
      <w:r>
        <w:rPr/>
        <w:t>Performance Benchmarking</w:t>
      </w:r>
    </w:p>
    <w:p>
      <w:pPr>
        <w:pStyle w:val="BodyText"/>
        <w:numPr>
          <w:ilvl w:val="2"/>
          <w:numId w:val="3"/>
        </w:numPr>
        <w:bidi w:val="0"/>
        <w:jc w:val="start"/>
        <w:rPr/>
      </w:pPr>
      <w:r>
        <w:rPr/>
        <w:t>Security Assessment</w:t>
      </w:r>
    </w:p>
    <w:p>
      <w:pPr>
        <w:pStyle w:val="BodyText"/>
        <w:numPr>
          <w:ilvl w:val="1"/>
          <w:numId w:val="3"/>
        </w:numPr>
        <w:bidi w:val="0"/>
        <w:jc w:val="start"/>
        <w:rPr/>
      </w:pPr>
      <w:r>
        <w:rPr/>
        <w:t>Mathematical / Formal Model</w:t>
      </w:r>
    </w:p>
    <w:p>
      <w:pPr>
        <w:pStyle w:val="BodyText"/>
        <w:numPr>
          <w:ilvl w:val="1"/>
          <w:numId w:val="3"/>
        </w:numPr>
        <w:bidi w:val="0"/>
        <w:jc w:val="start"/>
        <w:rPr/>
      </w:pPr>
      <w:r>
        <w:rPr/>
        <w:t>Validation and Statistical Analysis</w:t>
      </w:r>
    </w:p>
    <w:p>
      <w:pPr>
        <w:pStyle w:val="BodyText"/>
        <w:numPr>
          <w:ilvl w:val="1"/>
          <w:numId w:val="3"/>
        </w:numPr>
        <w:bidi w:val="0"/>
        <w:jc w:val="start"/>
        <w:rPr/>
      </w:pPr>
      <w:r>
        <w:rPr/>
        <w:t>Baselines and Comparison Strategy</w:t>
      </w:r>
    </w:p>
    <w:p>
      <w:pPr>
        <w:pStyle w:val="BodyText"/>
        <w:numPr>
          <w:ilvl w:val="1"/>
          <w:numId w:val="3"/>
        </w:numPr>
        <w:bidi w:val="0"/>
        <w:jc w:val="start"/>
        <w:rPr/>
      </w:pPr>
      <w:r>
        <w:rPr/>
        <w:t>Deliverables</w:t>
      </w:r>
    </w:p>
    <w:p>
      <w:pPr>
        <w:pStyle w:val="BodyText"/>
        <w:numPr>
          <w:ilvl w:val="1"/>
          <w:numId w:val="3"/>
        </w:numPr>
        <w:bidi w:val="0"/>
        <w:jc w:val="start"/>
        <w:rPr/>
      </w:pPr>
      <w:r>
        <w:rPr/>
        <w:t>Experimental Plan Summary</w:t>
      </w:r>
    </w:p>
    <w:p>
      <w:pPr>
        <w:pStyle w:val="BodyText"/>
        <w:numPr>
          <w:ilvl w:val="1"/>
          <w:numId w:val="3"/>
        </w:numPr>
        <w:bidi w:val="0"/>
        <w:jc w:val="start"/>
        <w:rPr/>
      </w:pPr>
      <w:r>
        <w:rPr/>
        <w:t>Conclusion</w:t>
      </w:r>
    </w:p>
    <w:p>
      <w:pPr>
        <w:pStyle w:val="BodyText"/>
        <w:numPr>
          <w:ilvl w:val="0"/>
          <w:numId w:val="3"/>
        </w:numPr>
        <w:bidi w:val="0"/>
        <w:jc w:val="start"/>
        <w:rPr/>
      </w:pPr>
      <w:r>
        <w:rPr/>
        <w:t>Results and Discussion</w:t>
      </w:r>
    </w:p>
    <w:p>
      <w:pPr>
        <w:pStyle w:val="BodyText"/>
        <w:numPr>
          <w:ilvl w:val="1"/>
          <w:numId w:val="3"/>
        </w:numPr>
        <w:bidi w:val="0"/>
        <w:jc w:val="start"/>
        <w:rPr/>
      </w:pPr>
      <w:r>
        <w:rPr/>
        <w:t>Intent Classification Accuracy</w:t>
      </w:r>
    </w:p>
    <w:p>
      <w:pPr>
        <w:pStyle w:val="BodyText"/>
        <w:numPr>
          <w:ilvl w:val="1"/>
          <w:numId w:val="3"/>
        </w:numPr>
        <w:bidi w:val="0"/>
        <w:jc w:val="start"/>
        <w:rPr/>
      </w:pPr>
      <w:r>
        <w:rPr/>
        <w:t>Encryption Adaptation Behavior</w:t>
      </w:r>
    </w:p>
    <w:p>
      <w:pPr>
        <w:pStyle w:val="BodyText"/>
        <w:numPr>
          <w:ilvl w:val="1"/>
          <w:numId w:val="3"/>
        </w:numPr>
        <w:bidi w:val="0"/>
        <w:jc w:val="start"/>
        <w:rPr/>
      </w:pPr>
      <w:r>
        <w:rPr/>
        <w:t>Performance Metrics (Latency, Energy, Throughput)</w:t>
      </w:r>
    </w:p>
    <w:p>
      <w:pPr>
        <w:pStyle w:val="BodyText"/>
        <w:numPr>
          <w:ilvl w:val="1"/>
          <w:numId w:val="3"/>
        </w:numPr>
        <w:bidi w:val="0"/>
        <w:jc w:val="start"/>
        <w:rPr/>
      </w:pPr>
      <w:r>
        <w:rPr/>
        <w:t>Security and Privacy Assesment</w:t>
      </w:r>
    </w:p>
    <w:p>
      <w:pPr>
        <w:pStyle w:val="BodyText"/>
        <w:numPr>
          <w:ilvl w:val="1"/>
          <w:numId w:val="3"/>
        </w:numPr>
        <w:bidi w:val="0"/>
        <w:jc w:val="start"/>
        <w:rPr/>
      </w:pPr>
      <w:r>
        <w:rPr/>
        <w:t>Comparative Analysis with Baselines</w:t>
      </w:r>
    </w:p>
    <w:p>
      <w:pPr>
        <w:pStyle w:val="BodyText"/>
        <w:numPr>
          <w:ilvl w:val="0"/>
          <w:numId w:val="3"/>
        </w:numPr>
        <w:bidi w:val="0"/>
        <w:jc w:val="start"/>
        <w:rPr/>
      </w:pPr>
      <w:r>
        <w:rPr/>
        <w:t>Conclusion and Future Work</w:t>
      </w:r>
    </w:p>
    <w:p>
      <w:pPr>
        <w:pStyle w:val="BodyText"/>
        <w:numPr>
          <w:ilvl w:val="0"/>
          <w:numId w:val="3"/>
        </w:numPr>
        <w:bidi w:val="0"/>
        <w:jc w:val="start"/>
        <w:rPr/>
      </w:pPr>
      <w:r>
        <w:rPr/>
        <w:t>Acknowledgments</w:t>
      </w:r>
    </w:p>
    <w:p>
      <w:pPr>
        <w:pStyle w:val="BodyText"/>
        <w:numPr>
          <w:ilvl w:val="0"/>
          <w:numId w:val="3"/>
        </w:numPr>
        <w:bidi w:val="0"/>
        <w:jc w:val="start"/>
        <w:rPr/>
      </w:pPr>
      <w:r>
        <w:rPr/>
        <w:t>References</w:t>
      </w:r>
    </w:p>
    <w:p>
      <w:pPr>
        <w:pStyle w:val="BodyText"/>
        <w:numPr>
          <w:ilvl w:val="0"/>
          <w:numId w:val="0"/>
        </w:numPr>
        <w:bidi w:val="0"/>
        <w:ind w:hanging="0" w:start="1080"/>
        <w:jc w:val="start"/>
        <w:rPr/>
      </w:pPr>
      <w:r>
        <w:rPr/>
        <w:t xml:space="preserve">[1] Kumar, P. R., &amp; Goel, S. (2025). </w:t>
      </w:r>
      <w:r>
        <w:rPr>
          <w:rStyle w:val="Emphasis"/>
        </w:rPr>
        <w:t>A secure and efficient encryption system based on adaptive and machine learning for securing data in fog computing</w:t>
      </w:r>
      <w:r>
        <w:rPr/>
        <w:t xml:space="preserve">. </w:t>
      </w:r>
      <w:r>
        <w:rPr>
          <w:rStyle w:val="Strong"/>
        </w:rPr>
        <w:t>Scientific Reports, 15</w:t>
      </w:r>
      <w:r>
        <w:rPr/>
        <w:t>, Article 11654, 12 pages.</w:t>
      </w:r>
    </w:p>
    <w:p>
      <w:pPr>
        <w:pStyle w:val="BodyText"/>
        <w:numPr>
          <w:ilvl w:val="0"/>
          <w:numId w:val="0"/>
        </w:numPr>
        <w:bidi w:val="0"/>
        <w:ind w:hanging="0" w:start="1080"/>
        <w:jc w:val="start"/>
        <w:rPr/>
      </w:pPr>
      <w:r>
        <w:rPr/>
        <w:t xml:space="preserve">[2] Inshi, S., Chowdhury, R., Ould-Slimane, H., &amp; Talhi, C. (2023). </w:t>
      </w:r>
      <w:r>
        <w:rPr>
          <w:rStyle w:val="Emphasis"/>
        </w:rPr>
        <w:t>Secure adaptive context-aware ABE for smart environments</w:t>
      </w:r>
      <w:r>
        <w:rPr/>
        <w:t xml:space="preserve">. </w:t>
      </w:r>
      <w:r>
        <w:rPr>
          <w:rStyle w:val="Strong"/>
        </w:rPr>
        <w:t>IoT, 4</w:t>
      </w:r>
      <w:r>
        <w:rPr/>
        <w:t>(2), 112–130 (19 pages).</w:t>
      </w:r>
    </w:p>
    <w:p>
      <w:pPr>
        <w:pStyle w:val="BodyText"/>
        <w:numPr>
          <w:ilvl w:val="0"/>
          <w:numId w:val="0"/>
        </w:numPr>
        <w:bidi w:val="0"/>
        <w:ind w:hanging="0" w:start="1080"/>
        <w:jc w:val="start"/>
        <w:rPr/>
      </w:pPr>
      <w:r>
        <w:rPr/>
        <w:t xml:space="preserve">[3] Lin, H., Yan, Z., &amp; Fu, Y. (2019). </w:t>
      </w:r>
      <w:r>
        <w:rPr>
          <w:rStyle w:val="Emphasis"/>
        </w:rPr>
        <w:t>Adaptive security-related data collection with context awareness</w:t>
      </w:r>
      <w:r>
        <w:rPr/>
        <w:t xml:space="preserve">. </w:t>
      </w:r>
      <w:r>
        <w:rPr>
          <w:rStyle w:val="Strong"/>
        </w:rPr>
        <w:t>Journal of Network and Computer Applications, 126</w:t>
      </w:r>
      <w:r>
        <w:rPr/>
        <w:t>, 88–103 (16 pages).</w:t>
      </w:r>
    </w:p>
    <w:p>
      <w:pPr>
        <w:pStyle w:val="BodyText"/>
        <w:numPr>
          <w:ilvl w:val="0"/>
          <w:numId w:val="0"/>
        </w:numPr>
        <w:bidi w:val="0"/>
        <w:ind w:hanging="0" w:start="1080"/>
        <w:jc w:val="start"/>
        <w:rPr/>
      </w:pPr>
      <w:r>
        <w:rPr/>
        <w:t xml:space="preserve">[4] Noor, Z., Hina, S., Hayat, F., &amp; Shah, G. A. (2023). </w:t>
      </w:r>
      <w:r>
        <w:rPr>
          <w:rStyle w:val="Emphasis"/>
        </w:rPr>
        <w:t>An intelligent context-aware threat detection and response model for smart cyber-physical systems</w:t>
      </w:r>
      <w:r>
        <w:rPr/>
        <w:t xml:space="preserve">. </w:t>
      </w:r>
      <w:r>
        <w:rPr>
          <w:rStyle w:val="Strong"/>
        </w:rPr>
        <w:t>Internet of Things, 23</w:t>
      </w:r>
      <w:r>
        <w:rPr/>
        <w:t>, Article 100843 (14 pages).</w:t>
      </w:r>
    </w:p>
    <w:p>
      <w:pPr>
        <w:pStyle w:val="BodyText"/>
        <w:numPr>
          <w:ilvl w:val="0"/>
          <w:numId w:val="0"/>
        </w:numPr>
        <w:bidi w:val="0"/>
        <w:ind w:hanging="0" w:start="1080"/>
        <w:jc w:val="start"/>
        <w:rPr/>
      </w:pPr>
      <w:r>
        <w:rPr/>
        <w:t xml:space="preserve">[5] Kalaria, R., Kayes, A. S. M., Rahayu, W., &amp; Whittaker, F. (2024). </w:t>
      </w:r>
      <w:r>
        <w:rPr>
          <w:rStyle w:val="Emphasis"/>
        </w:rPr>
        <w:t>Adaptive context-aware access control for IoT environments leveraging fog computing</w:t>
      </w:r>
      <w:r>
        <w:rPr/>
        <w:t xml:space="preserve">. </w:t>
      </w:r>
      <w:r>
        <w:rPr>
          <w:rStyle w:val="Strong"/>
        </w:rPr>
        <w:t>International Journal of Information Security, 23</w:t>
      </w:r>
      <w:r>
        <w:rPr/>
        <w:t xml:space="preserve">, 3089–3107 (19 pages). </w:t>
      </w:r>
    </w:p>
    <w:p>
      <w:pPr>
        <w:pStyle w:val="BodyText"/>
        <w:numPr>
          <w:ilvl w:val="0"/>
          <w:numId w:val="0"/>
        </w:numPr>
        <w:bidi w:val="0"/>
        <w:ind w:hanging="0" w:start="1080"/>
        <w:jc w:val="start"/>
        <w:rPr/>
      </w:pPr>
      <w:r>
        <w:rPr/>
        <w:t xml:space="preserve">[6] Patel, V. H., &amp; Patel, S. G. (2025). </w:t>
      </w:r>
      <w:r>
        <w:rPr>
          <w:rStyle w:val="Emphasis"/>
        </w:rPr>
        <w:t>Adaptive encryption framework with fog offloading for secure healthcare data processing on resource-constrained devices.</w:t>
      </w:r>
      <w:r>
        <w:rPr/>
        <w:t xml:space="preserve"> International Journal of Environmental Sciences, 11(19s), 2978–2982 (5 pages).</w:t>
      </w:r>
    </w:p>
    <w:p>
      <w:pPr>
        <w:pStyle w:val="BodyText"/>
        <w:numPr>
          <w:ilvl w:val="0"/>
          <w:numId w:val="0"/>
        </w:numPr>
        <w:bidi w:val="0"/>
        <w:ind w:hanging="0" w:start="1080"/>
        <w:jc w:val="start"/>
        <w:rPr/>
      </w:pPr>
      <w:r>
        <w:rPr/>
        <w:t xml:space="preserve">[7] Narkedimilli, S., Venkata Sriram, A., &amp; Raghav, S. (2024). </w:t>
      </w:r>
      <w:r>
        <w:rPr>
          <w:rStyle w:val="Emphasis"/>
        </w:rPr>
        <w:t>FL-DABE-BC: A privacy-enhanced, decentralized authentication and secure communication framework with decentralized attribute-based encryption and blockchain for IoT scenarios.</w:t>
      </w:r>
      <w:r>
        <w:rPr/>
        <w:t xml:space="preserve"> </w:t>
      </w:r>
      <w:r>
        <w:rPr>
          <w:rStyle w:val="Strong"/>
        </w:rPr>
        <w:t>arXiv preprint</w:t>
      </w:r>
      <w:r>
        <w:rPr/>
        <w:t>, arXiv:2410.20259 (8 pages).</w:t>
      </w:r>
    </w:p>
    <w:p>
      <w:pPr>
        <w:pStyle w:val="BodyText"/>
        <w:numPr>
          <w:ilvl w:val="0"/>
          <w:numId w:val="0"/>
        </w:numPr>
        <w:bidi w:val="0"/>
        <w:ind w:hanging="0" w:start="1080"/>
        <w:jc w:val="start"/>
        <w:rPr/>
      </w:pPr>
      <w:r>
        <w:rPr/>
        <w:t xml:space="preserve">[8] Kumar, B. N., &amp; Srinivas, M. (2023). </w:t>
      </w:r>
      <w:r>
        <w:rPr>
          <w:rStyle w:val="Emphasis"/>
        </w:rPr>
        <w:t>Hybrid attribute-based symmetric encryption algorithm for enhanced access policies in medical wireless sensor networks.</w:t>
      </w:r>
      <w:r>
        <w:rPr/>
        <w:t xml:space="preserve"> </w:t>
      </w:r>
      <w:r>
        <w:rPr>
          <w:rStyle w:val="Strong"/>
        </w:rPr>
        <w:t>International Journal of Intelligent Systems and Applications in Engineering</w:t>
      </w:r>
      <w:r>
        <w:rPr/>
        <w:t>, 11(3), 958–964 (8 pages).</w:t>
      </w:r>
    </w:p>
    <w:p>
      <w:pPr>
        <w:pStyle w:val="BodyText"/>
        <w:numPr>
          <w:ilvl w:val="0"/>
          <w:numId w:val="0"/>
        </w:numPr>
        <w:bidi w:val="0"/>
        <w:ind w:hanging="0" w:start="1080"/>
        <w:jc w:val="start"/>
        <w:rPr/>
      </w:pPr>
      <w:r>
        <w:rPr/>
        <w:t xml:space="preserve">[9] Thakur, I., Karmakar, A., Li, C., &amp; Preneel, B. (2025). </w:t>
      </w:r>
      <w:r>
        <w:rPr>
          <w:rStyle w:val="Emphasis"/>
        </w:rPr>
        <w:t>A survey on transciphering and symmetric ciphers for homomorphic encryption.</w:t>
      </w:r>
      <w:r>
        <w:rPr/>
        <w:t xml:space="preserve"> </w:t>
      </w:r>
      <w:r>
        <w:rPr>
          <w:rStyle w:val="Strong"/>
        </w:rPr>
        <w:t>Cryptology ePrint Archive</w:t>
      </w:r>
      <w:r>
        <w:rPr/>
        <w:t>, Paper 2025/093 (35 pages).</w:t>
      </w:r>
    </w:p>
    <w:p>
      <w:pPr>
        <w:pStyle w:val="BodyText"/>
        <w:numPr>
          <w:ilvl w:val="0"/>
          <w:numId w:val="0"/>
        </w:numPr>
        <w:bidi w:val="0"/>
        <w:ind w:hanging="0" w:start="1080"/>
        <w:jc w:val="start"/>
        <w:rPr/>
      </w:pPr>
      <w:r>
        <w:rPr/>
        <w:t xml:space="preserve">[10] Kerl, M., Bodin, U., &amp;, Schelen Y. (2025). </w:t>
      </w:r>
      <w:r>
        <w:rPr>
          <w:rStyle w:val="Emphasis"/>
        </w:rPr>
        <w:t>Privacy-preserving attribute-based access control using homomorphic encryption.</w:t>
      </w:r>
      <w:r>
        <w:rPr/>
        <w:t xml:space="preserve"> </w:t>
      </w:r>
      <w:r>
        <w:rPr>
          <w:rStyle w:val="Strong"/>
        </w:rPr>
        <w:t>Cybersecurity</w:t>
      </w:r>
      <w:r>
        <w:rPr/>
        <w:t>, 8(5), Article 00232 (16 pages).</w:t>
      </w:r>
    </w:p>
    <w:p>
      <w:pPr>
        <w:pStyle w:val="BodyText"/>
        <w:numPr>
          <w:ilvl w:val="0"/>
          <w:numId w:val="0"/>
        </w:numPr>
        <w:bidi w:val="0"/>
        <w:ind w:hanging="0" w:start="1080"/>
        <w:jc w:val="start"/>
        <w:rPr/>
      </w:pPr>
      <w:r>
        <w:rPr/>
        <w:t xml:space="preserve">[11] Dar Z., Ahmad A., Khan F. K., Zeshan F., Iqbal R., Sherazi H. H. R. &amp; Bashir A. K. (2020). </w:t>
      </w:r>
      <w:r>
        <w:rPr>
          <w:rStyle w:val="Emphasis"/>
        </w:rPr>
        <w:t>A context-aware encryption protocol suite for edge computing-based IoT devices.</w:t>
      </w:r>
      <w:r>
        <w:rPr/>
        <w:t xml:space="preserve"> </w:t>
      </w:r>
      <w:r>
        <w:rPr>
          <w:rStyle w:val="Strong"/>
        </w:rPr>
        <w:t>Journal of Supercomputing</w:t>
      </w:r>
      <w:r>
        <w:rPr/>
        <w:t>, 76(4), 2548–2567 (19 pages).</w:t>
      </w:r>
    </w:p>
    <w:p>
      <w:pPr>
        <w:pStyle w:val="BodyText"/>
        <w:numPr>
          <w:ilvl w:val="0"/>
          <w:numId w:val="0"/>
        </w:numPr>
        <w:bidi w:val="0"/>
        <w:ind w:hanging="0" w:start="1080"/>
        <w:jc w:val="start"/>
        <w:rPr/>
      </w:pPr>
      <w:r>
        <w:rPr/>
        <w:t xml:space="preserve">[12] Acar, A., Aksu, H., Uluagac, A. S., &amp; Conti, M. (2017). </w:t>
      </w:r>
      <w:r>
        <w:rPr>
          <w:rStyle w:val="Emphasis"/>
        </w:rPr>
        <w:t>A survey on homomorphic encryption schemes: Theory and implementation.</w:t>
      </w:r>
      <w:r>
        <w:rPr/>
        <w:t xml:space="preserve"> </w:t>
      </w:r>
      <w:r>
        <w:rPr>
          <w:rStyle w:val="Strong"/>
        </w:rPr>
        <w:t>arXiv preprint</w:t>
      </w:r>
      <w:r>
        <w:rPr/>
        <w:t>, arXiv:1704.03578 (35 pages).</w:t>
      </w:r>
    </w:p>
    <w:p>
      <w:pPr>
        <w:pStyle w:val="BodyText"/>
        <w:numPr>
          <w:ilvl w:val="0"/>
          <w:numId w:val="0"/>
        </w:numPr>
        <w:bidi w:val="0"/>
        <w:ind w:hanging="0" w:start="1080"/>
        <w:jc w:val="start"/>
        <w:rPr/>
      </w:pPr>
      <w:r>
        <w:rPr/>
        <w:t xml:space="preserve">[13] Wu Y., Zhang W., Xiong H., Qin Z. &amp; Yeh K. H. (2021). </w:t>
      </w:r>
      <w:r>
        <w:rPr>
          <w:rStyle w:val="Emphasis"/>
        </w:rPr>
        <w:t>Efficient access control with traceability and user revocation in IoT.</w:t>
      </w:r>
      <w:r>
        <w:rPr/>
        <w:t xml:space="preserve"> </w:t>
      </w:r>
      <w:r>
        <w:rPr>
          <w:rStyle w:val="Strong"/>
        </w:rPr>
        <w:t>Multimedia Tools and Applications</w:t>
      </w:r>
      <w:r>
        <w:rPr/>
        <w:t>, 80(18), 31487–31508 (21 pages).</w:t>
      </w:r>
    </w:p>
    <w:p>
      <w:pPr>
        <w:pStyle w:val="BodyText"/>
        <w:numPr>
          <w:ilvl w:val="0"/>
          <w:numId w:val="0"/>
        </w:numPr>
        <w:bidi w:val="0"/>
        <w:ind w:hanging="0" w:start="1080"/>
        <w:jc w:val="start"/>
        <w:rPr/>
      </w:pPr>
      <w:r>
        <w:rPr/>
        <w:t xml:space="preserve">[14] Shekhar, S., &amp; Shukla, A. K. (2025). </w:t>
      </w:r>
      <w:r>
        <w:rPr>
          <w:rStyle w:val="Emphasis"/>
        </w:rPr>
        <w:t>Attribute-based encryption for secure data sharing in IoT ecosystems.</w:t>
      </w:r>
      <w:r>
        <w:rPr/>
        <w:t xml:space="preserve"> </w:t>
      </w:r>
      <w:r>
        <w:rPr>
          <w:rStyle w:val="Strong"/>
        </w:rPr>
        <w:t>Journal of Neonatal Surgery</w:t>
      </w:r>
      <w:r>
        <w:rPr/>
        <w:t>, 14(1), 53–59 (7 pages).</w:t>
      </w:r>
    </w:p>
    <w:p>
      <w:pPr>
        <w:pStyle w:val="BodyText"/>
        <w:numPr>
          <w:ilvl w:val="0"/>
          <w:numId w:val="0"/>
        </w:numPr>
        <w:bidi w:val="0"/>
        <w:spacing w:before="0" w:after="140"/>
        <w:ind w:hanging="0" w:start="1080"/>
        <w:jc w:val="start"/>
        <w:rPr/>
      </w:pPr>
      <w:r>
        <w:rPr/>
        <w:t xml:space="preserve">[15] Singh, A., Rathee, G., Kerrache, C. A., &amp; Ghanem, M. C. (2025). </w:t>
      </w:r>
      <w:r>
        <w:rPr>
          <w:rStyle w:val="Emphasis"/>
        </w:rPr>
        <w:t>A relay-chain-powered ciphertext-policy attribute-based encryption in intelligent transportation systems.</w:t>
      </w:r>
      <w:r>
        <w:rPr/>
        <w:t xml:space="preserve"> </w:t>
      </w:r>
      <w:r>
        <w:rPr>
          <w:rStyle w:val="Strong"/>
        </w:rPr>
        <w:t>arXiv preprint</w:t>
      </w:r>
      <w:r>
        <w:rPr/>
        <w:t>, arXiv:2508.16189 (14 pages).</w:t>
      </w:r>
      <w:r>
        <w:br w:type="page"/>
      </w:r>
    </w:p>
    <w:p>
      <w:pPr>
        <w:pStyle w:val="BodyText"/>
        <w:numPr>
          <w:ilvl w:val="0"/>
          <w:numId w:val="0"/>
        </w:numPr>
        <w:bidi w:val="0"/>
        <w:spacing w:before="0" w:after="140"/>
        <w:ind w:hanging="0" w:start="0"/>
        <w:jc w:val="start"/>
        <w:rPr/>
      </w:pPr>
      <w:r>
        <w:rPr/>
      </w:r>
    </w:p>
    <w:p>
      <w:pPr>
        <w:pStyle w:val="Heading2"/>
        <w:numPr>
          <w:ilvl w:val="0"/>
          <w:numId w:val="0"/>
        </w:numPr>
        <w:ind w:hanging="0" w:start="0"/>
        <w:rPr/>
      </w:pPr>
      <w:r>
        <w:rPr/>
        <w:t>Chapter 5: Methodology and Implementation</w:t>
      </w:r>
    </w:p>
    <w:p>
      <w:pPr>
        <w:pStyle w:val="BodyText"/>
        <w:numPr>
          <w:ilvl w:val="0"/>
          <w:numId w:val="0"/>
        </w:numPr>
        <w:bidi w:val="0"/>
        <w:spacing w:before="0" w:after="140"/>
        <w:ind w:hanging="0" w:start="0"/>
        <w:jc w:val="start"/>
        <w:rPr/>
      </w:pPr>
      <w:r>
        <w:rPr/>
        <w:tab/>
        <w:t>This chapter presents the methodology used to evaluate the proposed Intent-Aware Encryption framework. It describes the experimental model, data sources, experimental protocols, formalization, validation strategies, comparison baselines, and the overall experimental plan. The chapter provides a clear and reproducible foundation for assessing the performance, security, and efficiency of IAE.</w:t>
      </w:r>
    </w:p>
    <w:p>
      <w:pPr>
        <w:pStyle w:val="Heading3"/>
        <w:numPr>
          <w:ilvl w:val="2"/>
          <w:numId w:val="1"/>
        </w:numPr>
        <w:ind w:hanging="0" w:start="0"/>
        <w:rPr/>
      </w:pPr>
      <w:r>
        <w:rPr/>
      </w:r>
    </w:p>
    <w:p>
      <w:pPr>
        <w:pStyle w:val="Heading3"/>
        <w:numPr>
          <w:ilvl w:val="2"/>
          <w:numId w:val="1"/>
        </w:numPr>
        <w:ind w:hanging="0" w:start="0"/>
        <w:rPr/>
      </w:pPr>
      <w:r>
        <w:rPr/>
        <w:t>5.1 Overview</w:t>
      </w:r>
    </w:p>
    <w:p>
      <w:pPr>
        <w:pStyle w:val="BodyText"/>
        <w:ind w:hanging="0" w:start="0"/>
        <w:rPr/>
      </w:pPr>
      <w:r>
        <w:rPr/>
        <w:t>The experimental methodology aims to systematically evaluate IAE across multiple dimensions, including intent classification accuracy, adaptive encryption behavior, system performance, and security robustness. Experiments are designed to be reproducible and scalable, incorporating both real-world datasets and synthetic scenarios. Key goals include:</w:t>
      </w:r>
    </w:p>
    <w:p>
      <w:pPr>
        <w:pStyle w:val="BodyText"/>
        <w:numPr>
          <w:ilvl w:val="0"/>
          <w:numId w:val="4"/>
        </w:numPr>
        <w:tabs>
          <w:tab w:val="clear" w:pos="709"/>
          <w:tab w:val="left" w:pos="0" w:leader="none"/>
        </w:tabs>
        <w:ind w:hanging="283" w:start="720"/>
        <w:rPr/>
      </w:pPr>
      <w:r>
        <w:rPr/>
        <w:t>Assessing the accuracy of intent inference from context and behavioral data.</w:t>
      </w:r>
    </w:p>
    <w:p>
      <w:pPr>
        <w:pStyle w:val="BodyText"/>
        <w:numPr>
          <w:ilvl w:val="0"/>
          <w:numId w:val="5"/>
        </w:numPr>
        <w:tabs>
          <w:tab w:val="clear" w:pos="709"/>
          <w:tab w:val="left" w:pos="0" w:leader="none"/>
        </w:tabs>
        <w:ind w:hanging="283" w:start="720"/>
        <w:rPr/>
      </w:pPr>
      <w:r>
        <w:rPr/>
        <w:t>Evaluating dynamic adaptation of encryption parameters based on inferred intent.</w:t>
      </w:r>
    </w:p>
    <w:p>
      <w:pPr>
        <w:pStyle w:val="BodyText"/>
        <w:numPr>
          <w:ilvl w:val="0"/>
          <w:numId w:val="6"/>
        </w:numPr>
        <w:tabs>
          <w:tab w:val="clear" w:pos="709"/>
          <w:tab w:val="left" w:pos="0" w:leader="none"/>
        </w:tabs>
        <w:ind w:hanging="283" w:start="720"/>
        <w:rPr/>
      </w:pPr>
      <w:r>
        <w:rPr/>
        <w:t>Measuring performance in terms of latency, energy consumption, and throughput.</w:t>
      </w:r>
    </w:p>
    <w:p>
      <w:pPr>
        <w:pStyle w:val="BodyText"/>
        <w:numPr>
          <w:ilvl w:val="0"/>
          <w:numId w:val="7"/>
        </w:numPr>
        <w:tabs>
          <w:tab w:val="clear" w:pos="709"/>
          <w:tab w:val="left" w:pos="0" w:leader="none"/>
        </w:tabs>
        <w:ind w:hanging="283" w:start="720"/>
        <w:rPr/>
      </w:pPr>
      <w:r>
        <w:rPr/>
        <w:t>Analyzing security, privacy, and resilience under attack scenarios.</w:t>
      </w:r>
    </w:p>
    <w:p>
      <w:pPr>
        <w:pStyle w:val="BodyText"/>
        <w:ind w:hanging="0" w:start="0"/>
        <w:rPr/>
      </w:pPr>
      <w:r>
        <w:rPr/>
      </w:r>
    </w:p>
    <w:p>
      <w:pPr>
        <w:pStyle w:val="Heading3"/>
        <w:numPr>
          <w:ilvl w:val="2"/>
          <w:numId w:val="1"/>
        </w:numPr>
        <w:ind w:hanging="0" w:start="0"/>
        <w:rPr/>
      </w:pPr>
      <w:r>
        <w:rPr/>
        <w:t>5.2 Data and Scenario Design</w:t>
      </w:r>
    </w:p>
    <w:p>
      <w:pPr>
        <w:pStyle w:val="BodyText"/>
        <w:ind w:hanging="0" w:start="0"/>
        <w:rPr/>
      </w:pPr>
      <w:r>
        <w:rPr/>
      </w:r>
    </w:p>
    <w:p>
      <w:pPr>
        <w:pStyle w:val="Heading"/>
        <w:rPr/>
      </w:pPr>
      <w:r>
        <w:rPr/>
        <w:t>Data Sources</w:t>
      </w:r>
    </w:p>
    <w:p>
      <w:pPr>
        <w:pStyle w:val="BodyText"/>
        <w:ind w:hanging="0" w:start="0"/>
        <w:rPr/>
      </w:pPr>
      <w:r>
        <w:rPr/>
        <w:t>Experiments leverage a combination of real-world and synthetic data:</w:t>
      </w:r>
    </w:p>
    <w:p>
      <w:pPr>
        <w:pStyle w:val="BodyText"/>
        <w:numPr>
          <w:ilvl w:val="0"/>
          <w:numId w:val="8"/>
        </w:numPr>
        <w:tabs>
          <w:tab w:val="clear" w:pos="709"/>
          <w:tab w:val="left" w:pos="0" w:leader="none"/>
        </w:tabs>
        <w:ind w:hanging="283" w:start="709"/>
        <w:rPr/>
      </w:pPr>
      <w:r>
        <w:rPr>
          <w:rStyle w:val="Strong"/>
        </w:rPr>
        <w:t>Context traces:</w:t>
      </w:r>
      <w:r>
        <w:rPr/>
        <w:t xml:space="preserve"> IoT-23 and UNSW-NB15 datasets provide realistic communication and activity patterns.</w:t>
      </w:r>
    </w:p>
    <w:p>
      <w:pPr>
        <w:pStyle w:val="BodyText"/>
        <w:numPr>
          <w:ilvl w:val="0"/>
          <w:numId w:val="8"/>
        </w:numPr>
        <w:tabs>
          <w:tab w:val="clear" w:pos="709"/>
          <w:tab w:val="left" w:pos="0" w:leader="none"/>
        </w:tabs>
        <w:ind w:hanging="283" w:start="709"/>
        <w:rPr/>
      </w:pPr>
      <w:r>
        <w:rPr>
          <w:rStyle w:val="Strong"/>
        </w:rPr>
        <w:t>Sensor telemetry:</w:t>
      </w:r>
      <w:r>
        <w:rPr/>
        <w:t xml:space="preserve"> Datasets such as UCI Human Activity Recognition offer fine-grained behavioral signals.</w:t>
      </w:r>
    </w:p>
    <w:p>
      <w:pPr>
        <w:pStyle w:val="BodyText"/>
        <w:numPr>
          <w:ilvl w:val="0"/>
          <w:numId w:val="8"/>
        </w:numPr>
        <w:tabs>
          <w:tab w:val="clear" w:pos="709"/>
          <w:tab w:val="left" w:pos="0" w:leader="none"/>
        </w:tabs>
        <w:ind w:hanging="283" w:start="709"/>
        <w:rPr/>
      </w:pPr>
      <w:r>
        <w:rPr>
          <w:rStyle w:val="Strong"/>
        </w:rPr>
        <w:t>Synthetic intent labels:</w:t>
      </w:r>
      <w:r>
        <w:rPr/>
        <w:t xml:space="preserve"> Predefined intents, including </w:t>
      </w:r>
      <w:r>
        <w:rPr>
          <w:rStyle w:val="SourceText"/>
        </w:rPr>
        <w:t>emergency</w:t>
      </w:r>
      <w:r>
        <w:rPr/>
        <w:t xml:space="preserve">, </w:t>
      </w:r>
      <w:r>
        <w:rPr>
          <w:rStyle w:val="SourceText"/>
        </w:rPr>
        <w:t>confidential-transfer</w:t>
      </w:r>
      <w:r>
        <w:rPr/>
        <w:t xml:space="preserve">, </w:t>
      </w:r>
      <w:r>
        <w:rPr>
          <w:rStyle w:val="SourceText"/>
        </w:rPr>
        <w:t>routine-report</w:t>
      </w:r>
      <w:r>
        <w:rPr/>
        <w:t xml:space="preserve">, </w:t>
      </w:r>
      <w:r>
        <w:rPr>
          <w:rStyle w:val="SourceText"/>
        </w:rPr>
        <w:t>diagnostic</w:t>
      </w:r>
      <w:r>
        <w:rPr/>
        <w:t xml:space="preserve">, and </w:t>
      </w:r>
      <w:r>
        <w:rPr>
          <w:rStyle w:val="SourceText"/>
        </w:rPr>
        <w:t>maintenance</w:t>
      </w:r>
      <w:r>
        <w:rPr/>
        <w:t>, are associated with events.</w:t>
      </w:r>
    </w:p>
    <w:p>
      <w:pPr>
        <w:pStyle w:val="BodyText"/>
        <w:numPr>
          <w:ilvl w:val="0"/>
          <w:numId w:val="8"/>
        </w:numPr>
        <w:tabs>
          <w:tab w:val="clear" w:pos="709"/>
          <w:tab w:val="left" w:pos="0" w:leader="none"/>
        </w:tabs>
        <w:ind w:hanging="283" w:start="709"/>
        <w:rPr/>
      </w:pPr>
      <w:r>
        <w:rPr>
          <w:rStyle w:val="Strong"/>
        </w:rPr>
        <w:t>Attack scenarios:</w:t>
      </w:r>
      <w:r>
        <w:rPr/>
        <w:t xml:space="preserve"> Intrusion datasets like CICIDS are used to test resilience against malicious activities.</w:t>
      </w:r>
    </w:p>
    <w:p>
      <w:pPr>
        <w:pStyle w:val="BodyText"/>
        <w:ind w:hanging="0" w:start="0"/>
        <w:rPr/>
      </w:pPr>
      <w:r>
        <w:rPr/>
      </w:r>
    </w:p>
    <w:p>
      <w:pPr>
        <w:pStyle w:val="Heading"/>
        <w:rPr/>
      </w:pPr>
      <w:r>
        <w:rPr/>
        <w:t>Feature Design</w:t>
      </w:r>
    </w:p>
    <w:p>
      <w:pPr>
        <w:pStyle w:val="BodyText"/>
        <w:ind w:hanging="0" w:start="0"/>
        <w:rPr/>
      </w:pPr>
      <w:r>
        <w:rPr/>
        <w:t>Each event at time t is represented by:</w:t>
      </w:r>
    </w:p>
    <w:p>
      <w:pPr>
        <w:pStyle w:val="BodyText"/>
        <w:ind w:hanging="0" w:start="0"/>
        <w:rPr/>
      </w:pPr>
      <w:r>
        <w:rPr/>
        <w:tab/>
      </w:r>
      <w:r>
        <w:rPr/>
      </w:r>
      <m:oMath xmlns:m="http://schemas.openxmlformats.org/officeDocument/2006/math">
        <m:sSub>
          <m:e>
            <m:r>
              <m:t xml:space="preserve">E</m:t>
            </m:r>
          </m:e>
          <m:sub>
            <m:r>
              <m:t xml:space="preserve">t</m:t>
            </m:r>
          </m:sub>
        </m:sSub>
        <m:r>
          <m:t xml:space="preserve">=</m:t>
        </m:r>
        <m:r>
          <m:t xml:space="preserve">{</m:t>
        </m:r>
        <m:sSub>
          <m:e>
            <m:r>
              <m:t xml:space="preserve">C</m:t>
            </m:r>
          </m:e>
          <m:sub>
            <m:r>
              <m:t xml:space="preserve">t</m:t>
            </m:r>
          </m:sub>
        </m:sSub>
        <m:r>
          <m:t xml:space="preserve">,</m:t>
        </m:r>
        <m:sSub>
          <m:e>
            <m:r>
              <m:t xml:space="preserve">M</m:t>
            </m:r>
          </m:e>
          <m:sub>
            <m:r>
              <m:t xml:space="preserve">t</m:t>
            </m:r>
          </m:sub>
        </m:sSub>
        <m:r>
          <m:t xml:space="preserve">,</m:t>
        </m:r>
        <m:sSub>
          <m:e>
            <m:r>
              <m:t xml:space="preserve">X</m:t>
            </m:r>
          </m:e>
          <m:sub>
            <m:r>
              <m:t xml:space="preserve">t</m:t>
            </m:r>
          </m:sub>
        </m:sSub>
        <m:r>
          <m:t xml:space="preserve">,</m:t>
        </m:r>
        <m:sSub>
          <m:e>
            <m:r>
              <m:t xml:space="preserve">I</m:t>
            </m:r>
          </m:e>
          <m:sub>
            <m:r>
              <m:t xml:space="preserve">t</m:t>
            </m:r>
          </m:sub>
        </m:sSub>
        <m:r>
          <m:t xml:space="preserve">}</m:t>
        </m:r>
      </m:oMath>
    </w:p>
    <w:p>
      <w:pPr>
        <w:pStyle w:val="BodyText"/>
        <w:ind w:hanging="0" w:start="0"/>
        <w:rPr/>
      </w:pPr>
      <w:r>
        <w:rPr/>
        <w:t>Where:</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C</m:t>
            </m:r>
          </m:e>
          <m:sub>
            <m:r>
              <m:t xml:space="preserve">t</m:t>
            </m:r>
          </m:sub>
        </m:sSub>
      </m:oMath>
      <w:r>
        <w:rPr/>
        <w:t>​</w:t>
      </w:r>
      <w:r>
        <w:rPr/>
        <w:t>: context vector</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M</m:t>
            </m:r>
          </m:e>
          <m:sub>
            <m:r>
              <m:t xml:space="preserve">t</m:t>
            </m:r>
          </m:sub>
        </m:sSub>
      </m:oMath>
      <w:r>
        <w:rPr/>
        <w:t>​</w:t>
      </w:r>
      <w:r>
        <w:rPr/>
        <w:t>: metadata</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X</m:t>
            </m:r>
          </m:e>
          <m:sub>
            <m:r>
              <m:t xml:space="preserve">t</m:t>
            </m:r>
          </m:sub>
        </m:sSub>
      </m:oMath>
      <w:r>
        <w:rPr/>
        <w:t>​</w:t>
      </w:r>
      <w:r>
        <w:rPr/>
        <w:t>: behavioral features</w:t>
      </w:r>
    </w:p>
    <w:p>
      <w:pPr>
        <w:pStyle w:val="BodyText"/>
        <w:numPr>
          <w:ilvl w:val="0"/>
          <w:numId w:val="9"/>
        </w:numPr>
        <w:tabs>
          <w:tab w:val="clear" w:pos="709"/>
          <w:tab w:val="left" w:pos="0" w:leader="none"/>
        </w:tabs>
        <w:ind w:hanging="283" w:start="709"/>
        <w:rPr/>
      </w:pPr>
      <w:r>
        <w:rPr/>
      </w:r>
      <m:oMath xmlns:m="http://schemas.openxmlformats.org/officeDocument/2006/math">
        <m:sSub>
          <m:e>
            <m:r>
              <m:t xml:space="preserve">I</m:t>
            </m:r>
          </m:e>
          <m:sub>
            <m:r>
              <m:t xml:space="preserve">t</m:t>
            </m:r>
          </m:sub>
        </m:sSub>
      </m:oMath>
      <w:r>
        <w:rPr/>
        <w:t>​</w:t>
      </w:r>
      <w:r>
        <w:rPr/>
        <w:t>: intent label</w:t>
      </w:r>
    </w:p>
    <w:p>
      <w:pPr>
        <w:pStyle w:val="BodyText"/>
        <w:ind w:hanging="0" w:start="0"/>
        <w:rPr/>
      </w:pPr>
      <w:r>
        <w:rPr/>
        <w:t>All features are normalized and timestamped to ensure consistency across experiments.</w:t>
      </w:r>
    </w:p>
    <w:p>
      <w:pPr>
        <w:pStyle w:val="BodyText"/>
        <w:ind w:hanging="0" w:start="0"/>
        <w:rPr/>
      </w:pPr>
      <w:r>
        <w:rPr/>
      </w:r>
    </w:p>
    <w:p>
      <w:pPr>
        <w:pStyle w:val="Heading3"/>
        <w:numPr>
          <w:ilvl w:val="0"/>
          <w:numId w:val="1"/>
        </w:numPr>
        <w:ind w:hanging="0" w:start="0"/>
        <w:rPr/>
      </w:pPr>
      <w:r>
        <w:rPr/>
        <w:t>5.3 Experimental Protocols</w:t>
      </w:r>
    </w:p>
    <w:p>
      <w:pPr>
        <w:pStyle w:val="BodyText"/>
        <w:rPr/>
      </w:pPr>
      <w:r>
        <w:rPr/>
        <w:t>The experimental protocols are organized around four main evaluation dimensions:</w:t>
      </w:r>
    </w:p>
    <w:p>
      <w:pPr>
        <w:pStyle w:val="BodyText"/>
        <w:numPr>
          <w:ilvl w:val="0"/>
          <w:numId w:val="10"/>
        </w:numPr>
        <w:rPr/>
      </w:pPr>
      <w:r>
        <w:rPr>
          <w:rStyle w:val="Strong"/>
        </w:rPr>
        <w:t>Intent Classification</w:t>
      </w:r>
    </w:p>
    <w:p>
      <w:pPr>
        <w:pStyle w:val="BodyText"/>
        <w:numPr>
          <w:ilvl w:val="1"/>
          <w:numId w:val="10"/>
        </w:numPr>
        <w:rPr/>
      </w:pPr>
      <w:r>
        <w:rPr/>
        <w:t>Evaluates the accuracy of intent inference using machine learning models such as logistic regression, random forests, and neural networks.</w:t>
      </w:r>
    </w:p>
    <w:p>
      <w:pPr>
        <w:pStyle w:val="BodyText"/>
        <w:numPr>
          <w:ilvl w:val="0"/>
          <w:numId w:val="10"/>
        </w:numPr>
        <w:rPr/>
      </w:pPr>
      <w:r>
        <w:rPr>
          <w:rStyle w:val="Strong"/>
        </w:rPr>
        <w:t>Adaptive Encryption Behavior</w:t>
      </w:r>
    </w:p>
    <w:p>
      <w:pPr>
        <w:pStyle w:val="BodyText"/>
        <w:numPr>
          <w:ilvl w:val="1"/>
          <w:numId w:val="10"/>
        </w:numPr>
        <w:rPr/>
      </w:pPr>
      <w:r>
        <w:rPr/>
        <w:t>Observes how IAE dynamically adjusts encryption parameters based on inferred intent and context.</w:t>
      </w:r>
    </w:p>
    <w:p>
      <w:pPr>
        <w:pStyle w:val="BodyText"/>
        <w:numPr>
          <w:ilvl w:val="0"/>
          <w:numId w:val="10"/>
        </w:numPr>
        <w:rPr/>
      </w:pPr>
      <w:r>
        <w:rPr>
          <w:rStyle w:val="Strong"/>
        </w:rPr>
        <w:t>Performance Benchmarking</w:t>
      </w:r>
    </w:p>
    <w:p>
      <w:pPr>
        <w:pStyle w:val="BodyText"/>
        <w:numPr>
          <w:ilvl w:val="1"/>
          <w:numId w:val="10"/>
        </w:numPr>
        <w:rPr/>
      </w:pPr>
      <w:r>
        <w:rPr/>
        <w:t>Measures system latency, energy consumption, and throughput, comparing IAE against context-only and static encryption methods.</w:t>
      </w:r>
    </w:p>
    <w:p>
      <w:pPr>
        <w:pStyle w:val="BodyText"/>
        <w:numPr>
          <w:ilvl w:val="0"/>
          <w:numId w:val="10"/>
        </w:numPr>
        <w:rPr/>
      </w:pPr>
      <w:r>
        <w:rPr>
          <w:rStyle w:val="Strong"/>
        </w:rPr>
        <w:t>Security Assessment</w:t>
      </w:r>
    </w:p>
    <w:p>
      <w:pPr>
        <w:pStyle w:val="BodyText"/>
        <w:numPr>
          <w:ilvl w:val="1"/>
          <w:numId w:val="10"/>
        </w:numPr>
        <w:rPr/>
      </w:pPr>
      <w:r>
        <w:rPr/>
        <w:t>Evaluates confidentiality, privacy leakage, and resilience under attack scenarios using baseline datasets.</w:t>
      </w:r>
    </w:p>
    <w:p>
      <w:pPr>
        <w:pStyle w:val="BodyText"/>
        <w:rPr/>
      </w:pPr>
      <w:r>
        <w:rPr/>
      </w:r>
    </w:p>
    <w:p>
      <w:pPr>
        <w:pStyle w:val="Heading3"/>
        <w:numPr>
          <w:ilvl w:val="0"/>
          <w:numId w:val="1"/>
        </w:numPr>
        <w:ind w:hanging="0" w:start="0"/>
        <w:rPr/>
      </w:pPr>
      <w:r>
        <w:rPr/>
        <w:t>5.4 Mathematical / Formal Model</w:t>
      </w:r>
    </w:p>
    <w:p>
      <w:pPr>
        <w:pStyle w:val="BodyText"/>
        <w:rPr/>
      </w:pPr>
      <w:r>
        <w:rPr/>
        <w:t>The IAE framework can be formalized using the following notation:</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C</m:t>
            </m:r>
          </m:e>
          <m:sub>
            <m:r>
              <m:t xml:space="preserve">t</m:t>
            </m:r>
          </m:sub>
        </m:sSub>
      </m:oMath>
      <w:r>
        <w:rPr/>
        <w:t>​</w:t>
      </w:r>
      <w:r>
        <w:rPr/>
        <w:t>: context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X</m:t>
            </m:r>
          </m:e>
          <m:sub>
            <m:r>
              <m:t xml:space="preserve">t</m:t>
            </m:r>
          </m:sub>
        </m:sSub>
      </m:oMath>
      <w:r>
        <w:rPr/>
        <w:t>​</w:t>
      </w:r>
      <w:r>
        <w:rPr/>
        <w:t>: features</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I</m:t>
            </m:r>
          </m:e>
          <m:sub>
            <m:r>
              <m:t xml:space="preserve">t</m:t>
            </m:r>
          </m:sub>
        </m:sSub>
      </m:oMath>
      <w:r>
        <w:rPr/>
        <w:t>​</w:t>
      </w:r>
      <w:r>
        <w:rPr/>
        <w:t>: intent</w:t>
      </w:r>
    </w:p>
    <w:p>
      <w:pPr>
        <w:pStyle w:val="BodyText"/>
        <w:numPr>
          <w:ilvl w:val="0"/>
          <w:numId w:val="11"/>
        </w:numPr>
        <w:tabs>
          <w:tab w:val="clear" w:pos="709"/>
          <w:tab w:val="left" w:pos="0" w:leader="none"/>
        </w:tabs>
        <w:ind w:hanging="566" w:start="1418"/>
        <w:rPr/>
      </w:pPr>
      <w:r>
        <w:rPr/>
      </w:r>
      <m:oMath xmlns:m="http://schemas.openxmlformats.org/officeDocument/2006/math">
        <m:sSub>
          <m:e>
            <m:r>
              <m:t xml:space="preserve">a</m:t>
            </m:r>
          </m:e>
          <m:sub>
            <m:r>
              <m:t xml:space="preserve">t</m:t>
            </m:r>
          </m:sub>
        </m:sSub>
      </m:oMath>
      <w:r>
        <w:rPr/>
        <w:t>​</w:t>
      </w:r>
      <w:r>
        <w:rPr/>
        <w:t>: encryption action</w:t>
      </w:r>
    </w:p>
    <w:p>
      <w:pPr>
        <w:pStyle w:val="BodyText"/>
        <w:tabs>
          <w:tab w:val="clear" w:pos="709"/>
          <w:tab w:val="left" w:pos="0" w:leader="none"/>
        </w:tabs>
        <w:ind w:hanging="0" w:start="0"/>
        <w:rPr/>
      </w:pPr>
      <w:r>
        <w:rPr/>
        <w:t xml:space="preserve">The </w:t>
      </w:r>
      <w:r>
        <w:rPr>
          <w:rStyle w:val="Strong"/>
          <w:b w:val="false"/>
          <w:bCs w:val="false"/>
        </w:rPr>
        <w:t>decision policy</w:t>
      </w:r>
      <w:r>
        <w:rPr/>
        <w:t xml:space="preserve"> is defined as:</w:t>
      </w:r>
    </w:p>
    <w:p>
      <w:pPr>
        <w:pStyle w:val="BodyText"/>
        <w:tabs>
          <w:tab w:val="clear" w:pos="709"/>
          <w:tab w:val="left" w:pos="0" w:leader="none"/>
        </w:tabs>
        <w:ind w:hanging="283" w:start="709"/>
        <w:rPr/>
      </w:pPr>
      <w:r>
        <w:rPr/>
      </w:r>
      <m:oMathPara xmlns:m="http://schemas.openxmlformats.org/officeDocument/2006/math">
        <m:oMathParaPr>
          <m:jc m:val="left"/>
        </m:oMathParaPr>
        <m:oMath>
          <m:sSub>
            <m:e>
              <m:r>
                <m:t xml:space="preserve">a</m:t>
              </m:r>
            </m:e>
            <m:sub>
              <m:r>
                <m:t xml:space="preserve">t</m:t>
              </m:r>
            </m:sub>
          </m:sSub>
          <m:r>
            <m:t xml:space="preserve">=</m:t>
          </m:r>
          <m:r>
            <m:t xml:space="preserve">π</m:t>
          </m:r>
          <m:d>
            <m:dPr>
              <m:begChr m:val="("/>
              <m:endChr m:val=")"/>
            </m:dPr>
            <m:e>
              <m:r>
                <m:t xml:space="preserve">P</m:t>
              </m:r>
              <m:d>
                <m:dPr>
                  <m:begChr m:val="("/>
                  <m:endChr m:val=")"/>
                </m:dPr>
                <m:e>
                  <m:sSub>
                    <m:e>
                      <m:r>
                        <m:t xml:space="preserve">I</m:t>
                      </m:r>
                    </m:e>
                    <m:sub>
                      <m:r>
                        <m:t xml:space="preserve">t</m:t>
                      </m:r>
                    </m:sub>
                  </m:sSub>
                  <m:r>
                    <m:t xml:space="preserve">|</m:t>
                  </m:r>
                  <m:sSub>
                    <m:e>
                      <m:r>
                        <m:t xml:space="preserve">X</m:t>
                      </m:r>
                    </m:e>
                    <m:sub>
                      <m:r>
                        <m:t xml:space="preserve">t</m:t>
                      </m:r>
                    </m:sub>
                  </m:sSub>
                  <m:r>
                    <m:t xml:space="preserve">,</m:t>
                  </m:r>
                  <m:sSub>
                    <m:e>
                      <m:r>
                        <m:t xml:space="preserve">C</m:t>
                      </m:r>
                    </m:e>
                    <m:sub>
                      <m:r>
                        <m:t xml:space="preserve">t</m:t>
                      </m:r>
                    </m:sub>
                  </m:sSub>
                </m:e>
              </m:d>
              <m:r>
                <m:t xml:space="preserve">,</m:t>
              </m:r>
              <m:sSub>
                <m:e>
                  <m:r>
                    <m:t xml:space="preserve">C</m:t>
                  </m:r>
                </m:e>
                <m:sub>
                  <m:r>
                    <m:t xml:space="preserve">t</m:t>
                  </m:r>
                </m:sub>
              </m:sSub>
            </m:e>
          </m:d>
          <m:r>
            <m:t xml:space="preserve">,</m:t>
          </m:r>
          <m:sSub>
            <m:e>
              <m:r>
                <m:t xml:space="preserve">a</m:t>
              </m:r>
            </m:e>
            <m:sub>
              <m:r>
                <m:t xml:space="preserve">t</m:t>
              </m:r>
            </m:sub>
          </m:sSub>
          <m:r>
            <m:t xml:space="preserve">∈</m:t>
          </m:r>
          <m:r>
            <m:t xml:space="preserve">A</m:t>
          </m:r>
        </m:oMath>
      </m:oMathPara>
    </w:p>
    <w:p>
      <w:pPr>
        <w:pStyle w:val="BodyText"/>
        <w:tabs>
          <w:tab w:val="clear" w:pos="709"/>
          <w:tab w:val="left" w:pos="0" w:leader="none"/>
        </w:tabs>
        <w:ind w:hanging="0" w:start="0"/>
        <w:rPr/>
      </w:pPr>
      <w:r>
        <w:rPr/>
        <w:t xml:space="preserve">The </w:t>
      </w:r>
      <w:r>
        <w:rPr>
          <w:rStyle w:val="Strong"/>
          <w:b w:val="false"/>
          <w:bCs w:val="false"/>
        </w:rPr>
        <w:t>cost function</w:t>
      </w:r>
      <w:r>
        <w:rPr/>
        <w:t xml:space="preserve"> balances latency, energy, and security quality:</w:t>
      </w:r>
    </w:p>
    <w:p>
      <w:pPr>
        <w:pStyle w:val="BodyText"/>
        <w:tabs>
          <w:tab w:val="clear" w:pos="709"/>
          <w:tab w:val="left" w:pos="0" w:leader="none"/>
        </w:tabs>
        <w:ind w:hanging="283" w:start="709"/>
        <w:rPr/>
      </w:pPr>
      <w:r>
        <w:rPr/>
      </w:r>
      <m:oMathPara xmlns:m="http://schemas.openxmlformats.org/officeDocument/2006/math">
        <m:oMathParaPr>
          <m:jc m:val="left"/>
        </m:oMathParaPr>
        <m:oMath>
          <m:r>
            <m:t xml:space="preserve">Cost</m:t>
          </m:r>
          <m:d>
            <m:dPr>
              <m:begChr m:val="("/>
              <m:endChr m:val=")"/>
            </m:dPr>
            <m:e>
              <m:r>
                <m:t xml:space="preserve">a</m:t>
              </m:r>
              <m:r>
                <m:t xml:space="preserve">;</m:t>
              </m:r>
              <m:r>
                <m:t xml:space="preserve">I</m:t>
              </m:r>
              <m:r>
                <m:t xml:space="preserve">,</m:t>
              </m:r>
              <m:r>
                <m:t xml:space="preserve">C</m:t>
              </m:r>
            </m:e>
          </m:d>
          <m:r>
            <m:t xml:space="preserve">=</m:t>
          </m:r>
          <m:r>
            <m:t xml:space="preserve">α</m:t>
          </m:r>
          <m:r>
            <m:t xml:space="preserve">T</m:t>
          </m:r>
          <m:d>
            <m:dPr>
              <m:begChr m:val="("/>
              <m:endChr m:val=")"/>
            </m:dPr>
            <m:e>
              <m:r>
                <m:t xml:space="preserve">a</m:t>
              </m:r>
              <m:r>
                <m:t xml:space="preserve">,</m:t>
              </m:r>
              <m:r>
                <m:t xml:space="preserve">s</m:t>
              </m:r>
            </m:e>
          </m:d>
          <m:r>
            <m:t xml:space="preserve">+</m:t>
          </m:r>
          <m:r>
            <m:t xml:space="preserve">β</m:t>
          </m:r>
          <m:r>
            <m:t xml:space="preserve">E</m:t>
          </m:r>
          <m:d>
            <m:dPr>
              <m:begChr m:val="("/>
              <m:endChr m:val=")"/>
            </m:dPr>
            <m:e>
              <m:r>
                <m:t xml:space="preserve">a</m:t>
              </m:r>
              <m:r>
                <m:t xml:space="preserve">,</m:t>
              </m:r>
              <m:r>
                <m:t xml:space="preserve">s</m:t>
              </m:r>
            </m:e>
          </m:d>
          <m:r>
            <m:t xml:space="preserve">+</m:t>
          </m:r>
          <m:r>
            <m:t xml:space="preserve">δ</m:t>
          </m:r>
          <m:d>
            <m:dPr>
              <m:begChr m:val="("/>
              <m:endChr m:val=")"/>
            </m:dPr>
            <m:e>
              <m:r>
                <m:t xml:space="preserve">1</m:t>
              </m:r>
              <m:r>
                <m:t xml:space="preserve">−</m:t>
              </m:r>
              <m:r>
                <m:t xml:space="preserve">Q</m:t>
              </m:r>
              <m:d>
                <m:dPr>
                  <m:begChr m:val="("/>
                  <m:endChr m:val=")"/>
                </m:dPr>
                <m:e>
                  <m:r>
                    <m:t xml:space="preserve">a</m:t>
                  </m:r>
                  <m:r>
                    <m:t xml:space="preserve">,</m:t>
                  </m:r>
                  <m:r>
                    <m:t xml:space="preserve">I</m:t>
                  </m:r>
                </m:e>
              </m:d>
            </m:e>
          </m:d>
        </m:oMath>
      </m:oMathPara>
    </w:p>
    <w:p>
      <w:pPr>
        <w:pStyle w:val="BodyText"/>
        <w:tabs>
          <w:tab w:val="clear" w:pos="709"/>
          <w:tab w:val="left" w:pos="0" w:leader="none"/>
        </w:tabs>
        <w:ind w:hanging="283" w:start="709"/>
        <w:rPr/>
      </w:pPr>
      <w:r>
        <w:rPr/>
        <w:tab/>
        <w:t>where T(a, s) is latency, E(a, s) is energy consumption, and Q(a, I) quantifies encryption quality with respect to the intended security level. Optimization seeks to minimize expected cost while satisfying security constraints.</w:t>
      </w:r>
    </w:p>
    <w:p>
      <w:pPr>
        <w:pStyle w:val="BodyText"/>
        <w:tabs>
          <w:tab w:val="clear" w:pos="709"/>
          <w:tab w:val="left" w:pos="0" w:leader="none"/>
        </w:tabs>
        <w:ind w:hanging="0" w:start="0"/>
        <w:rPr/>
      </w:pPr>
      <w:r>
        <w:rPr/>
      </w:r>
    </w:p>
    <w:p>
      <w:pPr>
        <w:pStyle w:val="Heading3"/>
        <w:numPr>
          <w:ilvl w:val="0"/>
          <w:numId w:val="1"/>
        </w:numPr>
        <w:ind w:hanging="0" w:start="0"/>
        <w:rPr/>
      </w:pPr>
      <w:r>
        <w:rPr/>
        <w:t>5.5 Validation and Statistical Analysis</w:t>
      </w:r>
    </w:p>
    <w:p>
      <w:pPr>
        <w:pStyle w:val="BodyText"/>
        <w:rPr/>
      </w:pPr>
      <w:r>
        <w:rPr/>
        <w:t xml:space="preserve">Validation ensures reliability and </w:t>
      </w:r>
      <w:r>
        <w:rPr/>
        <w:t>reproducibility:</w:t>
      </w:r>
    </w:p>
    <w:p>
      <w:pPr>
        <w:pStyle w:val="BodyText"/>
        <w:numPr>
          <w:ilvl w:val="0"/>
          <w:numId w:val="12"/>
        </w:numPr>
        <w:rPr/>
      </w:pPr>
      <w:r>
        <w:rPr>
          <w:rStyle w:val="Strong"/>
        </w:rPr>
        <w:t>Intent classifiers:</w:t>
      </w:r>
      <w:r>
        <w:rPr/>
        <w:t xml:space="preserve"> validated using cross-validation techniques.</w:t>
      </w:r>
    </w:p>
    <w:p>
      <w:pPr>
        <w:pStyle w:val="BodyText"/>
        <w:numPr>
          <w:ilvl w:val="0"/>
          <w:numId w:val="12"/>
        </w:numPr>
        <w:rPr/>
      </w:pPr>
      <w:r>
        <w:rPr>
          <w:rStyle w:val="Strong"/>
        </w:rPr>
        <w:t>Performance metrics:</w:t>
      </w:r>
      <w:r>
        <w:rPr/>
        <w:t xml:space="preserve"> assessed using paired tests, including paired t-tests or Wilcoxon tests.</w:t>
      </w:r>
    </w:p>
    <w:p>
      <w:pPr>
        <w:pStyle w:val="BodyText"/>
        <w:numPr>
          <w:ilvl w:val="0"/>
          <w:numId w:val="12"/>
        </w:numPr>
        <w:rPr/>
      </w:pPr>
      <w:r>
        <w:rPr>
          <w:rStyle w:val="Strong"/>
        </w:rPr>
        <w:t>Classification accuracy:</w:t>
      </w:r>
      <w:r>
        <w:rPr/>
        <w:t xml:space="preserve"> evaluated using McNemar tests.</w:t>
      </w:r>
    </w:p>
    <w:p>
      <w:pPr>
        <w:pStyle w:val="BodyText"/>
        <w:numPr>
          <w:ilvl w:val="0"/>
          <w:numId w:val="12"/>
        </w:numPr>
        <w:rPr/>
      </w:pPr>
      <w:r>
        <w:rPr/>
        <w:t>Confidence intervals and effect sizes are reported for all key metrics.</w:t>
      </w:r>
    </w:p>
    <w:p>
      <w:pPr>
        <w:pStyle w:val="BodyText"/>
        <w:rPr/>
      </w:pPr>
      <w:r>
        <w:rPr/>
      </w:r>
    </w:p>
    <w:p>
      <w:pPr>
        <w:pStyle w:val="Heading3"/>
        <w:numPr>
          <w:ilvl w:val="0"/>
          <w:numId w:val="1"/>
        </w:numPr>
        <w:ind w:hanging="0" w:start="0"/>
        <w:rPr/>
      </w:pPr>
      <w:r>
        <w:rPr/>
        <w:t>5.6 Baselines and Comparison Strategy</w:t>
      </w:r>
    </w:p>
    <w:p>
      <w:pPr>
        <w:pStyle w:val="BodyText"/>
        <w:rPr/>
      </w:pPr>
      <w:r>
        <w:rPr/>
        <w:t>The IAE framework is compared against multiple baselines:</w:t>
      </w:r>
    </w:p>
    <w:p>
      <w:pPr>
        <w:pStyle w:val="BodyText"/>
        <w:numPr>
          <w:ilvl w:val="0"/>
          <w:numId w:val="13"/>
        </w:numPr>
        <w:tabs>
          <w:tab w:val="clear" w:pos="709"/>
          <w:tab w:val="left" w:pos="0" w:leader="none"/>
        </w:tabs>
        <w:ind w:hanging="283" w:start="709"/>
        <w:rPr/>
      </w:pPr>
      <w:r>
        <w:rPr>
          <w:rStyle w:val="Strong"/>
        </w:rPr>
        <w:t>Static strong encryption:</w:t>
      </w:r>
      <w:r>
        <w:rPr/>
        <w:t xml:space="preserve"> fixed high-strength encryption regardless of context or intent.</w:t>
      </w:r>
    </w:p>
    <w:p>
      <w:pPr>
        <w:pStyle w:val="BodyText"/>
        <w:numPr>
          <w:ilvl w:val="0"/>
          <w:numId w:val="13"/>
        </w:numPr>
        <w:tabs>
          <w:tab w:val="clear" w:pos="709"/>
          <w:tab w:val="left" w:pos="0" w:leader="none"/>
        </w:tabs>
        <w:ind w:hanging="283" w:start="709"/>
        <w:rPr/>
      </w:pPr>
      <w:r>
        <w:rPr>
          <w:rStyle w:val="Strong"/>
        </w:rPr>
        <w:t>Context-only adaptive encryption:</w:t>
      </w:r>
      <w:r>
        <w:rPr/>
        <w:t xml:space="preserve"> adjusts encryption based only on contextual signals.</w:t>
      </w:r>
    </w:p>
    <w:p>
      <w:pPr>
        <w:pStyle w:val="BodyText"/>
        <w:numPr>
          <w:ilvl w:val="0"/>
          <w:numId w:val="13"/>
        </w:numPr>
        <w:tabs>
          <w:tab w:val="clear" w:pos="709"/>
          <w:tab w:val="left" w:pos="0" w:leader="none"/>
        </w:tabs>
        <w:ind w:hanging="283" w:start="709"/>
        <w:rPr/>
      </w:pPr>
      <w:r>
        <w:rPr>
          <w:rStyle w:val="Strong"/>
        </w:rPr>
        <w:t>ABE/CP-ABE methods:</w:t>
      </w:r>
      <w:r>
        <w:rPr/>
        <w:t xml:space="preserve"> attribute-based encryption and its variations.</w:t>
      </w:r>
    </w:p>
    <w:p>
      <w:pPr>
        <w:pStyle w:val="BodyText"/>
        <w:numPr>
          <w:ilvl w:val="0"/>
          <w:numId w:val="13"/>
        </w:numPr>
        <w:tabs>
          <w:tab w:val="clear" w:pos="709"/>
          <w:tab w:val="left" w:pos="0" w:leader="none"/>
        </w:tabs>
        <w:ind w:hanging="283" w:start="709"/>
        <w:rPr/>
      </w:pPr>
      <w:r>
        <w:rPr>
          <w:rStyle w:val="Strong"/>
        </w:rPr>
        <w:t>Rule-based intent mapping:</w:t>
      </w:r>
      <w:r>
        <w:rPr/>
        <w:t xml:space="preserve"> applies predefined encryption policies based on intent labels.</w:t>
      </w:r>
    </w:p>
    <w:p>
      <w:pPr>
        <w:pStyle w:val="BodyText"/>
        <w:rPr/>
      </w:pPr>
      <w:r>
        <w:rPr/>
      </w:r>
    </w:p>
    <w:p>
      <w:pPr>
        <w:pStyle w:val="Heading3"/>
        <w:numPr>
          <w:ilvl w:val="0"/>
          <w:numId w:val="1"/>
        </w:numPr>
        <w:ind w:hanging="0" w:start="0"/>
        <w:rPr/>
      </w:pPr>
      <w:r>
        <w:rPr/>
        <w:t>5.7 Deliverables</w:t>
      </w:r>
    </w:p>
    <w:p>
      <w:pPr>
        <w:pStyle w:val="BodyText"/>
        <w:rPr/>
      </w:pPr>
      <w:r>
        <w:rPr/>
        <w:t>Experimental deliverables include:</w:t>
      </w:r>
    </w:p>
    <w:p>
      <w:pPr>
        <w:pStyle w:val="BodyText"/>
        <w:numPr>
          <w:ilvl w:val="0"/>
          <w:numId w:val="14"/>
        </w:numPr>
        <w:tabs>
          <w:tab w:val="clear" w:pos="709"/>
          <w:tab w:val="left" w:pos="0" w:leader="none"/>
        </w:tabs>
        <w:ind w:hanging="283" w:start="709"/>
        <w:rPr/>
      </w:pPr>
      <w:r>
        <w:rPr/>
        <w:t>Complete datasets with feature extraction and labels.</w:t>
      </w:r>
    </w:p>
    <w:p>
      <w:pPr>
        <w:pStyle w:val="BodyText"/>
        <w:numPr>
          <w:ilvl w:val="0"/>
          <w:numId w:val="14"/>
        </w:numPr>
        <w:tabs>
          <w:tab w:val="clear" w:pos="709"/>
          <w:tab w:val="left" w:pos="0" w:leader="none"/>
        </w:tabs>
        <w:ind w:hanging="283" w:start="709"/>
        <w:rPr/>
      </w:pPr>
      <w:r>
        <w:rPr/>
        <w:t>Scripts for data preprocessing, model training, and evaluation.</w:t>
      </w:r>
    </w:p>
    <w:p>
      <w:pPr>
        <w:pStyle w:val="BodyText"/>
        <w:numPr>
          <w:ilvl w:val="0"/>
          <w:numId w:val="14"/>
        </w:numPr>
        <w:tabs>
          <w:tab w:val="clear" w:pos="709"/>
          <w:tab w:val="left" w:pos="0" w:leader="none"/>
        </w:tabs>
        <w:ind w:hanging="283" w:start="709"/>
        <w:rPr/>
      </w:pPr>
      <w:r>
        <w:rPr/>
        <w:t>Parameter tables for encryption configurations and classifier settings.</w:t>
      </w:r>
    </w:p>
    <w:p>
      <w:pPr>
        <w:pStyle w:val="BodyText"/>
        <w:numPr>
          <w:ilvl w:val="0"/>
          <w:numId w:val="14"/>
        </w:numPr>
        <w:tabs>
          <w:tab w:val="clear" w:pos="709"/>
          <w:tab w:val="left" w:pos="0" w:leader="none"/>
        </w:tabs>
        <w:ind w:hanging="283" w:start="709"/>
        <w:rPr/>
      </w:pPr>
      <w:r>
        <w:rPr/>
        <w:t>Visualizations illustrating latency, energy, and privacy leakage.</w:t>
      </w:r>
    </w:p>
    <w:p>
      <w:pPr>
        <w:pStyle w:val="BodyText"/>
        <w:numPr>
          <w:ilvl w:val="0"/>
          <w:numId w:val="14"/>
        </w:numPr>
        <w:tabs>
          <w:tab w:val="clear" w:pos="709"/>
          <w:tab w:val="left" w:pos="0" w:leader="none"/>
        </w:tabs>
        <w:ind w:hanging="283" w:start="709"/>
        <w:rPr/>
      </w:pPr>
      <w:r>
        <w:rPr/>
        <w:t>A mathematical appendix detailing formal derivations and optimization formulas.</w:t>
      </w:r>
    </w:p>
    <w:p>
      <w:pPr>
        <w:pStyle w:val="BodyText"/>
        <w:rPr/>
      </w:pPr>
      <w:r>
        <w:rPr/>
      </w:r>
    </w:p>
    <w:p>
      <w:pPr>
        <w:pStyle w:val="Heading3"/>
        <w:numPr>
          <w:ilvl w:val="0"/>
          <w:numId w:val="1"/>
        </w:numPr>
        <w:ind w:hanging="0" w:start="0"/>
        <w:rPr/>
      </w:pPr>
      <w:r>
        <w:rPr/>
        <w:t>5.8 Experimental Plan Summary</w:t>
      </w:r>
    </w:p>
    <w:p>
      <w:pPr>
        <w:pStyle w:val="BodyText"/>
        <w:rPr/>
      </w:pPr>
      <w:r>
        <w:rPr/>
        <w:t>The experimental plan follows a structured sequence:</w:t>
      </w:r>
    </w:p>
    <w:p>
      <w:pPr>
        <w:pStyle w:val="BodyText"/>
        <w:numPr>
          <w:ilvl w:val="0"/>
          <w:numId w:val="15"/>
        </w:numPr>
        <w:tabs>
          <w:tab w:val="clear" w:pos="709"/>
          <w:tab w:val="left" w:pos="0" w:leader="none"/>
        </w:tabs>
        <w:ind w:hanging="283" w:start="709"/>
        <w:rPr/>
      </w:pPr>
      <w:r>
        <w:rPr/>
        <w:t>Pilot measurement of all encryption configurations.</w:t>
      </w:r>
    </w:p>
    <w:p>
      <w:pPr>
        <w:pStyle w:val="BodyText"/>
        <w:numPr>
          <w:ilvl w:val="0"/>
          <w:numId w:val="15"/>
        </w:numPr>
        <w:tabs>
          <w:tab w:val="clear" w:pos="709"/>
          <w:tab w:val="left" w:pos="0" w:leader="none"/>
        </w:tabs>
        <w:ind w:hanging="283" w:start="709"/>
        <w:rPr/>
      </w:pPr>
      <w:r>
        <w:rPr/>
        <w:t>Dataset creation and labeling.</w:t>
      </w:r>
    </w:p>
    <w:p>
      <w:pPr>
        <w:pStyle w:val="BodyText"/>
        <w:numPr>
          <w:ilvl w:val="0"/>
          <w:numId w:val="15"/>
        </w:numPr>
        <w:tabs>
          <w:tab w:val="clear" w:pos="709"/>
          <w:tab w:val="left" w:pos="0" w:leader="none"/>
        </w:tabs>
        <w:ind w:hanging="283" w:start="709"/>
        <w:rPr/>
      </w:pPr>
      <w:r>
        <w:rPr/>
        <w:t>Classifier training and validation.</w:t>
      </w:r>
    </w:p>
    <w:p>
      <w:pPr>
        <w:pStyle w:val="BodyText"/>
        <w:numPr>
          <w:ilvl w:val="0"/>
          <w:numId w:val="15"/>
        </w:numPr>
        <w:tabs>
          <w:tab w:val="clear" w:pos="709"/>
          <w:tab w:val="left" w:pos="0" w:leader="none"/>
        </w:tabs>
        <w:ind w:hanging="283" w:start="709"/>
        <w:rPr/>
      </w:pPr>
      <w:r>
        <w:rPr/>
        <w:t>Policy simulation under various conditions.</w:t>
      </w:r>
    </w:p>
    <w:p>
      <w:pPr>
        <w:pStyle w:val="BodyText"/>
        <w:numPr>
          <w:ilvl w:val="0"/>
          <w:numId w:val="15"/>
        </w:numPr>
        <w:tabs>
          <w:tab w:val="clear" w:pos="709"/>
          <w:tab w:val="left" w:pos="0" w:leader="none"/>
        </w:tabs>
        <w:ind w:hanging="283" w:start="709"/>
        <w:rPr/>
      </w:pPr>
      <w:r>
        <w:rPr/>
        <w:t>Statistical testing and reporting of results.</w:t>
      </w:r>
    </w:p>
    <w:p>
      <w:pPr>
        <w:pStyle w:val="BodyText"/>
        <w:numPr>
          <w:ilvl w:val="0"/>
          <w:numId w:val="15"/>
        </w:numPr>
        <w:tabs>
          <w:tab w:val="clear" w:pos="709"/>
          <w:tab w:val="left" w:pos="0" w:leader="none"/>
        </w:tabs>
        <w:ind w:hanging="283" w:start="709"/>
        <w:rPr/>
      </w:pPr>
      <w:r>
        <w:rPr/>
        <w:t>Robustness evaluation under noise and attack scenarios.</w:t>
      </w:r>
    </w:p>
    <w:p>
      <w:pPr>
        <w:pStyle w:val="BodyText"/>
        <w:rPr/>
      </w:pPr>
      <w:r>
        <w:rPr/>
      </w:r>
    </w:p>
    <w:p>
      <w:pPr>
        <w:pStyle w:val="Heading3"/>
        <w:numPr>
          <w:ilvl w:val="0"/>
          <w:numId w:val="1"/>
        </w:numPr>
        <w:ind w:hanging="0" w:start="0"/>
        <w:rPr/>
      </w:pPr>
      <w:r>
        <w:rPr/>
        <w:t>5.9 Conclusion</w:t>
      </w:r>
    </w:p>
    <w:p>
      <w:pPr>
        <w:pStyle w:val="BodyText"/>
        <w:spacing w:before="0" w:after="140"/>
        <w:rPr/>
      </w:pPr>
      <w:r>
        <w:rPr/>
        <w:t xml:space="preserve">This experimental methodology provides a </w:t>
      </w:r>
      <w:r>
        <w:rPr>
          <w:rStyle w:val="Strong"/>
          <w:b w:val="false"/>
          <w:bCs w:val="false"/>
        </w:rPr>
        <w:t>rigorous and reproducible framework</w:t>
      </w:r>
      <w:r>
        <w:rPr/>
        <w:t xml:space="preserve"> for validating the proposed IAE system. By combining intent inference, adaptive encryption, and detailed performance and security evaluation, the framework ensures that IAE can be quantitatively compared against existing context-aware encryption schemes.</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20"/>
        </w:tabs>
        <w:ind w:start="720" w:hanging="360"/>
      </w:pPr>
      <w:rPr/>
    </w:lvl>
    <w:lvl w:ilvl="1">
      <w:start w:val="1"/>
      <w:numFmt w:val="bullet"/>
      <w:lvlText w:val=""/>
      <w:lvlJc w:val="start"/>
      <w:pPr>
        <w:tabs>
          <w:tab w:val="num" w:pos="1080"/>
        </w:tabs>
        <w:ind w:start="1080" w:hanging="360"/>
      </w:pPr>
      <w:rPr>
        <w:rFonts w:ascii="Wingdings" w:hAnsi="Wingdings" w:cs="Wingdings"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1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numPr>
        <w:ilvl w:val="0"/>
        <w:numId w:val="0"/>
      </w:numPr>
      <w:bidi w:val="0"/>
      <w:spacing w:lineRule="auto" w:line="276" w:before="0" w:after="140"/>
      <w:ind w:hanging="0" w:start="0"/>
      <w:jc w:val="star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TotalTime>
  <Application>LibreOffice/25.2.7.2$Linux_X86_64 LibreOffice_project/520$Build-2</Application>
  <AppVersion>15.0000</AppVersion>
  <Pages>7</Pages>
  <Words>1314</Words>
  <Characters>8409</Characters>
  <CharactersWithSpaces>9521</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2025-10-19T12:41:02Z</dcterms:created>
  <dc:creator/>
  <dc:description/>
  <dc:language>en-US</dc:language>
  <cp:lastModifiedBy/>
  <dcterms:modified xsi:type="dcterms:W3CDTF">2025-11-13T14:23:46Z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