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Intent-Aware Encryption: Context-Driven Security for Adaptive Communication Systems</w:t>
      </w:r>
    </w:p>
    <w:p>
      <w:pPr>
        <w:pStyle w:val="BodyText"/>
        <w:bidi w:val="0"/>
        <w:spacing w:lineRule="auto" w:line="276" w:before="0" w:after="140"/>
        <w:ind w:hanging="0" w:start="0"/>
        <w:jc w:val="start"/>
        <w:rPr/>
      </w:pPr>
      <w:r>
        <w:rPr/>
      </w:r>
    </w:p>
    <w:p>
      <w:pPr>
        <w:pStyle w:val="BodyText"/>
        <w:bidi w:val="0"/>
        <w:ind w:hanging="0" w:start="0"/>
        <w:jc w:val="start"/>
        <w:rPr/>
      </w:pPr>
      <w:r>
        <w:rPr/>
        <w:t>Table of Contents:</w:t>
      </w:r>
    </w:p>
    <w:p>
      <w:pPr>
        <w:pStyle w:val="BodyText"/>
        <w:numPr>
          <w:ilvl w:val="0"/>
          <w:numId w:val="3"/>
        </w:numPr>
        <w:bidi w:val="0"/>
        <w:jc w:val="start"/>
        <w:rPr/>
      </w:pPr>
      <w:r>
        <w:rPr/>
        <w:t>Abstract</w:t>
      </w:r>
    </w:p>
    <w:p>
      <w:pPr>
        <w:pStyle w:val="BodyText"/>
        <w:numPr>
          <w:ilvl w:val="0"/>
          <w:numId w:val="3"/>
        </w:numPr>
        <w:bidi w:val="0"/>
        <w:jc w:val="start"/>
        <w:rPr/>
      </w:pPr>
      <w:r>
        <w:rPr/>
        <w:t>Introduction</w:t>
      </w:r>
    </w:p>
    <w:p>
      <w:pPr>
        <w:pStyle w:val="BodyText"/>
        <w:numPr>
          <w:ilvl w:val="1"/>
          <w:numId w:val="3"/>
        </w:numPr>
        <w:bidi w:val="0"/>
        <w:jc w:val="start"/>
        <w:rPr/>
      </w:pPr>
      <w:r>
        <w:rPr/>
        <w:t>Motivation and Problem Statement</w:t>
      </w:r>
    </w:p>
    <w:p>
      <w:pPr>
        <w:pStyle w:val="BodyText"/>
        <w:numPr>
          <w:ilvl w:val="1"/>
          <w:numId w:val="3"/>
        </w:numPr>
        <w:bidi w:val="0"/>
        <w:jc w:val="start"/>
        <w:rPr/>
      </w:pPr>
      <w:r>
        <w:rPr/>
        <w:t>Problem Statement and Related Work</w:t>
      </w:r>
    </w:p>
    <w:p>
      <w:pPr>
        <w:pStyle w:val="BodyText"/>
        <w:numPr>
          <w:ilvl w:val="1"/>
          <w:numId w:val="3"/>
        </w:numPr>
        <w:bidi w:val="0"/>
        <w:jc w:val="start"/>
        <w:rPr/>
      </w:pPr>
      <w:r>
        <w:rPr/>
        <w:t>Original Contribution</w:t>
      </w:r>
    </w:p>
    <w:p>
      <w:pPr>
        <w:pStyle w:val="BodyText"/>
        <w:numPr>
          <w:ilvl w:val="1"/>
          <w:numId w:val="3"/>
        </w:numPr>
        <w:bidi w:val="0"/>
        <w:jc w:val="start"/>
        <w:rPr/>
      </w:pPr>
      <w:r>
        <w:rPr/>
        <w:t>Research Questions</w:t>
      </w:r>
    </w:p>
    <w:p>
      <w:pPr>
        <w:pStyle w:val="BodyText"/>
        <w:numPr>
          <w:ilvl w:val="1"/>
          <w:numId w:val="3"/>
        </w:numPr>
        <w:bidi w:val="0"/>
        <w:jc w:val="start"/>
        <w:rPr/>
      </w:pPr>
      <w:r>
        <w:rPr/>
        <w:t>Paper Structure</w:t>
      </w:r>
    </w:p>
    <w:p>
      <w:pPr>
        <w:pStyle w:val="BodyText"/>
        <w:numPr>
          <w:ilvl w:val="0"/>
          <w:numId w:val="3"/>
        </w:numPr>
        <w:bidi w:val="0"/>
        <w:jc w:val="start"/>
        <w:rPr/>
      </w:pPr>
      <w:r>
        <w:rPr/>
        <w:t>Intent-Aware Encryption Framework</w:t>
      </w:r>
    </w:p>
    <w:p>
      <w:pPr>
        <w:pStyle w:val="BodyText"/>
        <w:numPr>
          <w:ilvl w:val="1"/>
          <w:numId w:val="3"/>
        </w:numPr>
        <w:bidi w:val="0"/>
        <w:jc w:val="start"/>
        <w:rPr/>
      </w:pPr>
      <w:r>
        <w:rPr/>
        <w:t>System Architecture</w:t>
      </w:r>
    </w:p>
    <w:p>
      <w:pPr>
        <w:pStyle w:val="BodyText"/>
        <w:numPr>
          <w:ilvl w:val="1"/>
          <w:numId w:val="3"/>
        </w:numPr>
        <w:bidi w:val="0"/>
        <w:jc w:val="start"/>
        <w:rPr/>
      </w:pPr>
      <w:r>
        <w:rPr/>
        <w:t>Mathematical and Formal Model</w:t>
      </w:r>
    </w:p>
    <w:p>
      <w:pPr>
        <w:pStyle w:val="BodyText"/>
        <w:numPr>
          <w:ilvl w:val="1"/>
          <w:numId w:val="3"/>
        </w:numPr>
        <w:bidi w:val="0"/>
        <w:jc w:val="start"/>
        <w:rPr/>
      </w:pPr>
      <w:r>
        <w:rPr/>
        <w:t>Algorithmic Implementatio</w:t>
      </w:r>
      <w:r>
        <w:rPr/>
        <w:t>n</w:t>
      </w:r>
    </w:p>
    <w:p>
      <w:pPr>
        <w:pStyle w:val="BodyText"/>
        <w:numPr>
          <w:ilvl w:val="0"/>
          <w:numId w:val="3"/>
        </w:numPr>
        <w:bidi w:val="0"/>
        <w:jc w:val="start"/>
        <w:rPr/>
      </w:pPr>
      <w:r>
        <w:rPr/>
        <w:t>Methodology and Implementation</w:t>
      </w:r>
    </w:p>
    <w:p>
      <w:pPr>
        <w:pStyle w:val="BodyText"/>
        <w:numPr>
          <w:ilvl w:val="1"/>
          <w:numId w:val="3"/>
        </w:numPr>
        <w:bidi w:val="0"/>
        <w:jc w:val="start"/>
        <w:rPr/>
      </w:pPr>
      <w:r>
        <w:rPr/>
        <w:t>Overview</w:t>
      </w:r>
    </w:p>
    <w:p>
      <w:pPr>
        <w:pStyle w:val="BodyText"/>
        <w:numPr>
          <w:ilvl w:val="1"/>
          <w:numId w:val="3"/>
        </w:numPr>
        <w:bidi w:val="0"/>
        <w:jc w:val="start"/>
        <w:rPr/>
      </w:pPr>
      <w:r>
        <w:rPr/>
        <w:t>Data and Scenario Design</w:t>
      </w:r>
    </w:p>
    <w:p>
      <w:pPr>
        <w:pStyle w:val="BodyText"/>
        <w:numPr>
          <w:ilvl w:val="2"/>
          <w:numId w:val="3"/>
        </w:numPr>
        <w:bidi w:val="0"/>
        <w:jc w:val="start"/>
        <w:rPr/>
      </w:pPr>
      <w:r>
        <w:rPr/>
        <w:t>Data Sources</w:t>
      </w:r>
    </w:p>
    <w:p>
      <w:pPr>
        <w:pStyle w:val="BodyText"/>
        <w:numPr>
          <w:ilvl w:val="2"/>
          <w:numId w:val="3"/>
        </w:numPr>
        <w:bidi w:val="0"/>
        <w:jc w:val="start"/>
        <w:rPr/>
      </w:pPr>
      <w:r>
        <w:rPr/>
        <w:t>Feature Design</w:t>
      </w:r>
    </w:p>
    <w:p>
      <w:pPr>
        <w:pStyle w:val="BodyText"/>
        <w:numPr>
          <w:ilvl w:val="1"/>
          <w:numId w:val="3"/>
        </w:numPr>
        <w:bidi w:val="0"/>
        <w:jc w:val="start"/>
        <w:rPr/>
      </w:pPr>
      <w:r>
        <w:rPr/>
        <w:t>Experimental Protocols</w:t>
      </w:r>
    </w:p>
    <w:p>
      <w:pPr>
        <w:pStyle w:val="BodyText"/>
        <w:numPr>
          <w:ilvl w:val="2"/>
          <w:numId w:val="3"/>
        </w:numPr>
        <w:bidi w:val="0"/>
        <w:jc w:val="start"/>
        <w:rPr/>
      </w:pPr>
      <w:r>
        <w:rPr/>
        <w:t>Intent Classification</w:t>
      </w:r>
    </w:p>
    <w:p>
      <w:pPr>
        <w:pStyle w:val="BodyText"/>
        <w:numPr>
          <w:ilvl w:val="2"/>
          <w:numId w:val="3"/>
        </w:numPr>
        <w:bidi w:val="0"/>
        <w:jc w:val="start"/>
        <w:rPr/>
      </w:pPr>
      <w:r>
        <w:rPr/>
        <w:t>Adaptive Encryption Behavior</w:t>
      </w:r>
    </w:p>
    <w:p>
      <w:pPr>
        <w:pStyle w:val="BodyText"/>
        <w:numPr>
          <w:ilvl w:val="2"/>
          <w:numId w:val="3"/>
        </w:numPr>
        <w:bidi w:val="0"/>
        <w:jc w:val="start"/>
        <w:rPr/>
      </w:pPr>
      <w:r>
        <w:rPr/>
        <w:t>Performance Benchmarking</w:t>
      </w:r>
    </w:p>
    <w:p>
      <w:pPr>
        <w:pStyle w:val="BodyText"/>
        <w:numPr>
          <w:ilvl w:val="2"/>
          <w:numId w:val="3"/>
        </w:numPr>
        <w:bidi w:val="0"/>
        <w:jc w:val="start"/>
        <w:rPr/>
      </w:pPr>
      <w:r>
        <w:rPr/>
        <w:t>Security Assessment</w:t>
      </w:r>
    </w:p>
    <w:p>
      <w:pPr>
        <w:pStyle w:val="BodyText"/>
        <w:numPr>
          <w:ilvl w:val="1"/>
          <w:numId w:val="3"/>
        </w:numPr>
        <w:bidi w:val="0"/>
        <w:jc w:val="start"/>
        <w:rPr/>
      </w:pPr>
      <w:r>
        <w:rPr/>
        <w:t>Mathematical / Formal Model</w:t>
      </w:r>
    </w:p>
    <w:p>
      <w:pPr>
        <w:pStyle w:val="BodyText"/>
        <w:numPr>
          <w:ilvl w:val="1"/>
          <w:numId w:val="3"/>
        </w:numPr>
        <w:bidi w:val="0"/>
        <w:jc w:val="start"/>
        <w:rPr/>
      </w:pPr>
      <w:r>
        <w:rPr/>
        <w:t>Validation and Statistical Analysis</w:t>
      </w:r>
    </w:p>
    <w:p>
      <w:pPr>
        <w:pStyle w:val="BodyText"/>
        <w:numPr>
          <w:ilvl w:val="1"/>
          <w:numId w:val="3"/>
        </w:numPr>
        <w:bidi w:val="0"/>
        <w:jc w:val="start"/>
        <w:rPr/>
      </w:pPr>
      <w:r>
        <w:rPr/>
        <w:t>Baselines and Comparison Strategy</w:t>
      </w:r>
    </w:p>
    <w:p>
      <w:pPr>
        <w:pStyle w:val="BodyText"/>
        <w:numPr>
          <w:ilvl w:val="1"/>
          <w:numId w:val="3"/>
        </w:numPr>
        <w:bidi w:val="0"/>
        <w:jc w:val="start"/>
        <w:rPr/>
      </w:pPr>
      <w:r>
        <w:rPr/>
        <w:t>Deliverables</w:t>
      </w:r>
    </w:p>
    <w:p>
      <w:pPr>
        <w:pStyle w:val="BodyText"/>
        <w:numPr>
          <w:ilvl w:val="1"/>
          <w:numId w:val="3"/>
        </w:numPr>
        <w:bidi w:val="0"/>
        <w:jc w:val="start"/>
        <w:rPr/>
      </w:pPr>
      <w:r>
        <w:rPr/>
        <w:t>Experimental Plan Summary</w:t>
      </w:r>
    </w:p>
    <w:p>
      <w:pPr>
        <w:pStyle w:val="BodyText"/>
        <w:numPr>
          <w:ilvl w:val="1"/>
          <w:numId w:val="3"/>
        </w:numPr>
        <w:bidi w:val="0"/>
        <w:jc w:val="start"/>
        <w:rPr/>
      </w:pPr>
      <w:r>
        <w:rPr/>
        <w:t>Conclusion</w:t>
      </w:r>
    </w:p>
    <w:p>
      <w:pPr>
        <w:pStyle w:val="BodyText"/>
        <w:numPr>
          <w:ilvl w:val="0"/>
          <w:numId w:val="3"/>
        </w:numPr>
        <w:bidi w:val="0"/>
        <w:jc w:val="start"/>
        <w:rPr/>
      </w:pPr>
      <w:r>
        <w:rPr/>
        <w:t>Case Study on Initial Dataset</w:t>
      </w:r>
    </w:p>
    <w:p>
      <w:pPr>
        <w:pStyle w:val="BodyText"/>
        <w:numPr>
          <w:ilvl w:val="1"/>
          <w:numId w:val="3"/>
        </w:numPr>
        <w:bidi w:val="0"/>
        <w:jc w:val="start"/>
        <w:rPr/>
      </w:pPr>
      <w:r>
        <w:rPr/>
        <w:t>Overview</w:t>
      </w:r>
    </w:p>
    <w:p>
      <w:pPr>
        <w:pStyle w:val="BodyText"/>
        <w:numPr>
          <w:ilvl w:val="1"/>
          <w:numId w:val="3"/>
        </w:numPr>
        <w:bidi w:val="0"/>
        <w:jc w:val="start"/>
        <w:rPr/>
      </w:pPr>
      <w:r>
        <w:rPr/>
        <w:t>Dataset and Preprocessing</w:t>
      </w:r>
    </w:p>
    <w:p>
      <w:pPr>
        <w:pStyle w:val="BodyText"/>
        <w:numPr>
          <w:ilvl w:val="1"/>
          <w:numId w:val="3"/>
        </w:numPr>
        <w:bidi w:val="0"/>
        <w:jc w:val="start"/>
        <w:rPr/>
      </w:pPr>
      <w:r>
        <w:rPr/>
        <w:t>Experimental Setup</w:t>
      </w:r>
    </w:p>
    <w:p>
      <w:pPr>
        <w:pStyle w:val="BodyText"/>
        <w:numPr>
          <w:ilvl w:val="1"/>
          <w:numId w:val="3"/>
        </w:numPr>
        <w:bidi w:val="0"/>
        <w:jc w:val="start"/>
        <w:rPr/>
      </w:pPr>
      <w:r>
        <w:rPr/>
        <w:t>Results</w:t>
      </w:r>
    </w:p>
    <w:p>
      <w:pPr>
        <w:pStyle w:val="BodyText"/>
        <w:numPr>
          <w:ilvl w:val="1"/>
          <w:numId w:val="3"/>
        </w:numPr>
        <w:bidi w:val="0"/>
        <w:jc w:val="start"/>
        <w:rPr/>
      </w:pPr>
      <w:r>
        <w:rPr/>
        <w:t>Interpretation</w:t>
      </w:r>
    </w:p>
    <w:p>
      <w:pPr>
        <w:pStyle w:val="BodyText"/>
        <w:numPr>
          <w:ilvl w:val="0"/>
          <w:numId w:val="3"/>
        </w:numPr>
        <w:bidi w:val="0"/>
        <w:jc w:val="start"/>
        <w:rPr/>
      </w:pPr>
      <w:r>
        <w:rPr/>
        <w:t>Related Work and Validation Plan</w:t>
      </w:r>
    </w:p>
    <w:p>
      <w:pPr>
        <w:pStyle w:val="BodyText"/>
        <w:numPr>
          <w:ilvl w:val="0"/>
          <w:numId w:val="3"/>
        </w:numPr>
        <w:bidi w:val="0"/>
        <w:jc w:val="start"/>
        <w:rPr/>
      </w:pPr>
      <w:r>
        <w:rPr/>
        <w:t>References</w:t>
      </w:r>
      <w:r>
        <w:br w:type="page"/>
      </w:r>
    </w:p>
    <w:p>
      <w:pPr>
        <w:pStyle w:val="Heading2"/>
        <w:numPr>
          <w:ilvl w:val="0"/>
          <w:numId w:val="0"/>
        </w:numPr>
        <w:spacing w:before="0" w:after="120"/>
        <w:ind w:hanging="0" w:start="0"/>
        <w:rPr/>
      </w:pPr>
      <w:r>
        <w:rPr/>
        <w:t>Chapter 1: Abstract</w:t>
      </w:r>
    </w:p>
    <w:p>
      <w:pPr>
        <w:pStyle w:val="BodyText"/>
        <w:numPr>
          <w:ilvl w:val="0"/>
          <w:numId w:val="0"/>
        </w:numPr>
        <w:spacing w:before="0" w:after="120"/>
        <w:ind w:hanging="0" w:start="0"/>
        <w:rPr/>
      </w:pPr>
      <w:r>
        <w:rPr/>
      </w:r>
    </w:p>
    <w:p>
      <w:pPr>
        <w:pStyle w:val="Normal"/>
        <w:numPr>
          <w:ilvl w:val="0"/>
          <w:numId w:val="0"/>
        </w:numPr>
        <w:ind w:hanging="0" w:start="0" w:end="0"/>
        <w:rPr/>
      </w:pPr>
      <w:r>
        <w:rPr/>
        <w:tab/>
        <w:t>Traditional encryption systems typically enforce a uniform security strategy regardless of operational context, resulting in unnecessary computational overhead for low-risk data and potential under-protection for critical events. To address this inefficiency, this paper proposes the Intent-Aware Encryption (IAE) framework, a modular security pipeline that dynamically adjusts encryption strength based on the inferred intent of network events. The proposed approach integrates machine-learning-driven intent classification, contextual anomaly scoring, and adaptive policy selection to optimize the balance between security and system performance.</w:t>
      </w:r>
    </w:p>
    <w:p>
      <w:pPr>
        <w:pStyle w:val="BodyText"/>
        <w:numPr>
          <w:ilvl w:val="0"/>
          <w:numId w:val="0"/>
        </w:numPr>
        <w:ind w:hanging="0" w:start="0"/>
        <w:rPr/>
      </w:pPr>
      <w:r>
        <w:rPr/>
        <w:tab/>
        <w:t>Validated on the CICIDS2017 dataset, the framework maps real-world traffic flows to semantic intents such as "emergency" or "confidential-transfer". Experimental results demonstrate that IAE policies achieve near-perfect intent classification accuracy (98-100%) and maintain high throughput (&gt;340 ops/sec), significantly outperforming simulated Attribute-Based Encryption (ABE) baselines in both latency and energy efficiency. These findings suggest that aligning cryptographic strength with operational intent offers a viable path for securing dynamic, resource-constrained environments without compromising efficiency.</w:t>
      </w:r>
    </w:p>
    <w:p>
      <w:pPr>
        <w:pStyle w:val="BodyText"/>
        <w:numPr>
          <w:ilvl w:val="0"/>
          <w:numId w:val="0"/>
        </w:numPr>
        <w:ind w:hanging="0" w:start="0"/>
        <w:rPr/>
      </w:pPr>
      <w:r>
        <w:rPr/>
      </w:r>
    </w:p>
    <w:p>
      <w:pPr>
        <w:pStyle w:val="BodyText"/>
        <w:numPr>
          <w:ilvl w:val="0"/>
          <w:numId w:val="0"/>
        </w:numPr>
        <w:ind w:hanging="0" w:start="0"/>
        <w:rPr>
          <w:b/>
        </w:rPr>
      </w:pPr>
      <w:r>
        <w:rPr>
          <w:b/>
        </w:rPr>
        <w:t>ACM Computing Classification System:</w:t>
      </w:r>
    </w:p>
    <w:p>
      <w:pPr>
        <w:pStyle w:val="BodyText"/>
        <w:numPr>
          <w:ilvl w:val="0"/>
          <w:numId w:val="24"/>
        </w:numPr>
        <w:tabs>
          <w:tab w:val="clear" w:pos="709"/>
          <w:tab w:val="left" w:pos="0" w:leader="none"/>
        </w:tabs>
        <w:ind w:hanging="283" w:start="709" w:end="0"/>
        <w:rPr/>
      </w:pPr>
      <w:r>
        <w:rPr/>
        <w:t xml:space="preserve">Security and privacy → Cryptography → Public key (asymmetric) techniques </w:t>
      </w:r>
    </w:p>
    <w:p>
      <w:pPr>
        <w:pStyle w:val="BodyText"/>
        <w:numPr>
          <w:ilvl w:val="0"/>
          <w:numId w:val="24"/>
        </w:numPr>
        <w:tabs>
          <w:tab w:val="clear" w:pos="709"/>
          <w:tab w:val="left" w:pos="0" w:leader="none"/>
        </w:tabs>
        <w:ind w:hanging="283" w:start="709" w:end="0"/>
        <w:rPr/>
      </w:pPr>
      <w:r>
        <w:rPr/>
        <w:t>Security and privacy → Security services → Access control</w:t>
      </w:r>
    </w:p>
    <w:p>
      <w:pPr>
        <w:pStyle w:val="BodyText"/>
        <w:ind w:hanging="0" w:start="0" w:end="0"/>
        <w:rPr/>
      </w:pPr>
      <w:r>
        <w:rPr/>
      </w:r>
    </w:p>
    <w:p>
      <w:pPr>
        <w:pStyle w:val="BodyText"/>
        <w:ind w:hanging="0" w:start="0" w:end="0"/>
        <w:rPr>
          <w:b/>
        </w:rPr>
      </w:pPr>
      <w:r>
        <w:rPr>
          <w:b/>
        </w:rPr>
        <w:t>AMS Mathematics Subject Classification (2020):</w:t>
      </w:r>
    </w:p>
    <w:p>
      <w:pPr>
        <w:pStyle w:val="BodyText"/>
        <w:numPr>
          <w:ilvl w:val="0"/>
          <w:numId w:val="25"/>
        </w:numPr>
        <w:tabs>
          <w:tab w:val="clear" w:pos="709"/>
          <w:tab w:val="left" w:pos="0" w:leader="none"/>
        </w:tabs>
        <w:ind w:hanging="283" w:start="709"/>
        <w:rPr/>
      </w:pPr>
      <w:r>
        <w:rPr>
          <w:b/>
        </w:rPr>
        <w:t>94A60</w:t>
      </w:r>
      <w:r>
        <w:rPr/>
        <w:t>: Cryptography</w:t>
      </w:r>
    </w:p>
    <w:p>
      <w:pPr>
        <w:pStyle w:val="BodyText"/>
        <w:numPr>
          <w:ilvl w:val="0"/>
          <w:numId w:val="25"/>
        </w:numPr>
        <w:tabs>
          <w:tab w:val="clear" w:pos="709"/>
          <w:tab w:val="left" w:pos="0" w:leader="none"/>
        </w:tabs>
        <w:ind w:hanging="283" w:start="709"/>
        <w:rPr/>
      </w:pPr>
      <w:r>
        <w:rPr>
          <w:b/>
        </w:rPr>
        <w:t>68M15</w:t>
      </w:r>
      <w:r>
        <w:rPr/>
        <w:t>: Reliability, testing, and fault tolerance of networks and computer systems</w:t>
      </w:r>
    </w:p>
    <w:p>
      <w:pPr>
        <w:pStyle w:val="BodyText"/>
        <w:numPr>
          <w:ilvl w:val="0"/>
          <w:numId w:val="25"/>
        </w:numPr>
        <w:tabs>
          <w:tab w:val="clear" w:pos="709"/>
          <w:tab w:val="left" w:pos="0" w:leader="none"/>
        </w:tabs>
        <w:ind w:hanging="283" w:start="709"/>
        <w:rPr/>
      </w:pPr>
      <w:r>
        <w:rPr>
          <w:b/>
        </w:rPr>
        <w:t>68P25</w:t>
      </w:r>
      <w:r>
        <w:rPr/>
        <w:t>: Data encryption</w:t>
      </w:r>
      <w:r>
        <w:br w:type="page"/>
      </w:r>
    </w:p>
    <w:p>
      <w:pPr>
        <w:pStyle w:val="Heading2"/>
        <w:numPr>
          <w:ilvl w:val="0"/>
          <w:numId w:val="0"/>
        </w:numPr>
        <w:spacing w:before="0" w:after="120"/>
        <w:ind w:hanging="0" w:start="0"/>
        <w:rPr/>
      </w:pPr>
      <w:r>
        <w:rPr/>
        <w:t>Chapter 2: Introduction</w:t>
      </w:r>
    </w:p>
    <w:p>
      <w:pPr>
        <w:pStyle w:val="Heading3"/>
        <w:numPr>
          <w:ilvl w:val="2"/>
          <w:numId w:val="1"/>
        </w:numPr>
        <w:ind w:hanging="0" w:start="0"/>
        <w:rPr/>
      </w:pPr>
      <w:r>
        <w:rPr/>
        <w:t>2.1 Motivation and Problem Statement</w:t>
      </w:r>
    </w:p>
    <w:p>
      <w:pPr>
        <w:pStyle w:val="BodyText"/>
        <w:ind w:hanging="0" w:start="0" w:end="0"/>
        <w:rPr/>
      </w:pPr>
      <w:r>
        <w:rPr/>
        <w:t>Encryption serves as a fundamental security mechanism across modern communication systems, ensuring confidentiality and integrity. However, traditional encryption schemes typically enforce a uniform strategy for all data flows, disregarding their specific operational context or intent. This "one-size-fits-all" approach introduces two significant limitations:</w:t>
      </w:r>
    </w:p>
    <w:p>
      <w:pPr>
        <w:pStyle w:val="BodyText"/>
        <w:numPr>
          <w:ilvl w:val="0"/>
          <w:numId w:val="22"/>
        </w:numPr>
        <w:tabs>
          <w:tab w:val="clear" w:pos="709"/>
          <w:tab w:val="left" w:pos="0" w:leader="none"/>
        </w:tabs>
        <w:ind w:hanging="283" w:start="709"/>
        <w:rPr/>
      </w:pPr>
      <w:r>
        <w:rPr>
          <w:b/>
        </w:rPr>
        <w:t>Over-protection:</w:t>
      </w:r>
      <w:r>
        <w:rPr/>
        <w:t xml:space="preserve"> Benign, low-sensitivity events are subjected to unnecessary computational load, leading to reduced throughput and higher energy consumption.</w:t>
      </w:r>
    </w:p>
    <w:p>
      <w:pPr>
        <w:pStyle w:val="Normal"/>
        <w:numPr>
          <w:ilvl w:val="0"/>
          <w:numId w:val="22"/>
        </w:numPr>
        <w:tabs>
          <w:tab w:val="clear" w:pos="709"/>
          <w:tab w:val="left" w:pos="0" w:leader="none"/>
        </w:tabs>
        <w:ind w:hanging="283" w:start="709"/>
        <w:rPr/>
      </w:pPr>
      <w:r>
        <w:rPr>
          <w:b/>
        </w:rPr>
        <w:t>Under-protection:</w:t>
      </w:r>
      <w:r>
        <w:rPr/>
        <w:t xml:space="preserve"> Critical or high-risk events may receive insufficient security, lacking the strong encryption required for forensic traceability or data immunity.</w:t>
      </w:r>
    </w:p>
    <w:p>
      <w:pPr>
        <w:pStyle w:val="Normal"/>
        <w:ind w:hanging="0" w:start="0" w:end="0"/>
        <w:rPr/>
      </w:pPr>
      <w:r>
        <w:rPr/>
      </w:r>
    </w:p>
    <w:p>
      <w:pPr>
        <w:pStyle w:val="Normal"/>
        <w:ind w:hanging="0" w:start="0" w:end="0"/>
        <w:rPr/>
      </w:pPr>
      <w:r>
        <w:rPr/>
        <w:t>In dynamic environments such as IoT and Cyber-Physical Systems (CPS), the semantic intent of a data flow can vary drastically—from routine status reports to emergency alerts—yet standard frameworks lack the mechanisms to interpret these shifts.</w:t>
      </w:r>
    </w:p>
    <w:p>
      <w:pPr>
        <w:pStyle w:val="BodyText"/>
        <w:ind w:hanging="0" w:start="0"/>
        <w:rPr/>
      </w:pPr>
      <w:r>
        <w:rPr/>
      </w:r>
    </w:p>
    <w:p>
      <w:pPr>
        <w:pStyle w:val="BodyText"/>
        <w:ind w:hanging="0" w:start="0"/>
        <w:rPr/>
      </w:pPr>
      <w:r>
        <w:rPr/>
        <w:t xml:space="preserve">Recent literature explores context-aware and attribute-based encryption, but no practical systems exist that integrate </w:t>
      </w:r>
      <w:r>
        <w:rPr>
          <w:rStyle w:val="Strong"/>
        </w:rPr>
        <w:t>intent inference</w:t>
      </w:r>
      <w:r>
        <w:rPr/>
        <w:t xml:space="preserve">, </w:t>
      </w:r>
      <w:r>
        <w:rPr>
          <w:rStyle w:val="Strong"/>
        </w:rPr>
        <w:t>anomaly detection</w:t>
      </w:r>
      <w:r>
        <w:rPr/>
        <w:t xml:space="preserve">, </w:t>
      </w:r>
      <w:r>
        <w:rPr>
          <w:rStyle w:val="Strong"/>
        </w:rPr>
        <w:t>priority scoring</w:t>
      </w:r>
      <w:r>
        <w:rPr/>
        <w:t xml:space="preserve">, and </w:t>
      </w:r>
      <w:r>
        <w:rPr>
          <w:rStyle w:val="Strong"/>
        </w:rPr>
        <w:t>adaptive cryptographic policies</w:t>
      </w:r>
      <w:r>
        <w:rPr/>
        <w:t xml:space="preserve"> into a unified decision process.</w:t>
      </w:r>
    </w:p>
    <w:p>
      <w:pPr>
        <w:pStyle w:val="BodyText"/>
        <w:ind w:hanging="0" w:start="0"/>
        <w:rPr/>
      </w:pPr>
      <w:r>
        <w:rPr/>
        <w:t>Thus, the central research problem is:</w:t>
      </w:r>
    </w:p>
    <w:p>
      <w:pPr>
        <w:pStyle w:val="BlockQuotationuser"/>
        <w:spacing w:lineRule="auto" w:line="276" w:before="0" w:after="140"/>
        <w:rPr/>
      </w:pPr>
      <w:r>
        <w:rPr>
          <w:rStyle w:val="Strong"/>
        </w:rPr>
        <w:t>How can we design and evaluate a system that dynamically adapts encryption strength based on the operational intent and contextual properties of each event, optimizing both security and efficiency?</w:t>
      </w:r>
    </w:p>
    <w:p>
      <w:pPr>
        <w:pStyle w:val="BodyText"/>
        <w:ind w:hanging="0" w:start="0"/>
        <w:rPr/>
      </w:pPr>
      <w:r>
        <w:rPr/>
        <w:t>This work proposes a solution to this question through the Intent-Aware Encryption (IAE) framework.</w:t>
      </w:r>
    </w:p>
    <w:p>
      <w:pPr>
        <w:pStyle w:val="BodyText"/>
        <w:ind w:hanging="0" w:start="0"/>
        <w:rPr/>
      </w:pPr>
      <w:r>
        <w:rPr/>
      </w:r>
    </w:p>
    <w:p>
      <w:pPr>
        <w:pStyle w:val="Heading3"/>
        <w:numPr>
          <w:ilvl w:val="2"/>
          <w:numId w:val="1"/>
        </w:numPr>
        <w:ind w:hanging="0" w:start="0"/>
        <w:rPr/>
      </w:pPr>
      <w:r>
        <w:rPr/>
        <w:t xml:space="preserve">2.2 </w:t>
      </w:r>
      <w:r>
        <w:rPr/>
        <w:t>Problem Statement and Related Work</w:t>
      </w:r>
    </w:p>
    <w:p>
      <w:pPr>
        <w:pStyle w:val="Normal"/>
        <w:ind w:hanging="0" w:start="0"/>
        <w:rPr/>
      </w:pPr>
      <w:r>
        <w:rPr>
          <w:rStyle w:val="Emphasis"/>
          <w:i w:val="false"/>
          <w:iCs w:val="false"/>
        </w:rPr>
        <w:tab/>
        <w:t xml:space="preserve">The central problem addressed in this research is the inefficiency and lack of adaptability in static encryption protocols. While recent literature has explored Adaptive Context-Aware Encryption (ACE) and Attribute-Based Encryption (ABE) , these solutions often rely on static context rules or incur high computational overheads. Crucially, existing practical systems fail to integrate </w:t>
      </w:r>
      <w:r>
        <w:rPr>
          <w:rStyle w:val="Emphasis"/>
          <w:i/>
          <w:iCs w:val="false"/>
        </w:rPr>
        <w:t>intent inference</w:t>
      </w:r>
      <w:r>
        <w:rPr>
          <w:rStyle w:val="Emphasis"/>
          <w:i w:val="false"/>
          <w:iCs w:val="false"/>
        </w:rPr>
        <w:t xml:space="preserve">—the ability to determine </w:t>
      </w:r>
      <w:r>
        <w:rPr>
          <w:rStyle w:val="Emphasis"/>
          <w:i/>
          <w:iCs w:val="false"/>
        </w:rPr>
        <w:t>why</w:t>
      </w:r>
      <w:r>
        <w:rPr>
          <w:rStyle w:val="Emphasis"/>
          <w:i w:val="false"/>
          <w:iCs w:val="false"/>
        </w:rPr>
        <w:t xml:space="preserve"> an event is occurring—into the cryptographic decision process.</w:t>
      </w:r>
    </w:p>
    <w:p>
      <w:pPr>
        <w:pStyle w:val="BodyText"/>
        <w:ind w:hanging="0" w:start="0"/>
        <w:rPr>
          <w:rStyle w:val="Emphasis"/>
          <w:i w:val="false"/>
          <w:i w:val="false"/>
          <w:iCs w:val="false"/>
        </w:rPr>
      </w:pPr>
      <w:r>
        <w:rPr/>
      </w:r>
    </w:p>
    <w:p>
      <w:pPr>
        <w:pStyle w:val="Heading3"/>
        <w:numPr>
          <w:ilvl w:val="2"/>
          <w:numId w:val="1"/>
        </w:numPr>
        <w:ind w:hanging="0" w:start="0"/>
        <w:rPr/>
      </w:pPr>
      <w:r>
        <w:rPr>
          <w:rStyle w:val="Emphasis"/>
          <w:i w:val="false"/>
          <w:iCs w:val="false"/>
        </w:rPr>
        <w:t>2.</w:t>
      </w:r>
      <w:r>
        <w:rPr>
          <w:rStyle w:val="Emphasis"/>
          <w:i w:val="false"/>
          <w:iCs w:val="false"/>
        </w:rPr>
        <w:t>3</w:t>
      </w:r>
      <w:r>
        <w:rPr>
          <w:rStyle w:val="Emphasis"/>
          <w:i w:val="false"/>
          <w:iCs w:val="false"/>
        </w:rPr>
        <w:t xml:space="preserve"> </w:t>
      </w:r>
      <w:r>
        <w:rPr>
          <w:rStyle w:val="Emphasis"/>
          <w:i w:val="false"/>
          <w:iCs w:val="false"/>
        </w:rPr>
        <w:t>Original Contribution</w:t>
      </w:r>
    </w:p>
    <w:p>
      <w:pPr>
        <w:pStyle w:val="BodyText"/>
        <w:ind w:hanging="0" w:start="0"/>
        <w:rPr/>
      </w:pPr>
      <w:r>
        <w:rPr>
          <w:rStyle w:val="Emphasis"/>
          <w:i w:val="false"/>
          <w:iCs w:val="false"/>
        </w:rPr>
        <w:tab/>
      </w:r>
      <w:r>
        <w:rPr>
          <w:rStyle w:val="Emphasis"/>
          <w:i w:val="false"/>
          <w:iCs w:val="false"/>
        </w:rPr>
        <w:t xml:space="preserve">To bridge this gap, this paper proposes the </w:t>
      </w:r>
      <w:r>
        <w:rPr>
          <w:rStyle w:val="Emphasis"/>
          <w:b/>
          <w:i w:val="false"/>
          <w:iCs w:val="false"/>
        </w:rPr>
        <w:t>Intent-Aware Encryption (IAE)</w:t>
      </w:r>
      <w:r>
        <w:rPr>
          <w:rStyle w:val="Emphasis"/>
          <w:i w:val="false"/>
          <w:iCs w:val="false"/>
        </w:rPr>
        <w:t xml:space="preserve"> framework. Unlike existing methods, IAE introduces a modular pipeline that:</w:t>
      </w:r>
    </w:p>
    <w:p>
      <w:pPr>
        <w:pStyle w:val="BodyText"/>
        <w:numPr>
          <w:ilvl w:val="0"/>
          <w:numId w:val="26"/>
        </w:numPr>
        <w:rPr/>
      </w:pPr>
      <w:r>
        <w:rPr>
          <w:rStyle w:val="Emphasis"/>
          <w:b/>
          <w:i w:val="false"/>
          <w:iCs w:val="false"/>
        </w:rPr>
        <w:t>Extracts Intent:</w:t>
      </w:r>
      <w:r>
        <w:rPr>
          <w:rStyle w:val="Emphasis"/>
          <w:i w:val="false"/>
          <w:iCs w:val="false"/>
        </w:rPr>
        <w:t xml:space="preserve"> Uses machine learning to classify network events into semantic categories (e.g., </w:t>
      </w:r>
      <w:r>
        <w:rPr>
          <w:rStyle w:val="Emphasis"/>
          <w:i/>
          <w:iCs w:val="false"/>
        </w:rPr>
        <w:t>emergency</w:t>
      </w:r>
      <w:r>
        <w:rPr>
          <w:rStyle w:val="Emphasis"/>
          <w:i w:val="false"/>
          <w:iCs w:val="false"/>
        </w:rPr>
        <w:t xml:space="preserve">, </w:t>
      </w:r>
      <w:r>
        <w:rPr>
          <w:rStyle w:val="Emphasis"/>
          <w:i/>
          <w:iCs w:val="false"/>
        </w:rPr>
        <w:t>confidential-transfer</w:t>
      </w:r>
      <w:r>
        <w:rPr>
          <w:rStyle w:val="Emphasis"/>
          <w:i w:val="false"/>
          <w:iCs w:val="false"/>
        </w:rPr>
        <w:t>).</w:t>
      </w:r>
    </w:p>
    <w:p>
      <w:pPr>
        <w:pStyle w:val="BodyText"/>
        <w:numPr>
          <w:ilvl w:val="0"/>
          <w:numId w:val="26"/>
        </w:numPr>
        <w:rPr/>
      </w:pPr>
      <w:r>
        <w:rPr>
          <w:b/>
        </w:rPr>
        <w:t>Adapts Dynamically:</w:t>
      </w:r>
      <w:r>
        <w:rPr/>
        <w:t xml:space="preserve"> autonomously switches between encryption profiles (Low, Medium, High) based on intent probability and anomaly scores.</w:t>
      </w:r>
    </w:p>
    <w:p>
      <w:pPr>
        <w:pStyle w:val="Normal"/>
        <w:numPr>
          <w:ilvl w:val="0"/>
          <w:numId w:val="26"/>
        </w:numPr>
        <w:rPr/>
      </w:pPr>
      <w:r>
        <w:rPr>
          <w:b/>
        </w:rPr>
        <w:t>Optimizes Resources:</w:t>
      </w:r>
      <w:r>
        <w:rPr/>
        <w:t xml:space="preserve"> Reduces latency and energy usage by reserving strong encryption only for high-priority or suspicious events.</w:t>
      </w:r>
    </w:p>
    <w:p>
      <w:pPr>
        <w:pStyle w:val="BodyText"/>
        <w:rPr/>
      </w:pPr>
      <w:r>
        <w:rPr/>
      </w:r>
    </w:p>
    <w:p>
      <w:pPr>
        <w:pStyle w:val="Heading3"/>
        <w:numPr>
          <w:ilvl w:val="2"/>
          <w:numId w:val="1"/>
        </w:numPr>
        <w:ind w:hanging="0" w:start="0"/>
        <w:rPr/>
      </w:pPr>
      <w:r>
        <w:rPr>
          <w:rStyle w:val="Emphasis"/>
          <w:i w:val="false"/>
          <w:iCs w:val="false"/>
        </w:rPr>
        <w:t>2.</w:t>
      </w:r>
      <w:r>
        <w:rPr>
          <w:rStyle w:val="Emphasis"/>
          <w:i w:val="false"/>
          <w:iCs w:val="false"/>
        </w:rPr>
        <w:t>4</w:t>
      </w:r>
      <w:r>
        <w:rPr>
          <w:rStyle w:val="Emphasis"/>
          <w:i w:val="false"/>
          <w:iCs w:val="false"/>
        </w:rPr>
        <w:t xml:space="preserve"> </w:t>
      </w:r>
      <w:r>
        <w:rPr>
          <w:rStyle w:val="Emphasis"/>
          <w:i w:val="false"/>
          <w:iCs w:val="false"/>
        </w:rPr>
        <w:t>Research Questions</w:t>
      </w:r>
    </w:p>
    <w:p>
      <w:pPr>
        <w:pStyle w:val="BodyText"/>
        <w:ind w:hanging="0" w:start="0"/>
        <w:rPr/>
      </w:pPr>
      <w:r>
        <w:rPr>
          <w:rStyle w:val="Emphasis"/>
          <w:i w:val="false"/>
          <w:iCs w:val="false"/>
        </w:rPr>
        <w:tab/>
        <w:t>This study aims to answer the following research questions:</w:t>
      </w:r>
    </w:p>
    <w:p>
      <w:pPr>
        <w:pStyle w:val="BodyText"/>
        <w:numPr>
          <w:ilvl w:val="0"/>
          <w:numId w:val="27"/>
        </w:numPr>
        <w:rPr/>
      </w:pPr>
      <w:r>
        <w:rPr>
          <w:rStyle w:val="Emphasis"/>
          <w:i w:val="false"/>
          <w:iCs w:val="false"/>
        </w:rPr>
        <w:t>How can operational intent be accurately inferred from network flow features and contextual data?</w:t>
      </w:r>
    </w:p>
    <w:p>
      <w:pPr>
        <w:pStyle w:val="BodyText"/>
        <w:numPr>
          <w:ilvl w:val="0"/>
          <w:numId w:val="27"/>
        </w:numPr>
        <w:rPr/>
      </w:pPr>
      <w:r>
        <w:rPr>
          <w:rStyle w:val="Emphasis"/>
          <w:i w:val="false"/>
          <w:iCs w:val="false"/>
        </w:rPr>
        <w:t>To what extent can an intent-driven encryption policy reduce system latency and energy consumption compared to static or attribute-based baselines?</w:t>
      </w:r>
    </w:p>
    <w:p>
      <w:pPr>
        <w:pStyle w:val="Normal"/>
        <w:numPr>
          <w:ilvl w:val="0"/>
          <w:numId w:val="27"/>
        </w:numPr>
        <w:rPr/>
      </w:pPr>
      <w:r>
        <w:rPr>
          <w:rStyle w:val="Emphasis"/>
          <w:i w:val="false"/>
          <w:iCs w:val="false"/>
        </w:rPr>
        <w:t xml:space="preserve">Does the adaptive reduction in encryption strength compromise security coverage for critical high-risk events? </w:t>
      </w:r>
    </w:p>
    <w:p>
      <w:pPr>
        <w:pStyle w:val="BodyText"/>
        <w:rPr>
          <w:rStyle w:val="Emphasis"/>
          <w:i w:val="false"/>
          <w:i w:val="false"/>
          <w:iCs w:val="false"/>
        </w:rPr>
      </w:pPr>
      <w:r>
        <w:rPr/>
      </w:r>
    </w:p>
    <w:p>
      <w:pPr>
        <w:pStyle w:val="Heading3"/>
        <w:numPr>
          <w:ilvl w:val="2"/>
          <w:numId w:val="1"/>
        </w:numPr>
        <w:ind w:hanging="0" w:start="0"/>
        <w:rPr/>
      </w:pPr>
      <w:r>
        <w:rPr>
          <w:rStyle w:val="Emphasis"/>
          <w:i w:val="false"/>
          <w:iCs w:val="false"/>
        </w:rPr>
        <w:t>2.5 Paper Structure</w:t>
      </w:r>
    </w:p>
    <w:p>
      <w:pPr>
        <w:pStyle w:val="BodyText"/>
        <w:ind w:hanging="0" w:start="0"/>
        <w:rPr/>
      </w:pPr>
      <w:r>
        <w:rPr>
          <w:rStyle w:val="Emphasis"/>
          <w:i w:val="false"/>
          <w:iCs w:val="false"/>
        </w:rPr>
        <w:tab/>
      </w:r>
      <w:r>
        <w:rPr>
          <w:rStyle w:val="Emphasis"/>
          <w:i w:val="false"/>
          <w:iCs w:val="false"/>
        </w:rPr>
        <w:t xml:space="preserve">The remainder of this paper is organized as follows: Section 3 details the proposed </w:t>
      </w:r>
      <w:r>
        <w:rPr>
          <w:rStyle w:val="Emphasis"/>
          <w:b/>
          <w:i w:val="false"/>
          <w:iCs w:val="false"/>
        </w:rPr>
        <w:t>Description of Original Approach</w:t>
      </w:r>
      <w:r>
        <w:rPr>
          <w:rStyle w:val="Emphasis"/>
          <w:i w:val="false"/>
          <w:iCs w:val="false"/>
        </w:rPr>
        <w:t xml:space="preserve">, including the mathematical model and system architecture. Section 4 presents the </w:t>
      </w:r>
      <w:r>
        <w:rPr>
          <w:rStyle w:val="Emphasis"/>
          <w:b/>
          <w:i w:val="false"/>
          <w:iCs w:val="false"/>
        </w:rPr>
        <w:t>Experimental Validation</w:t>
      </w:r>
      <w:r>
        <w:rPr>
          <w:rStyle w:val="Emphasis"/>
          <w:i w:val="false"/>
          <w:iCs w:val="false"/>
        </w:rPr>
        <w:t xml:space="preserve">, describing the dataset, methodology, and results. Finally, Section 5 offers </w:t>
      </w:r>
      <w:r>
        <w:rPr>
          <w:rStyle w:val="Emphasis"/>
          <w:b/>
          <w:i w:val="false"/>
          <w:iCs w:val="false"/>
        </w:rPr>
        <w:t>Conclusions</w:t>
      </w:r>
      <w:r>
        <w:rPr>
          <w:rStyle w:val="Emphasis"/>
          <w:i w:val="false"/>
          <w:iCs w:val="false"/>
        </w:rPr>
        <w:t xml:space="preserve"> and discusses future research directions.</w:t>
      </w:r>
      <w:r>
        <w:br w:type="page"/>
      </w:r>
    </w:p>
    <w:p>
      <w:pPr>
        <w:pStyle w:val="Heading2"/>
        <w:numPr>
          <w:ilvl w:val="0"/>
          <w:numId w:val="0"/>
        </w:numPr>
        <w:spacing w:before="0" w:after="120"/>
        <w:ind w:hanging="0" w:start="0"/>
        <w:rPr/>
      </w:pPr>
      <w:r>
        <w:rPr/>
        <w:t>Chapter 3: Intent-Aware Encryption Framework</w:t>
      </w:r>
    </w:p>
    <w:p>
      <w:pPr>
        <w:pStyle w:val="Heading3"/>
        <w:numPr>
          <w:ilvl w:val="2"/>
          <w:numId w:val="1"/>
        </w:numPr>
        <w:ind w:hanging="0" w:start="0"/>
        <w:rPr/>
      </w:pPr>
      <w:r>
        <w:rPr/>
        <w:t>3.1 System Architecture</w:t>
      </w:r>
    </w:p>
    <w:p>
      <w:pPr>
        <w:pStyle w:val="BodyText"/>
        <w:ind w:hanging="0" w:start="0"/>
        <w:rPr/>
      </w:pPr>
      <w:r>
        <w:rPr/>
        <w:t>The IAE framework is designed as a modular pipeline that transforms raw network traffic into secured data flows through intelligent decision-making. Unlike static encryption workflows, IAE separates intent inference from policy enforcement, allowing for dynamic adaptation. The architecture consists of five key stages:</w:t>
      </w:r>
    </w:p>
    <w:p>
      <w:pPr>
        <w:pStyle w:val="BodyText"/>
        <w:numPr>
          <w:ilvl w:val="0"/>
          <w:numId w:val="28"/>
        </w:numPr>
        <w:rPr/>
      </w:pPr>
      <w:r>
        <w:rPr>
          <w:b/>
        </w:rPr>
        <w:t>Data Acquisition &amp; Mapping:</w:t>
      </w:r>
      <w:r>
        <w:rPr/>
        <w:t xml:space="preserve"> Raw flow records are ingested and mapped to high-level event descriptors (e.g., flow duration, byte volume).</w:t>
      </w:r>
    </w:p>
    <w:p>
      <w:pPr>
        <w:pStyle w:val="BodyText"/>
        <w:numPr>
          <w:ilvl w:val="0"/>
          <w:numId w:val="28"/>
        </w:numPr>
        <w:rPr/>
      </w:pPr>
      <w:r>
        <w:rPr>
          <w:b/>
        </w:rPr>
        <w:t>Feature Extraction &amp; Contextual Augmentation:</w:t>
      </w:r>
      <w:r>
        <w:rPr/>
        <w:t xml:space="preserve"> The system computes a numerical feature vector X</w:t>
      </w:r>
      <w:r>
        <w:rPr>
          <w:vertAlign w:val="subscript"/>
        </w:rPr>
        <w:t>t</w:t>
      </w:r>
      <w:r>
        <w:rPr/>
        <w:t>​ and augments it with contextual metrics, including an anomaly score derived via Isolation Forest and a device trust score.</w:t>
      </w:r>
    </w:p>
    <w:p>
      <w:pPr>
        <w:pStyle w:val="BodyText"/>
        <w:numPr>
          <w:ilvl w:val="0"/>
          <w:numId w:val="28"/>
        </w:numPr>
        <w:rPr/>
      </w:pPr>
      <w:r>
        <w:rPr>
          <w:b/>
        </w:rPr>
        <w:t>Intent Classification:</w:t>
      </w:r>
      <w:r>
        <w:rPr/>
        <w:t xml:space="preserve"> Machine Learning classifiers (Random Forest, MLP) analyze the feature vector to output a probability distribution over defined semantic intents (e.g., </w:t>
      </w:r>
      <w:r>
        <w:rPr>
          <w:i/>
        </w:rPr>
        <w:t>emergency</w:t>
      </w:r>
      <w:r>
        <w:rPr/>
        <w:t xml:space="preserve">, </w:t>
      </w:r>
      <w:r>
        <w:rPr>
          <w:i/>
        </w:rPr>
        <w:t>confidential-transfer</w:t>
      </w:r>
      <w:r>
        <w:rPr/>
        <w:t xml:space="preserve">, </w:t>
      </w:r>
      <w:r>
        <w:rPr>
          <w:i/>
        </w:rPr>
        <w:t>routine-report</w:t>
      </w:r>
      <w:r>
        <w:rPr/>
        <w:t>).</w:t>
      </w:r>
    </w:p>
    <w:p>
      <w:pPr>
        <w:pStyle w:val="BodyText"/>
        <w:numPr>
          <w:ilvl w:val="0"/>
          <w:numId w:val="28"/>
        </w:numPr>
        <w:rPr/>
      </w:pPr>
      <w:r>
        <w:rPr>
          <w:b/>
        </w:rPr>
        <w:t>Policy Engine:</w:t>
      </w:r>
      <w:r>
        <w:rPr/>
        <w:t xml:space="preserve"> An adaptive policy evaluates the predicted intent probabilities alongside contextual thresholds to select the optimal encryption level (High, Medium, or Low).</w:t>
      </w:r>
    </w:p>
    <w:p>
      <w:pPr>
        <w:pStyle w:val="BodyText"/>
        <w:numPr>
          <w:ilvl w:val="0"/>
          <w:numId w:val="28"/>
        </w:numPr>
        <w:rPr/>
      </w:pPr>
      <w:r>
        <w:rPr>
          <w:b/>
        </w:rPr>
        <w:t>Encryption Execution:</w:t>
      </w:r>
      <w:r>
        <w:rPr/>
        <w:t xml:space="preserve"> The selected cryptographic profile is applied to the data payload, optimizing for latency and energy without compromising the required security level.</w:t>
      </w:r>
    </w:p>
    <w:p>
      <w:pPr>
        <w:pStyle w:val="BodyText"/>
        <w:ind w:hanging="0" w:start="0"/>
        <w:rPr/>
      </w:pPr>
      <w:r>
        <w:rPr/>
      </w:r>
    </w:p>
    <w:p>
      <w:pPr>
        <w:pStyle w:val="Heading3"/>
        <w:numPr>
          <w:ilvl w:val="2"/>
          <w:numId w:val="1"/>
        </w:numPr>
        <w:ind w:hanging="0" w:start="0"/>
        <w:rPr/>
      </w:pPr>
      <w:r>
        <w:rPr/>
        <w:t>3.2 Mathematical and Formal Model</w:t>
      </w:r>
    </w:p>
    <w:p>
      <w:pPr>
        <w:pStyle w:val="BodyText"/>
        <w:ind w:hanging="0" w:start="0" w:end="0"/>
        <w:rPr/>
      </w:pPr>
      <w:r>
        <w:rPr/>
        <w:tab/>
        <w:t xml:space="preserve">To formally define the adaptive behavior, we model an event Et​ at time t as a tuple containing context, metadata, behavioral features, and the intent label: </w:t>
      </w:r>
    </w:p>
    <w:p>
      <w:pPr>
        <w:pStyle w:val="BodyText"/>
        <w:ind w:hanging="0" w:start="0"/>
        <w:rPr/>
      </w:pPr>
      <w:r>
        <w:rPr/>
      </w:r>
      <m:oMathPara xmlns:m="http://schemas.openxmlformats.org/officeDocument/2006/math">
        <m:oMathParaPr>
          <m:jc m:val="left"/>
        </m:oMathParaPr>
        <m:o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m:oMathPara>
    </w:p>
    <w:p>
      <w:pPr>
        <w:pStyle w:val="BodyText"/>
        <w:ind w:hanging="0" w:start="0"/>
        <w:rPr/>
      </w:pPr>
      <w:r>
        <w:rPr/>
        <w:t xml:space="preserve">The core of the framework is the </w:t>
      </w:r>
      <w:r>
        <w:rPr>
          <w:b/>
        </w:rPr>
        <w:t>decision policy</w:t>
      </w:r>
      <w:r>
        <w:rPr/>
        <w:t xml:space="preserve"> π, which maps the inferred intent probability and context to an encryption action </w:t>
      </w:r>
      <w:r>
        <w:rPr/>
      </w:r>
      <m:oMath xmlns:m="http://schemas.openxmlformats.org/officeDocument/2006/math">
        <m:sSub>
          <m:e>
            <m:r>
              <m:t xml:space="preserve">a</m:t>
            </m:r>
          </m:e>
          <m:sub>
            <m:r>
              <m:t xml:space="preserve">t</m:t>
            </m:r>
          </m:sub>
        </m:sSub>
        <m:r>
          <m:t xml:space="preserve">∈</m:t>
        </m:r>
        <m:r>
          <m:t xml:space="preserve">{</m:t>
        </m:r>
        <m:r>
          <m:t xml:space="preserve">High</m:t>
        </m:r>
        <m:r>
          <m:t xml:space="preserve">,</m:t>
        </m:r>
        <m:r>
          <m:t xml:space="preserve">Medium</m:t>
        </m:r>
        <m:r>
          <m:t xml:space="preserve">,</m:t>
        </m:r>
        <m:r>
          <m:t xml:space="preserve">Low</m:t>
        </m:r>
        <m:r>
          <m:t xml:space="preserve">}</m:t>
        </m:r>
      </m:oMath>
      <w:r>
        <w:rPr/>
        <w:t xml:space="preserve">. Let </w:t>
      </w:r>
      <w:r>
        <w:rPr>
          <w:i/>
          <w:iCs/>
        </w:rPr>
        <w:t>p</w:t>
      </w:r>
      <w:r>
        <w:rPr>
          <w:i/>
          <w:iCs/>
          <w:vertAlign w:val="subscript"/>
        </w:rPr>
        <w:t>ic</w:t>
      </w:r>
      <w:r>
        <w:rPr/>
        <w:t xml:space="preserve"> be the classifier probability for intent class </w:t>
      </w:r>
      <w:r>
        <w:rPr>
          <w:i/>
          <w:iCs/>
        </w:rPr>
        <w:t>c</w:t>
      </w:r>
      <w:r>
        <w:rPr/>
        <w:t xml:space="preserve">, </w:t>
      </w:r>
      <w:r>
        <w:rPr>
          <w:i/>
          <w:iCs/>
        </w:rPr>
        <w:t>a</w:t>
      </w:r>
      <w:r>
        <w:rPr>
          <w:i/>
          <w:iCs/>
          <w:vertAlign w:val="subscript"/>
        </w:rPr>
        <w:t>i</w:t>
      </w:r>
      <w:r>
        <w:rPr/>
        <w:t xml:space="preserve">​ the anomaly score, and </w:t>
      </w:r>
      <w:r>
        <w:rPr>
          <w:i/>
          <w:iCs/>
        </w:rPr>
        <w:t>q</w:t>
      </w:r>
      <w:r>
        <w:rPr>
          <w:i/>
          <w:iCs/>
          <w:vertAlign w:val="subscript"/>
        </w:rPr>
        <w:t>i</w:t>
      </w:r>
      <w:r>
        <w:rPr>
          <w:vertAlign w:val="subscript"/>
        </w:rPr>
        <w:t>​</w:t>
      </w:r>
      <w:r>
        <w:rPr/>
        <w:t xml:space="preserve"> the priority score.</w:t>
      </w:r>
    </w:p>
    <w:p>
      <w:pPr>
        <w:pStyle w:val="BodyText"/>
        <w:ind w:hanging="0" w:start="0"/>
        <w:rPr/>
      </w:pPr>
      <w:r>
        <w:rPr/>
      </w:r>
    </w:p>
    <w:p>
      <w:pPr>
        <w:pStyle w:val="BodyText"/>
        <w:ind w:hanging="0" w:start="0"/>
        <w:rPr/>
      </w:pPr>
      <w:r>
        <w:rPr/>
        <w:tab/>
        <w:t>The adaptive policy function is defined as follows:</w:t>
      </w:r>
    </w:p>
    <w:p>
      <w:pPr>
        <w:pStyle w:val="BodyText"/>
        <w:ind w:hanging="0" w:start="0"/>
        <w:rPr/>
      </w:pPr>
      <w:r>
        <w:rPr/>
        <w:t>For</w:t>
      </w:r>
      <w:r>
        <w:rPr/>
        <w:t>:</w:t>
      </w:r>
    </w:p>
    <w:p>
      <w:pPr>
        <w:pStyle w:val="BodyText"/>
        <w:numPr>
          <w:ilvl w:val="0"/>
          <w:numId w:val="23"/>
        </w:numPr>
        <w:tabs>
          <w:tab w:val="clear" w:pos="709"/>
          <w:tab w:val="left" w:pos="0" w:leader="none"/>
        </w:tabs>
        <w:ind w:hanging="283" w:start="709"/>
        <w:rPr/>
      </w:pPr>
      <w:r>
        <w:rPr/>
      </w:r>
      <m:oMath xmlns:m="http://schemas.openxmlformats.org/officeDocument/2006/math">
        <m:sSub>
          <m:e>
            <m:r>
              <m:t xml:space="preserve">x</m:t>
            </m:r>
          </m:e>
          <m:sub>
            <m:r>
              <m:t xml:space="preserve">i</m:t>
            </m:r>
          </m:sub>
        </m:sSub>
      </m:oMath>
      <w:r>
        <w:rPr/>
        <w:t>= feature vector</w:t>
      </w:r>
    </w:p>
    <w:p>
      <w:pPr>
        <w:pStyle w:val="BodyText"/>
        <w:numPr>
          <w:ilvl w:val="0"/>
          <w:numId w:val="23"/>
        </w:numPr>
        <w:tabs>
          <w:tab w:val="clear" w:pos="709"/>
          <w:tab w:val="left" w:pos="0" w:leader="none"/>
        </w:tabs>
        <w:ind w:hanging="283" w:start="709"/>
        <w:rPr/>
      </w:pPr>
      <w:r>
        <w:rPr/>
      </w:r>
      <m:oMath xmlns:m="http://schemas.openxmlformats.org/officeDocument/2006/math">
        <m:sSub>
          <m:e>
            <m:r>
              <m:t xml:space="preserve">p</m:t>
            </m:r>
          </m:e>
          <m:sub>
            <m:r>
              <m:t xml:space="preserve">i</m:t>
            </m:r>
          </m:sub>
        </m:sSub>
        <m:d>
          <m:dPr>
            <m:begChr m:val="("/>
            <m:endChr m:val=")"/>
          </m:dPr>
          <m:e>
            <m:r>
              <m:t xml:space="preserve">c</m:t>
            </m:r>
          </m:e>
        </m:d>
      </m:oMath>
      <w:r>
        <w:rPr/>
        <w:t xml:space="preserve"> </w:t>
      </w:r>
      <w:r>
        <w:rPr/>
        <w:t>= classifier probability for class c</w:t>
      </w:r>
    </w:p>
    <w:p>
      <w:pPr>
        <w:pStyle w:val="BodyText"/>
        <w:numPr>
          <w:ilvl w:val="0"/>
          <w:numId w:val="23"/>
        </w:numPr>
        <w:tabs>
          <w:tab w:val="clear" w:pos="709"/>
          <w:tab w:val="left" w:pos="0" w:leader="none"/>
        </w:tabs>
        <w:ind w:hanging="283" w:start="709"/>
        <w:rPr/>
      </w:pPr>
      <w:r>
        <w:rPr/>
      </w:r>
      <m:oMath xmlns:m="http://schemas.openxmlformats.org/officeDocument/2006/math">
        <m:sSub>
          <m:e>
            <m:r>
              <m:t xml:space="preserve">a</m:t>
            </m:r>
          </m:e>
          <m:sub>
            <m:r>
              <m:t xml:space="preserve">i</m:t>
            </m:r>
          </m:sub>
        </m:sSub>
      </m:oMath>
      <w:r>
        <w:rPr/>
        <w:t xml:space="preserve">​ </w:t>
      </w:r>
      <w:r>
        <w:rPr/>
        <w:t>= anomaly score</w:t>
      </w:r>
    </w:p>
    <w:p>
      <w:pPr>
        <w:pStyle w:val="BodyText"/>
        <w:numPr>
          <w:ilvl w:val="0"/>
          <w:numId w:val="23"/>
        </w:numPr>
        <w:tabs>
          <w:tab w:val="clear" w:pos="709"/>
          <w:tab w:val="left" w:pos="0" w:leader="none"/>
        </w:tabs>
        <w:ind w:hanging="283" w:start="709"/>
        <w:rPr/>
      </w:pPr>
      <w:r>
        <w:rPr/>
      </w:r>
      <m:oMath xmlns:m="http://schemas.openxmlformats.org/officeDocument/2006/math">
        <m:sSub>
          <m:e>
            <m:r>
              <m:t xml:space="preserve">s</m:t>
            </m:r>
          </m:e>
          <m:sub>
            <m:r>
              <m:t xml:space="preserve">i</m:t>
            </m:r>
          </m:sub>
        </m:sSub>
      </m:oMath>
      <w:r>
        <w:rPr/>
        <w:t xml:space="preserve"> </w:t>
      </w:r>
      <w:r>
        <w:rPr/>
        <w:t>= sensitivity</w:t>
      </w:r>
    </w:p>
    <w:p>
      <w:pPr>
        <w:pStyle w:val="BodyText"/>
        <w:numPr>
          <w:ilvl w:val="0"/>
          <w:numId w:val="23"/>
        </w:numPr>
        <w:tabs>
          <w:tab w:val="clear" w:pos="709"/>
          <w:tab w:val="left" w:pos="0" w:leader="none"/>
        </w:tabs>
        <w:ind w:hanging="283" w:start="709"/>
        <w:rPr/>
      </w:pPr>
      <w:r>
        <w:rPr/>
      </w:r>
      <m:oMath xmlns:m="http://schemas.openxmlformats.org/officeDocument/2006/math">
        <m:sSub>
          <m:e>
            <m:r>
              <m:t xml:space="preserve">q</m:t>
            </m:r>
          </m:e>
          <m:sub>
            <m:r>
              <m:t xml:space="preserve">i</m:t>
            </m:r>
          </m:sub>
        </m:sSub>
      </m:oMath>
      <w:r>
        <w:rPr/>
        <w:t xml:space="preserve"> </w:t>
      </w:r>
      <w:r>
        <w:rPr/>
        <w:t>= priority score</w:t>
      </w:r>
    </w:p>
    <w:p>
      <w:pPr>
        <w:pStyle w:val="BodyText"/>
        <w:ind w:hanging="0" w:start="0"/>
        <w:rPr/>
      </w:pPr>
      <w:r>
        <w:rPr/>
        <w:t>The policy function is:</w:t>
      </w:r>
    </w:p>
    <w:p>
      <w:pPr>
        <w:pStyle w:val="BodyText"/>
        <w:ind w:hanging="0" w:start="0"/>
        <w:rPr/>
      </w:pPr>
      <w:r>
        <w:rPr/>
      </w:r>
      <m:oMathPara xmlns:m="http://schemas.openxmlformats.org/officeDocument/2006/math">
        <m:oMathParaPr>
          <m:jc m:val="left"/>
        </m:oMathParaPr>
        <m:oMath>
          <m:r>
            <m:t xml:space="preserve">π</m:t>
          </m:r>
          <m:d>
            <m:dPr>
              <m:begChr m:val="("/>
              <m:endChr m:val=")"/>
            </m:dPr>
            <m:e>
              <m:sSub>
                <m:e>
                  <m:r>
                    <m:t xml:space="preserve">x</m:t>
                  </m:r>
                </m:e>
                <m:sub>
                  <m:r>
                    <m:t xml:space="preserve">i</m:t>
                  </m:r>
                </m:sub>
              </m:sSub>
            </m:e>
          </m:d>
          <m:r>
            <m:t xml:space="preserve">=</m:t>
          </m:r>
          <m:d>
            <m:dPr>
              <m:begChr m:val="{"/>
              <m:endChr m:val="}"/>
            </m:dPr>
            <m:e>
              <m:eqArr>
                <m:e>
                  <m:r>
                    <m:t xml:space="preserve">High</m:t>
                  </m:r>
                  <m:r>
                    <m:t xml:space="preserve">,</m:t>
                  </m:r>
                  <m:r>
                    <m:t xml:space="preserve">if</m:t>
                  </m:r>
                  <m:sSub>
                    <m:e>
                      <m:r>
                        <m:t xml:space="preserve">p</m:t>
                      </m:r>
                    </m:e>
                    <m:sub>
                      <m:r>
                        <m:t xml:space="preserve">i</m:t>
                      </m:r>
                    </m:sub>
                  </m:sSub>
                  <m:d>
                    <m:dPr>
                      <m:begChr m:val="("/>
                      <m:endChr m:val=")"/>
                    </m:dPr>
                    <m:e>
                      <m:r>
                        <m:t xml:space="preserve">emergency</m:t>
                      </m:r>
                    </m:e>
                  </m:d>
                  <m:r>
                    <m:t xml:space="preserve">≥</m:t>
                  </m:r>
                  <m:sSub>
                    <m:e>
                      <m:r>
                        <m:t xml:space="preserve">θ</m:t>
                      </m:r>
                    </m:e>
                    <m:sub>
                      <m:r>
                        <m:t xml:space="preserve">e</m:t>
                      </m:r>
                    </m:sub>
                  </m:sSub>
                  <m:r>
                    <m:t xml:space="preserve">∨</m:t>
                  </m:r>
                  <m:sSub>
                    <m:e>
                      <m:r>
                        <m:t xml:space="preserve">a</m:t>
                      </m:r>
                    </m:e>
                    <m:sub>
                      <m:r>
                        <m:t xml:space="preserve">i</m:t>
                      </m:r>
                    </m:sub>
                  </m:sSub>
                  <m:r>
                    <m:t xml:space="preserve">≥</m:t>
                  </m:r>
                  <m:sSub>
                    <m:e>
                      <m:r>
                        <m:t xml:space="preserve">τ</m:t>
                      </m:r>
                    </m:e>
                    <m:sub>
                      <m:r>
                        <m:t xml:space="preserve">a</m:t>
                      </m:r>
                    </m:sub>
                  </m:sSub>
                </m:e>
                <m:e>
                  <m:r>
                    <m:t xml:space="preserve">Medium</m:t>
                  </m:r>
                  <m:r>
                    <m:t xml:space="preserve">,</m:t>
                  </m:r>
                  <m:r>
                    <m:t xml:space="preserve">if</m:t>
                  </m:r>
                  <m:sSub>
                    <m:e>
                      <m:r>
                        <m:t xml:space="preserve">p</m:t>
                      </m:r>
                    </m:e>
                    <m:sub>
                      <m:r>
                        <m:t xml:space="preserve">i</m:t>
                      </m:r>
                    </m:sub>
                  </m:sSub>
                  <m:d>
                    <m:dPr>
                      <m:begChr m:val="("/>
                      <m:endChr m:val=")"/>
                    </m:dPr>
                    <m:e>
                      <m:r>
                        <m:t xml:space="preserve">confidential</m:t>
                      </m:r>
                    </m:e>
                  </m:d>
                  <m:r>
                    <m:t xml:space="preserve">≥</m:t>
                  </m:r>
                  <m:sSub>
                    <m:e>
                      <m:r>
                        <m:t xml:space="preserve">θ</m:t>
                      </m:r>
                    </m:e>
                    <m:sub>
                      <m:r>
                        <m:t xml:space="preserve">c</m:t>
                      </m:r>
                    </m:sub>
                  </m:sSub>
                  <m:r>
                    <m:t xml:space="preserve">∨</m:t>
                  </m:r>
                  <m:d>
                    <m:dPr>
                      <m:begChr m:val="("/>
                      <m:endChr m:val=")"/>
                    </m:dPr>
                    <m:e>
                      <m:sSub>
                        <m:e>
                          <m:r>
                            <m:t xml:space="preserve">q</m:t>
                          </m:r>
                        </m:e>
                        <m:sub>
                          <m:r>
                            <m:t xml:space="preserve">i</m:t>
                          </m:r>
                        </m:sub>
                      </m:sSub>
                      <m:r>
                        <m:t xml:space="preserve">≥</m:t>
                      </m:r>
                      <m:sSub>
                        <m:e>
                          <m:r>
                            <m:t xml:space="preserve">τ</m:t>
                          </m:r>
                        </m:e>
                        <m:sub>
                          <m:r>
                            <m:t xml:space="preserve">q</m:t>
                          </m:r>
                        </m:sub>
                      </m:sSub>
                      <m:r>
                        <m:t xml:space="preserve">∧</m:t>
                      </m:r>
                      <m:sSub>
                        <m:e>
                          <m:r>
                            <m:t xml:space="preserve">s</m:t>
                          </m:r>
                        </m:e>
                        <m:sub>
                          <m:r>
                            <m:t xml:space="preserve">i</m:t>
                          </m:r>
                        </m:sub>
                      </m:sSub>
                      <m:r>
                        <m:t xml:space="preserve">≠</m:t>
                      </m:r>
                      <m:r>
                        <m:t xml:space="preserve">high</m:t>
                      </m:r>
                    </m:e>
                  </m:d>
                </m:e>
                <m:e>
                  <m:r>
                    <m:t xml:space="preserve">Low</m:t>
                  </m:r>
                  <m:r>
                    <m:t xml:space="preserve">,</m:t>
                  </m:r>
                  <m:r>
                    <m:t xml:space="preserve">otherwise</m:t>
                  </m:r>
                </m:e>
              </m:eqArr>
            </m:e>
          </m:d>
        </m:oMath>
      </m:oMathPara>
    </w:p>
    <w:p>
      <w:pPr>
        <w:pStyle w:val="BodyText"/>
        <w:ind w:hanging="0" w:start="0"/>
        <w:rPr/>
      </w:pPr>
      <w:r>
        <w:rPr/>
        <w:t xml:space="preserve">Where </w:t>
      </w:r>
      <w:r>
        <w:rPr>
          <w:i/>
          <w:iCs/>
        </w:rPr>
        <w:t>θ</w:t>
      </w:r>
      <w:r>
        <w:rPr/>
        <w:t xml:space="preserve"> represents probability thresholds and </w:t>
      </w:r>
      <w:r>
        <w:rPr>
          <w:i/>
          <w:iCs/>
        </w:rPr>
        <w:t>τ</w:t>
      </w:r>
      <w:r>
        <w:rPr/>
        <w:t xml:space="preserve"> represents contextual thresholds (e.g., for anomaly or priority).</w:t>
      </w:r>
    </w:p>
    <w:p>
      <w:pPr>
        <w:pStyle w:val="BodyText"/>
        <w:ind w:hanging="0" w:start="0"/>
        <w:rPr/>
      </w:pPr>
      <w:r>
        <w:rPr/>
      </w:r>
    </w:p>
    <w:p>
      <w:pPr>
        <w:pStyle w:val="BodyText"/>
        <w:rPr/>
      </w:pPr>
      <w:r>
        <w:rPr/>
        <w:tab/>
        <w:t xml:space="preserve">The objective of this policy is to minimize a cost function that balances system performance with security quality: </w:t>
      </w:r>
    </w:p>
    <w:p>
      <w:pPr>
        <w:pStyle w:val="BodyText"/>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ind w:hanging="0" w:start="0" w:end="0"/>
        <w:rPr/>
      </w:pPr>
      <w:r>
        <w:rPr/>
        <w:t xml:space="preserve">Where </w:t>
      </w:r>
      <w:r>
        <w:rPr>
          <w:i/>
          <w:iCs/>
        </w:rPr>
        <w:t xml:space="preserve">T(a,s) </w:t>
      </w:r>
      <w:r>
        <w:rPr/>
        <w:t xml:space="preserve">represents latency, </w:t>
      </w:r>
      <w:r>
        <w:rPr>
          <w:i/>
          <w:iCs/>
        </w:rPr>
        <w:t>E(a,s)</w:t>
      </w:r>
      <w:r>
        <w:rPr/>
        <w:t xml:space="preserve"> represents energy consumption, and </w:t>
      </w:r>
      <w:r>
        <w:rPr>
          <w:i/>
          <w:iCs/>
        </w:rPr>
        <w:t>Q(a,I)</w:t>
      </w:r>
      <w:r>
        <w:rPr/>
        <w:t xml:space="preserve"> quantifies the security quality relative to the true intent.</w:t>
      </w:r>
    </w:p>
    <w:p>
      <w:pPr>
        <w:pStyle w:val="BodyText"/>
        <w:ind w:hanging="0" w:start="0"/>
        <w:rPr/>
      </w:pPr>
      <w:r>
        <w:rPr/>
      </w:r>
    </w:p>
    <w:p>
      <w:pPr>
        <w:pStyle w:val="Heading3"/>
        <w:numPr>
          <w:ilvl w:val="2"/>
          <w:numId w:val="1"/>
        </w:numPr>
        <w:ind w:hanging="0" w:start="0"/>
        <w:rPr/>
      </w:pPr>
      <w:r>
        <w:rPr/>
        <w:t>3.3 Algorithmic Implementation</w:t>
      </w:r>
    </w:p>
    <w:p>
      <w:pPr>
        <w:pStyle w:val="BodyText"/>
        <w:ind w:hanging="0" w:start="0"/>
        <w:rPr/>
      </w:pPr>
      <w:r>
        <w:rPr/>
        <w:tab/>
        <w:t xml:space="preserve">The intent classification relies on supervised learning algorithms. The system utilizes a </w:t>
      </w:r>
      <w:r>
        <w:rPr>
          <w:b/>
        </w:rPr>
        <w:t>Random Forest</w:t>
      </w:r>
      <w:r>
        <w:rPr/>
        <w:t xml:space="preserve"> classifier as the primary model due to its robustness in handling high-dimensional network feature sets, alongside </w:t>
      </w:r>
      <w:r>
        <w:rPr>
          <w:b/>
        </w:rPr>
        <w:t>Logistic Regression</w:t>
      </w:r>
      <w:r>
        <w:rPr/>
        <w:t xml:space="preserve"> and </w:t>
      </w:r>
      <w:r>
        <w:rPr>
          <w:b/>
        </w:rPr>
        <w:t>Multi-Layer Perceptrons (MLP)</w:t>
      </w:r>
      <w:r>
        <w:rPr/>
        <w:t xml:space="preserve"> for comparative validation. The anomaly detection component utilizes an </w:t>
      </w:r>
      <w:r>
        <w:rPr>
          <w:b/>
        </w:rPr>
        <w:t>Isolation Forest</w:t>
      </w:r>
      <w:r>
        <w:rPr/>
        <w:t xml:space="preserve"> algorithm to identifying outliers in traffic flow that may indicate malicious activity regardless of the specific semantic intent.</w:t>
      </w:r>
      <w:r>
        <w:br w:type="page"/>
      </w:r>
    </w:p>
    <w:p>
      <w:pPr>
        <w:pStyle w:val="Heading2"/>
        <w:numPr>
          <w:ilvl w:val="0"/>
          <w:numId w:val="0"/>
        </w:numPr>
        <w:spacing w:before="0" w:after="120"/>
        <w:ind w:hanging="0" w:start="0"/>
        <w:rPr/>
      </w:pPr>
      <w:r>
        <w:rPr/>
        <w:t>Chapter 4: Methodology and Implementation</w:t>
      </w:r>
    </w:p>
    <w:p>
      <w:pPr>
        <w:pStyle w:val="BodyText"/>
        <w:numPr>
          <w:ilvl w:val="0"/>
          <w:numId w:val="0"/>
        </w:numPr>
        <w:bidi w:val="0"/>
        <w:spacing w:before="0" w:after="140"/>
        <w:ind w:hanging="0" w:start="0"/>
        <w:jc w:val="start"/>
        <w:rPr/>
      </w:pPr>
      <w:r>
        <w:rPr/>
        <w:tab/>
        <w:t>This chapter presents the methodology used to evaluate the proposed Intent-Aware Encryption framework. It describes the experimental model, data sources, experimental protocols, formalization, validation strategies, comparison baselines, and the overall experimental plan. The chapter provides a clear and reproducible foundation for assessing the performance, security, and efficiency of IAE.</w:t>
      </w:r>
    </w:p>
    <w:p>
      <w:pPr>
        <w:pStyle w:val="Heading3"/>
        <w:numPr>
          <w:ilvl w:val="2"/>
          <w:numId w:val="1"/>
        </w:numPr>
        <w:ind w:hanging="0" w:start="0"/>
        <w:rPr/>
      </w:pPr>
      <w:r>
        <w:rPr/>
      </w:r>
    </w:p>
    <w:p>
      <w:pPr>
        <w:pStyle w:val="Heading3"/>
        <w:numPr>
          <w:ilvl w:val="2"/>
          <w:numId w:val="1"/>
        </w:numPr>
        <w:ind w:hanging="0" w:start="0"/>
        <w:rPr/>
      </w:pPr>
      <w:r>
        <w:rPr/>
        <w:t>4.1 Overview</w:t>
      </w:r>
    </w:p>
    <w:p>
      <w:pPr>
        <w:pStyle w:val="BodyText"/>
        <w:ind w:hanging="0" w:start="0"/>
        <w:rPr/>
      </w:pPr>
      <w:r>
        <w:rPr/>
        <w:t>The experimental methodology aims to systematically evaluate IAE across multiple dimensions, including intent classification accuracy, adaptive encryption behavior, system performance, and security robustness. Experiments are designed to be reproducible and scalable, incorporating both real-world datasets and synthetic scenarios. Key goals include:</w:t>
      </w:r>
    </w:p>
    <w:p>
      <w:pPr>
        <w:pStyle w:val="BodyText"/>
        <w:numPr>
          <w:ilvl w:val="0"/>
          <w:numId w:val="4"/>
        </w:numPr>
        <w:tabs>
          <w:tab w:val="clear" w:pos="709"/>
          <w:tab w:val="left" w:pos="0" w:leader="none"/>
        </w:tabs>
        <w:ind w:hanging="283" w:start="720"/>
        <w:rPr/>
      </w:pPr>
      <w:r>
        <w:rPr/>
        <w:t>Assessing the accuracy of intent inference from context and behavioral data.</w:t>
      </w:r>
    </w:p>
    <w:p>
      <w:pPr>
        <w:pStyle w:val="BodyText"/>
        <w:numPr>
          <w:ilvl w:val="0"/>
          <w:numId w:val="5"/>
        </w:numPr>
        <w:tabs>
          <w:tab w:val="clear" w:pos="709"/>
          <w:tab w:val="left" w:pos="0" w:leader="none"/>
        </w:tabs>
        <w:ind w:hanging="283" w:start="720"/>
        <w:rPr/>
      </w:pPr>
      <w:r>
        <w:rPr/>
        <w:t>Evaluating dynamic adaptation of encryption parameters based on inferred intent.</w:t>
      </w:r>
    </w:p>
    <w:p>
      <w:pPr>
        <w:pStyle w:val="BodyText"/>
        <w:numPr>
          <w:ilvl w:val="0"/>
          <w:numId w:val="6"/>
        </w:numPr>
        <w:tabs>
          <w:tab w:val="clear" w:pos="709"/>
          <w:tab w:val="left" w:pos="0" w:leader="none"/>
        </w:tabs>
        <w:ind w:hanging="283" w:start="720"/>
        <w:rPr/>
      </w:pPr>
      <w:r>
        <w:rPr/>
        <w:t>Measuring performance in terms of latency, energy consumption, and throughput.</w:t>
      </w:r>
    </w:p>
    <w:p>
      <w:pPr>
        <w:pStyle w:val="BodyText"/>
        <w:numPr>
          <w:ilvl w:val="0"/>
          <w:numId w:val="7"/>
        </w:numPr>
        <w:tabs>
          <w:tab w:val="clear" w:pos="709"/>
          <w:tab w:val="left" w:pos="0" w:leader="none"/>
        </w:tabs>
        <w:ind w:hanging="283" w:start="720"/>
        <w:rPr/>
      </w:pPr>
      <w:r>
        <w:rPr/>
        <w:t>Analyzing security, privacy, and resilience under attack scenarios.</w:t>
      </w:r>
    </w:p>
    <w:p>
      <w:pPr>
        <w:pStyle w:val="BodyText"/>
        <w:ind w:hanging="0" w:start="0"/>
        <w:rPr/>
      </w:pPr>
      <w:r>
        <w:rPr/>
      </w:r>
    </w:p>
    <w:p>
      <w:pPr>
        <w:pStyle w:val="Heading3"/>
        <w:numPr>
          <w:ilvl w:val="2"/>
          <w:numId w:val="1"/>
        </w:numPr>
        <w:ind w:hanging="0" w:start="0"/>
        <w:rPr/>
      </w:pPr>
      <w:r>
        <w:rPr/>
        <w:t>4.2 Data and Scenario Design</w:t>
      </w:r>
    </w:p>
    <w:p>
      <w:pPr>
        <w:pStyle w:val="BodyText"/>
        <w:ind w:hanging="0" w:start="0"/>
        <w:rPr/>
      </w:pPr>
      <w:r>
        <w:rPr/>
      </w:r>
    </w:p>
    <w:p>
      <w:pPr>
        <w:pStyle w:val="Heading"/>
        <w:rPr/>
      </w:pPr>
      <w:r>
        <w:rPr/>
        <w:t>Data Sources</w:t>
      </w:r>
    </w:p>
    <w:p>
      <w:pPr>
        <w:pStyle w:val="BodyText"/>
        <w:ind w:hanging="0" w:start="0"/>
        <w:rPr/>
      </w:pPr>
      <w:r>
        <w:rPr/>
        <w:t>Experiments leverage a combination of real-world and synthetic data:</w:t>
      </w:r>
    </w:p>
    <w:p>
      <w:pPr>
        <w:pStyle w:val="BodyText"/>
        <w:numPr>
          <w:ilvl w:val="0"/>
          <w:numId w:val="8"/>
        </w:numPr>
        <w:tabs>
          <w:tab w:val="clear" w:pos="709"/>
          <w:tab w:val="left" w:pos="0" w:leader="none"/>
        </w:tabs>
        <w:ind w:hanging="283" w:start="709"/>
        <w:rPr/>
      </w:pPr>
      <w:r>
        <w:rPr>
          <w:rStyle w:val="Strong"/>
        </w:rPr>
        <w:t>Synthetic intent labels:</w:t>
      </w:r>
      <w:r>
        <w:rPr/>
        <w:t xml:space="preserve"> Predefined intents, including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 are associated with events.</w:t>
      </w:r>
    </w:p>
    <w:p>
      <w:pPr>
        <w:pStyle w:val="BodyText"/>
        <w:numPr>
          <w:ilvl w:val="0"/>
          <w:numId w:val="8"/>
        </w:numPr>
        <w:tabs>
          <w:tab w:val="clear" w:pos="709"/>
          <w:tab w:val="left" w:pos="0" w:leader="none"/>
        </w:tabs>
        <w:ind w:hanging="283" w:start="709"/>
        <w:rPr/>
      </w:pPr>
      <w:r>
        <w:rPr>
          <w:rStyle w:val="Strong"/>
        </w:rPr>
        <w:t>Attack scenarios:</w:t>
      </w:r>
      <w:r>
        <w:rPr/>
        <w:t xml:space="preserve"> Intrusion datasets like CICIDS are used to test resilience against malicious activities.</w:t>
      </w:r>
    </w:p>
    <w:p>
      <w:pPr>
        <w:pStyle w:val="BodyText"/>
        <w:ind w:hanging="0" w:start="0"/>
        <w:rPr/>
      </w:pPr>
      <w:r>
        <w:rPr/>
      </w:r>
    </w:p>
    <w:p>
      <w:pPr>
        <w:pStyle w:val="Heading"/>
        <w:rPr/>
      </w:pPr>
      <w:r>
        <w:rPr/>
        <w:t>Feature Design</w:t>
      </w:r>
    </w:p>
    <w:p>
      <w:pPr>
        <w:pStyle w:val="BodyText"/>
        <w:ind w:hanging="0" w:start="0"/>
        <w:rPr/>
      </w:pPr>
      <w:r>
        <w:rPr/>
        <w:t>Each event at time t is represented by:</w:t>
      </w:r>
    </w:p>
    <w:p>
      <w:pPr>
        <w:pStyle w:val="BodyText"/>
        <w:ind w:hanging="0" w:start="0"/>
        <w:rPr/>
      </w:pPr>
      <w:r>
        <w:rPr/>
        <w:tab/>
      </w:r>
      <w:r>
        <w:rPr/>
      </w:r>
      <m:oMath xmlns:m="http://schemas.openxmlformats.org/officeDocument/2006/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w:p>
    <w:p>
      <w:pPr>
        <w:pStyle w:val="BodyText"/>
        <w:ind w:hanging="0" w:start="0"/>
        <w:rPr/>
      </w:pPr>
      <w:r>
        <w:rPr/>
        <w:t>Where:</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C</m:t>
            </m:r>
          </m:e>
          <m:sub>
            <m:r>
              <m:t xml:space="preserve">t</m:t>
            </m:r>
          </m:sub>
        </m:sSub>
      </m:oMath>
      <w:r>
        <w:rPr/>
        <w:t>​</w:t>
      </w:r>
      <w:r>
        <w:rPr/>
        <w:t>: context vector</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M</m:t>
            </m:r>
          </m:e>
          <m:sub>
            <m:r>
              <m:t xml:space="preserve">t</m:t>
            </m:r>
          </m:sub>
        </m:sSub>
      </m:oMath>
      <w:r>
        <w:rPr/>
        <w:t>​</w:t>
      </w:r>
      <w:r>
        <w:rPr/>
        <w:t>: metadata</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X</m:t>
            </m:r>
          </m:e>
          <m:sub>
            <m:r>
              <m:t xml:space="preserve">t</m:t>
            </m:r>
          </m:sub>
        </m:sSub>
      </m:oMath>
      <w:r>
        <w:rPr/>
        <w:t>​</w:t>
      </w:r>
      <w:r>
        <w:rPr/>
        <w:t>: behavioral features</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I</m:t>
            </m:r>
          </m:e>
          <m:sub>
            <m:r>
              <m:t xml:space="preserve">t</m:t>
            </m:r>
          </m:sub>
        </m:sSub>
      </m:oMath>
      <w:r>
        <w:rPr/>
        <w:t>​</w:t>
      </w:r>
      <w:r>
        <w:rPr/>
        <w:t>: intent label</w:t>
      </w:r>
    </w:p>
    <w:p>
      <w:pPr>
        <w:pStyle w:val="BodyText"/>
        <w:ind w:hanging="0" w:start="0"/>
        <w:rPr/>
      </w:pPr>
      <w:r>
        <w:rPr/>
        <w:t>All features are normalized and timestamped to ensure consistency across experiments.</w:t>
      </w:r>
    </w:p>
    <w:p>
      <w:pPr>
        <w:pStyle w:val="BodyText"/>
        <w:ind w:hanging="0" w:start="0"/>
        <w:rPr/>
      </w:pPr>
      <w:r>
        <w:rPr/>
      </w:r>
    </w:p>
    <w:p>
      <w:pPr>
        <w:pStyle w:val="Heading3"/>
        <w:numPr>
          <w:ilvl w:val="0"/>
          <w:numId w:val="1"/>
        </w:numPr>
        <w:ind w:hanging="0" w:start="0"/>
        <w:rPr/>
      </w:pPr>
      <w:r>
        <w:rPr/>
        <w:t>4.3 Experimental Protocols</w:t>
      </w:r>
    </w:p>
    <w:p>
      <w:pPr>
        <w:pStyle w:val="BodyText"/>
        <w:ind w:hanging="0" w:start="0"/>
        <w:rPr/>
      </w:pPr>
      <w:r>
        <w:rPr/>
        <w:t>The experimental protocols are organized around four main evaluation dimensions:</w:t>
      </w:r>
    </w:p>
    <w:p>
      <w:pPr>
        <w:pStyle w:val="BodyText"/>
        <w:numPr>
          <w:ilvl w:val="0"/>
          <w:numId w:val="10"/>
        </w:numPr>
        <w:rPr/>
      </w:pPr>
      <w:r>
        <w:rPr>
          <w:rStyle w:val="Strong"/>
        </w:rPr>
        <w:t>Intent Classification</w:t>
      </w:r>
    </w:p>
    <w:p>
      <w:pPr>
        <w:pStyle w:val="BodyText"/>
        <w:numPr>
          <w:ilvl w:val="1"/>
          <w:numId w:val="10"/>
        </w:numPr>
        <w:rPr/>
      </w:pPr>
      <w:r>
        <w:rPr/>
        <w:t>Evaluates the accuracy of intent inference using machine learning models such as logistic regression, random forests, and neural networks.</w:t>
      </w:r>
    </w:p>
    <w:p>
      <w:pPr>
        <w:pStyle w:val="BodyText"/>
        <w:numPr>
          <w:ilvl w:val="0"/>
          <w:numId w:val="10"/>
        </w:numPr>
        <w:rPr/>
      </w:pPr>
      <w:r>
        <w:rPr>
          <w:rStyle w:val="Strong"/>
        </w:rPr>
        <w:t>Adaptive Encryption Behavior</w:t>
      </w:r>
    </w:p>
    <w:p>
      <w:pPr>
        <w:pStyle w:val="BodyText"/>
        <w:numPr>
          <w:ilvl w:val="1"/>
          <w:numId w:val="10"/>
        </w:numPr>
        <w:rPr/>
      </w:pPr>
      <w:r>
        <w:rPr/>
        <w:t>Observes how IAE dynamically adjusts encryption parameters based on inferred intent and context.</w:t>
      </w:r>
    </w:p>
    <w:p>
      <w:pPr>
        <w:pStyle w:val="BodyText"/>
        <w:numPr>
          <w:ilvl w:val="0"/>
          <w:numId w:val="10"/>
        </w:numPr>
        <w:rPr/>
      </w:pPr>
      <w:r>
        <w:rPr>
          <w:rStyle w:val="Strong"/>
        </w:rPr>
        <w:t>Performance Benchmarking</w:t>
      </w:r>
    </w:p>
    <w:p>
      <w:pPr>
        <w:pStyle w:val="BodyText"/>
        <w:numPr>
          <w:ilvl w:val="1"/>
          <w:numId w:val="10"/>
        </w:numPr>
        <w:rPr/>
      </w:pPr>
      <w:r>
        <w:rPr/>
        <w:t>Measures system latency, energy consumption, and throughput, comparing IAE against context-only and static encryption methods.</w:t>
      </w:r>
    </w:p>
    <w:p>
      <w:pPr>
        <w:pStyle w:val="BodyText"/>
        <w:numPr>
          <w:ilvl w:val="0"/>
          <w:numId w:val="10"/>
        </w:numPr>
        <w:rPr/>
      </w:pPr>
      <w:r>
        <w:rPr>
          <w:rStyle w:val="Strong"/>
        </w:rPr>
        <w:t>Security Assessment</w:t>
      </w:r>
    </w:p>
    <w:p>
      <w:pPr>
        <w:pStyle w:val="BodyText"/>
        <w:numPr>
          <w:ilvl w:val="1"/>
          <w:numId w:val="10"/>
        </w:numPr>
        <w:rPr/>
      </w:pPr>
      <w:r>
        <w:rPr/>
        <w:t>Evaluates confidentiality, privacy leakage, and resilience under attack scenarios using baseline datasets.</w:t>
      </w:r>
    </w:p>
    <w:p>
      <w:pPr>
        <w:pStyle w:val="BodyText"/>
        <w:ind w:hanging="0" w:start="0"/>
        <w:rPr/>
      </w:pPr>
      <w:r>
        <w:rPr/>
      </w:r>
    </w:p>
    <w:p>
      <w:pPr>
        <w:pStyle w:val="Heading3"/>
        <w:numPr>
          <w:ilvl w:val="0"/>
          <w:numId w:val="1"/>
        </w:numPr>
        <w:ind w:hanging="0" w:start="0"/>
        <w:rPr/>
      </w:pPr>
      <w:r>
        <w:rPr/>
        <w:t>4.4 Mathematical / Formal Model</w:t>
      </w:r>
    </w:p>
    <w:p>
      <w:pPr>
        <w:pStyle w:val="BodyText"/>
        <w:ind w:hanging="0" w:start="0"/>
        <w:rPr/>
      </w:pPr>
      <w:r>
        <w:rPr/>
        <w:t>The IAE framework can be formalized using the following notation:</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C</m:t>
            </m:r>
          </m:e>
          <m:sub>
            <m:r>
              <m:t xml:space="preserve">t</m:t>
            </m:r>
          </m:sub>
        </m:sSub>
      </m:oMath>
      <w:r>
        <w:rPr/>
        <w:t>​</w:t>
      </w:r>
      <w:r>
        <w:rPr/>
        <w:t>: context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X</m:t>
            </m:r>
          </m:e>
          <m:sub>
            <m:r>
              <m:t xml:space="preserve">t</m:t>
            </m:r>
          </m:sub>
        </m:sSub>
      </m:oMath>
      <w:r>
        <w:rPr/>
        <w:t>​</w:t>
      </w:r>
      <w:r>
        <w:rPr/>
        <w:t>: features</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I</m:t>
            </m:r>
          </m:e>
          <m:sub>
            <m:r>
              <m:t xml:space="preserve">t</m:t>
            </m:r>
          </m:sub>
        </m:sSub>
      </m:oMath>
      <w:r>
        <w:rPr/>
        <w:t>​</w:t>
      </w:r>
      <w:r>
        <w:rPr/>
        <w:t>: intent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a</m:t>
            </m:r>
          </m:e>
          <m:sub>
            <m:r>
              <m:t xml:space="preserve">t</m:t>
            </m:r>
          </m:sub>
        </m:sSub>
      </m:oMath>
      <w:r>
        <w:rPr/>
        <w:t>​</w:t>
      </w:r>
      <w:r>
        <w:rPr/>
        <w:t>: encryption action</w:t>
      </w:r>
    </w:p>
    <w:p>
      <w:pPr>
        <w:pStyle w:val="BodyText"/>
        <w:tabs>
          <w:tab w:val="clear" w:pos="709"/>
          <w:tab w:val="left" w:pos="0" w:leader="none"/>
        </w:tabs>
        <w:ind w:hanging="0" w:start="0"/>
        <w:rPr/>
      </w:pPr>
      <w:r>
        <w:rPr/>
        <w:t xml:space="preserve">The </w:t>
      </w:r>
      <w:r>
        <w:rPr>
          <w:rStyle w:val="Strong"/>
          <w:b w:val="false"/>
          <w:bCs w:val="false"/>
        </w:rPr>
        <w:t>decision policy</w:t>
      </w:r>
      <w:r>
        <w:rPr/>
        <w:t xml:space="preserve"> is defined as:</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sSub>
            <m:e>
              <m:r>
                <m:t xml:space="preserve">a</m:t>
              </m:r>
            </m:e>
            <m:sub>
              <m:r>
                <m:t xml:space="preserve">t</m:t>
              </m:r>
            </m:sub>
          </m:sSub>
          <m:r>
            <m:t xml:space="preserve">=</m:t>
          </m:r>
          <m:r>
            <m:t xml:space="preserve">π</m:t>
          </m:r>
          <m:d>
            <m:dPr>
              <m:begChr m:val="("/>
              <m:endChr m:val=")"/>
            </m:dPr>
            <m:e>
              <m:r>
                <m:t xml:space="preserve">P</m:t>
              </m:r>
              <m:d>
                <m:dPr>
                  <m:begChr m:val="("/>
                  <m:endChr m:val=")"/>
                </m:dPr>
                <m:e>
                  <m:sSub>
                    <m:e>
                      <m:r>
                        <m:t xml:space="preserve">I</m:t>
                      </m:r>
                    </m:e>
                    <m:sub>
                      <m:r>
                        <m:t xml:space="preserve">t</m:t>
                      </m:r>
                    </m:sub>
                  </m:sSub>
                  <m:r>
                    <m:t xml:space="preserve">∨</m:t>
                  </m:r>
                  <m:sSub>
                    <m:e>
                      <m:r>
                        <m:t xml:space="preserve">X</m:t>
                      </m:r>
                    </m:e>
                    <m:sub>
                      <m:r>
                        <m:t xml:space="preserve">t</m:t>
                      </m:r>
                    </m:sub>
                  </m:sSub>
                  <m:r>
                    <m:t xml:space="preserve">,</m:t>
                  </m:r>
                  <m:sSub>
                    <m:e>
                      <m:r>
                        <m:t xml:space="preserve">C</m:t>
                      </m:r>
                    </m:e>
                    <m:sub>
                      <m:r>
                        <m:t xml:space="preserve">t</m:t>
                      </m:r>
                    </m:sub>
                  </m:sSub>
                </m:e>
              </m:d>
              <m:r>
                <m:t xml:space="preserve">,</m:t>
              </m:r>
              <m:sSub>
                <m:e>
                  <m:r>
                    <m:t xml:space="preserve">C</m:t>
                  </m:r>
                </m:e>
                <m:sub>
                  <m:r>
                    <m:t xml:space="preserve">t</m:t>
                  </m:r>
                </m:sub>
              </m:sSub>
            </m:e>
          </m:d>
          <m:r>
            <m:t xml:space="preserve">,</m:t>
          </m:r>
          <m:sSub>
            <m:e>
              <m:r>
                <m:t xml:space="preserve">a</m:t>
              </m:r>
            </m:e>
            <m:sub>
              <m:r>
                <m:t xml:space="preserve">t</m:t>
              </m:r>
            </m:sub>
          </m:sSub>
          <m:r>
            <m:t xml:space="preserve">∈</m:t>
          </m:r>
          <m:r>
            <m:t xml:space="preserve">A</m:t>
          </m:r>
        </m:oMath>
      </m:oMathPara>
    </w:p>
    <w:p>
      <w:pPr>
        <w:pStyle w:val="BodyText"/>
        <w:tabs>
          <w:tab w:val="clear" w:pos="709"/>
          <w:tab w:val="left" w:pos="0" w:leader="none"/>
        </w:tabs>
        <w:ind w:hanging="0" w:start="0"/>
        <w:rPr/>
      </w:pPr>
      <w:r>
        <w:rPr/>
        <w:t xml:space="preserve">The </w:t>
      </w:r>
      <w:r>
        <w:rPr>
          <w:rStyle w:val="Strong"/>
          <w:b w:val="false"/>
          <w:bCs w:val="false"/>
        </w:rPr>
        <w:t>cost function</w:t>
      </w:r>
      <w:r>
        <w:rPr/>
        <w:t xml:space="preserve"> balances latency, energy, and security quality:</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tabs>
          <w:tab w:val="clear" w:pos="709"/>
          <w:tab w:val="left" w:pos="0" w:leader="none"/>
        </w:tabs>
        <w:ind w:hanging="283" w:start="709"/>
        <w:rPr/>
      </w:pPr>
      <w:r>
        <w:rPr/>
        <w:tab/>
        <w:t>where T(a, s) is latency, E(a, s) is energy consumption, and Q(a, I) quantifies encryption quality with respect to the intended security level. Optimization seeks to minimize expected cost while satisfying security constraints.</w:t>
      </w:r>
    </w:p>
    <w:p>
      <w:pPr>
        <w:pStyle w:val="BodyText"/>
        <w:tabs>
          <w:tab w:val="clear" w:pos="709"/>
          <w:tab w:val="left" w:pos="0" w:leader="none"/>
        </w:tabs>
        <w:ind w:hanging="0" w:start="0"/>
        <w:rPr/>
      </w:pPr>
      <w:r>
        <w:rPr/>
      </w:r>
    </w:p>
    <w:p>
      <w:pPr>
        <w:pStyle w:val="Heading3"/>
        <w:numPr>
          <w:ilvl w:val="0"/>
          <w:numId w:val="1"/>
        </w:numPr>
        <w:ind w:hanging="0" w:start="0"/>
        <w:rPr/>
      </w:pPr>
      <w:r>
        <w:rPr/>
        <w:t>4.5 Validation and Statistical Analysis</w:t>
      </w:r>
    </w:p>
    <w:p>
      <w:pPr>
        <w:pStyle w:val="BodyText"/>
        <w:ind w:hanging="0" w:start="0"/>
        <w:rPr/>
      </w:pPr>
      <w:r>
        <w:rPr/>
        <w:t>Validation ensures reliability and reproducibility:</w:t>
      </w:r>
    </w:p>
    <w:p>
      <w:pPr>
        <w:pStyle w:val="BodyText"/>
        <w:numPr>
          <w:ilvl w:val="0"/>
          <w:numId w:val="12"/>
        </w:numPr>
        <w:rPr/>
      </w:pPr>
      <w:r>
        <w:rPr>
          <w:rStyle w:val="Strong"/>
        </w:rPr>
        <w:t>Intent classifiers:</w:t>
      </w:r>
      <w:r>
        <w:rPr/>
        <w:t xml:space="preserve"> validated using cross-validation techniques.</w:t>
      </w:r>
    </w:p>
    <w:p>
      <w:pPr>
        <w:pStyle w:val="BodyText"/>
        <w:numPr>
          <w:ilvl w:val="0"/>
          <w:numId w:val="12"/>
        </w:numPr>
        <w:rPr/>
      </w:pPr>
      <w:r>
        <w:rPr>
          <w:rStyle w:val="Strong"/>
        </w:rPr>
        <w:t>Performance metrics:</w:t>
      </w:r>
      <w:r>
        <w:rPr/>
        <w:t xml:space="preserve"> assessed using paired tests, including paired t-tests or Wilcoxon tests.</w:t>
      </w:r>
    </w:p>
    <w:p>
      <w:pPr>
        <w:pStyle w:val="BodyText"/>
        <w:numPr>
          <w:ilvl w:val="0"/>
          <w:numId w:val="12"/>
        </w:numPr>
        <w:rPr/>
      </w:pPr>
      <w:r>
        <w:rPr>
          <w:rStyle w:val="Strong"/>
        </w:rPr>
        <w:t>Classification accuracy:</w:t>
      </w:r>
      <w:r>
        <w:rPr/>
        <w:t xml:space="preserve"> evaluated using McNemar tests.</w:t>
      </w:r>
    </w:p>
    <w:p>
      <w:pPr>
        <w:pStyle w:val="BodyText"/>
        <w:numPr>
          <w:ilvl w:val="0"/>
          <w:numId w:val="12"/>
        </w:numPr>
        <w:rPr/>
      </w:pPr>
      <w:r>
        <w:rPr/>
        <w:t>Confidence intervals and effect sizes are reported for all key metrics.</w:t>
      </w:r>
    </w:p>
    <w:p>
      <w:pPr>
        <w:pStyle w:val="BodyText"/>
        <w:ind w:hanging="0" w:start="0"/>
        <w:rPr/>
      </w:pPr>
      <w:r>
        <w:rPr/>
      </w:r>
    </w:p>
    <w:p>
      <w:pPr>
        <w:pStyle w:val="Heading3"/>
        <w:numPr>
          <w:ilvl w:val="0"/>
          <w:numId w:val="1"/>
        </w:numPr>
        <w:ind w:hanging="0" w:start="0"/>
        <w:rPr/>
      </w:pPr>
      <w:r>
        <w:rPr/>
        <w:t>4.6 Baselines and Comparison Strategy</w:t>
      </w:r>
    </w:p>
    <w:p>
      <w:pPr>
        <w:pStyle w:val="BodyText"/>
        <w:ind w:hanging="0" w:start="0"/>
        <w:rPr/>
      </w:pPr>
      <w:r>
        <w:rPr/>
        <w:t>The IAE framework is compared against multiple baselines:</w:t>
      </w:r>
    </w:p>
    <w:p>
      <w:pPr>
        <w:pStyle w:val="BodyText"/>
        <w:numPr>
          <w:ilvl w:val="0"/>
          <w:numId w:val="13"/>
        </w:numPr>
        <w:tabs>
          <w:tab w:val="clear" w:pos="709"/>
          <w:tab w:val="left" w:pos="0" w:leader="none"/>
        </w:tabs>
        <w:ind w:hanging="283" w:start="709"/>
        <w:rPr/>
      </w:pPr>
      <w:r>
        <w:rPr>
          <w:rStyle w:val="Strong"/>
        </w:rPr>
        <w:t>Static strong encryption:</w:t>
      </w:r>
      <w:r>
        <w:rPr/>
        <w:t xml:space="preserve"> fixed high-strength encryption regardless of context or intent.</w:t>
      </w:r>
    </w:p>
    <w:p>
      <w:pPr>
        <w:pStyle w:val="BodyText"/>
        <w:numPr>
          <w:ilvl w:val="0"/>
          <w:numId w:val="13"/>
        </w:numPr>
        <w:tabs>
          <w:tab w:val="clear" w:pos="709"/>
          <w:tab w:val="left" w:pos="0" w:leader="none"/>
        </w:tabs>
        <w:ind w:hanging="283" w:start="709"/>
        <w:rPr/>
      </w:pPr>
      <w:r>
        <w:rPr>
          <w:rStyle w:val="Strong"/>
        </w:rPr>
        <w:t>Context-only adaptive encryption:</w:t>
      </w:r>
      <w:r>
        <w:rPr/>
        <w:t xml:space="preserve"> adjusts encryption based only on contextual signals.</w:t>
      </w:r>
    </w:p>
    <w:p>
      <w:pPr>
        <w:pStyle w:val="BodyText"/>
        <w:numPr>
          <w:ilvl w:val="0"/>
          <w:numId w:val="13"/>
        </w:numPr>
        <w:tabs>
          <w:tab w:val="clear" w:pos="709"/>
          <w:tab w:val="left" w:pos="0" w:leader="none"/>
        </w:tabs>
        <w:ind w:hanging="283" w:start="709"/>
        <w:rPr/>
      </w:pPr>
      <w:r>
        <w:rPr>
          <w:rStyle w:val="Strong"/>
        </w:rPr>
        <w:t>ABE/CP-ABE methods:</w:t>
      </w:r>
      <w:r>
        <w:rPr/>
        <w:t xml:space="preserve"> attribute-based encryption and its variations.</w:t>
      </w:r>
    </w:p>
    <w:p>
      <w:pPr>
        <w:pStyle w:val="BodyText"/>
        <w:numPr>
          <w:ilvl w:val="0"/>
          <w:numId w:val="13"/>
        </w:numPr>
        <w:tabs>
          <w:tab w:val="clear" w:pos="709"/>
          <w:tab w:val="left" w:pos="0" w:leader="none"/>
        </w:tabs>
        <w:ind w:hanging="283" w:start="709"/>
        <w:rPr/>
      </w:pPr>
      <w:r>
        <w:rPr>
          <w:rStyle w:val="Strong"/>
        </w:rPr>
        <w:t>Rule-based intent mapping:</w:t>
      </w:r>
      <w:r>
        <w:rPr/>
        <w:t xml:space="preserve"> applies predefined encryption policies based on intent labels.</w:t>
      </w:r>
    </w:p>
    <w:p>
      <w:pPr>
        <w:pStyle w:val="BodyText"/>
        <w:ind w:hanging="0" w:start="0"/>
        <w:rPr/>
      </w:pPr>
      <w:r>
        <w:rPr/>
      </w:r>
    </w:p>
    <w:p>
      <w:pPr>
        <w:pStyle w:val="Heading3"/>
        <w:numPr>
          <w:ilvl w:val="0"/>
          <w:numId w:val="1"/>
        </w:numPr>
        <w:ind w:hanging="0" w:start="0"/>
        <w:rPr/>
      </w:pPr>
      <w:r>
        <w:rPr/>
        <w:t>4.7 Deliverables</w:t>
      </w:r>
    </w:p>
    <w:p>
      <w:pPr>
        <w:pStyle w:val="BodyText"/>
        <w:ind w:hanging="0" w:start="0"/>
        <w:rPr/>
      </w:pPr>
      <w:r>
        <w:rPr/>
        <w:t>Experimental deliverables include:</w:t>
      </w:r>
    </w:p>
    <w:p>
      <w:pPr>
        <w:pStyle w:val="BodyText"/>
        <w:numPr>
          <w:ilvl w:val="0"/>
          <w:numId w:val="14"/>
        </w:numPr>
        <w:tabs>
          <w:tab w:val="clear" w:pos="709"/>
          <w:tab w:val="left" w:pos="0" w:leader="none"/>
        </w:tabs>
        <w:ind w:hanging="283" w:start="709"/>
        <w:rPr/>
      </w:pPr>
      <w:r>
        <w:rPr/>
        <w:t>Complete datasets with feature extraction and labels.</w:t>
      </w:r>
    </w:p>
    <w:p>
      <w:pPr>
        <w:pStyle w:val="BodyText"/>
        <w:numPr>
          <w:ilvl w:val="0"/>
          <w:numId w:val="14"/>
        </w:numPr>
        <w:tabs>
          <w:tab w:val="clear" w:pos="709"/>
          <w:tab w:val="left" w:pos="0" w:leader="none"/>
        </w:tabs>
        <w:ind w:hanging="283" w:start="709"/>
        <w:rPr/>
      </w:pPr>
      <w:r>
        <w:rPr/>
        <w:t>Scripts for data preprocessing, model training, and evaluation.</w:t>
      </w:r>
    </w:p>
    <w:p>
      <w:pPr>
        <w:pStyle w:val="BodyText"/>
        <w:numPr>
          <w:ilvl w:val="0"/>
          <w:numId w:val="14"/>
        </w:numPr>
        <w:tabs>
          <w:tab w:val="clear" w:pos="709"/>
          <w:tab w:val="left" w:pos="0" w:leader="none"/>
        </w:tabs>
        <w:ind w:hanging="283" w:start="709"/>
        <w:rPr/>
      </w:pPr>
      <w:r>
        <w:rPr/>
        <w:t>Parameter tables for encryption configurations and classifier settings.</w:t>
      </w:r>
    </w:p>
    <w:p>
      <w:pPr>
        <w:pStyle w:val="BodyText"/>
        <w:numPr>
          <w:ilvl w:val="0"/>
          <w:numId w:val="14"/>
        </w:numPr>
        <w:tabs>
          <w:tab w:val="clear" w:pos="709"/>
          <w:tab w:val="left" w:pos="0" w:leader="none"/>
        </w:tabs>
        <w:ind w:hanging="283" w:start="709"/>
        <w:rPr/>
      </w:pPr>
      <w:r>
        <w:rPr/>
        <w:t>Visualizations illustrating latency, energy, and privacy leakage.</w:t>
      </w:r>
    </w:p>
    <w:p>
      <w:pPr>
        <w:pStyle w:val="BodyText"/>
        <w:numPr>
          <w:ilvl w:val="0"/>
          <w:numId w:val="14"/>
        </w:numPr>
        <w:tabs>
          <w:tab w:val="clear" w:pos="709"/>
          <w:tab w:val="left" w:pos="0" w:leader="none"/>
        </w:tabs>
        <w:ind w:hanging="283" w:start="709"/>
        <w:rPr/>
      </w:pPr>
      <w:r>
        <w:rPr/>
        <w:t>A mathematical appendix detailing formal derivations and optimization formulas.</w:t>
      </w:r>
    </w:p>
    <w:p>
      <w:pPr>
        <w:pStyle w:val="BodyText"/>
        <w:ind w:hanging="0" w:start="0"/>
        <w:rPr/>
      </w:pPr>
      <w:r>
        <w:rPr/>
      </w:r>
    </w:p>
    <w:p>
      <w:pPr>
        <w:pStyle w:val="Heading3"/>
        <w:numPr>
          <w:ilvl w:val="0"/>
          <w:numId w:val="1"/>
        </w:numPr>
        <w:ind w:hanging="0" w:start="0"/>
        <w:rPr/>
      </w:pPr>
      <w:r>
        <w:rPr/>
        <w:t>4.8 Experimental Plan Summary</w:t>
      </w:r>
    </w:p>
    <w:p>
      <w:pPr>
        <w:pStyle w:val="BodyText"/>
        <w:ind w:hanging="0" w:start="0"/>
        <w:rPr/>
      </w:pPr>
      <w:r>
        <w:rPr/>
        <w:t>The experimental plan follows a structured sequence:</w:t>
      </w:r>
    </w:p>
    <w:p>
      <w:pPr>
        <w:pStyle w:val="BodyText"/>
        <w:numPr>
          <w:ilvl w:val="0"/>
          <w:numId w:val="15"/>
        </w:numPr>
        <w:tabs>
          <w:tab w:val="clear" w:pos="709"/>
          <w:tab w:val="left" w:pos="0" w:leader="none"/>
        </w:tabs>
        <w:ind w:hanging="283" w:start="709"/>
        <w:rPr/>
      </w:pPr>
      <w:r>
        <w:rPr/>
        <w:t>Pilot measurement of all encryption configurations.</w:t>
      </w:r>
    </w:p>
    <w:p>
      <w:pPr>
        <w:pStyle w:val="BodyText"/>
        <w:numPr>
          <w:ilvl w:val="0"/>
          <w:numId w:val="15"/>
        </w:numPr>
        <w:tabs>
          <w:tab w:val="clear" w:pos="709"/>
          <w:tab w:val="left" w:pos="0" w:leader="none"/>
        </w:tabs>
        <w:ind w:hanging="283" w:start="709"/>
        <w:rPr/>
      </w:pPr>
      <w:r>
        <w:rPr/>
        <w:t>Dataset creation and labeling.</w:t>
      </w:r>
    </w:p>
    <w:p>
      <w:pPr>
        <w:pStyle w:val="BodyText"/>
        <w:numPr>
          <w:ilvl w:val="0"/>
          <w:numId w:val="15"/>
        </w:numPr>
        <w:tabs>
          <w:tab w:val="clear" w:pos="709"/>
          <w:tab w:val="left" w:pos="0" w:leader="none"/>
        </w:tabs>
        <w:ind w:hanging="283" w:start="709"/>
        <w:rPr/>
      </w:pPr>
      <w:r>
        <w:rPr/>
        <w:t>Classifier training and validation.</w:t>
      </w:r>
    </w:p>
    <w:p>
      <w:pPr>
        <w:pStyle w:val="BodyText"/>
        <w:numPr>
          <w:ilvl w:val="0"/>
          <w:numId w:val="15"/>
        </w:numPr>
        <w:tabs>
          <w:tab w:val="clear" w:pos="709"/>
          <w:tab w:val="left" w:pos="0" w:leader="none"/>
        </w:tabs>
        <w:ind w:hanging="283" w:start="709"/>
        <w:rPr/>
      </w:pPr>
      <w:r>
        <w:rPr/>
        <w:t>Policy simulation under various conditions.</w:t>
      </w:r>
    </w:p>
    <w:p>
      <w:pPr>
        <w:pStyle w:val="BodyText"/>
        <w:numPr>
          <w:ilvl w:val="0"/>
          <w:numId w:val="15"/>
        </w:numPr>
        <w:tabs>
          <w:tab w:val="clear" w:pos="709"/>
          <w:tab w:val="left" w:pos="0" w:leader="none"/>
        </w:tabs>
        <w:ind w:hanging="283" w:start="709"/>
        <w:rPr/>
      </w:pPr>
      <w:r>
        <w:rPr/>
        <w:t>Statistical testing and reporting of results.</w:t>
      </w:r>
    </w:p>
    <w:p>
      <w:pPr>
        <w:pStyle w:val="BodyText"/>
        <w:numPr>
          <w:ilvl w:val="0"/>
          <w:numId w:val="15"/>
        </w:numPr>
        <w:tabs>
          <w:tab w:val="clear" w:pos="709"/>
          <w:tab w:val="left" w:pos="0" w:leader="none"/>
        </w:tabs>
        <w:ind w:hanging="283" w:start="709"/>
        <w:rPr/>
      </w:pPr>
      <w:r>
        <w:rPr/>
        <w:t>Robustness evaluation under noise and attack scenarios.</w:t>
      </w:r>
    </w:p>
    <w:p>
      <w:pPr>
        <w:pStyle w:val="BodyText"/>
        <w:ind w:hanging="0" w:start="0"/>
        <w:rPr/>
      </w:pPr>
      <w:r>
        <w:rPr/>
      </w:r>
    </w:p>
    <w:p>
      <w:pPr>
        <w:pStyle w:val="Heading3"/>
        <w:numPr>
          <w:ilvl w:val="0"/>
          <w:numId w:val="1"/>
        </w:numPr>
        <w:ind w:hanging="0" w:start="0"/>
        <w:rPr/>
      </w:pPr>
      <w:r>
        <w:rPr/>
        <w:t>4.9 Conclusion</w:t>
      </w:r>
    </w:p>
    <w:p>
      <w:pPr>
        <w:pStyle w:val="BodyText"/>
        <w:spacing w:before="0" w:after="140"/>
        <w:ind w:hanging="0" w:start="0"/>
        <w:rPr/>
      </w:pPr>
      <w:r>
        <w:rPr/>
        <w:t xml:space="preserve">This experimental methodology provides a </w:t>
      </w:r>
      <w:r>
        <w:rPr>
          <w:rStyle w:val="Strong"/>
          <w:b w:val="false"/>
          <w:bCs w:val="false"/>
        </w:rPr>
        <w:t>rigorous and reproducible framework</w:t>
      </w:r>
      <w:r>
        <w:rPr/>
        <w:t xml:space="preserve"> for validating the proposed IAE system. By combining intent inference, adaptive encryption, and detailed performance and security evaluation, the framework ensures that IAE can be quantitatively compared against existing context-aware encryption schemes.</w:t>
      </w:r>
      <w:r>
        <w:br w:type="page"/>
      </w:r>
    </w:p>
    <w:p>
      <w:pPr>
        <w:pStyle w:val="Heading2"/>
        <w:numPr>
          <w:ilvl w:val="0"/>
          <w:numId w:val="0"/>
        </w:numPr>
        <w:spacing w:before="0" w:after="120"/>
        <w:ind w:hanging="0" w:start="0"/>
        <w:rPr/>
      </w:pPr>
      <w:r>
        <w:rPr/>
        <w:t>Chapter 5: Case Study on Initial Dataset</w:t>
      </w:r>
    </w:p>
    <w:p>
      <w:pPr>
        <w:pStyle w:val="Heading3"/>
        <w:numPr>
          <w:ilvl w:val="2"/>
          <w:numId w:val="1"/>
        </w:numPr>
        <w:ind w:hanging="0" w:start="0"/>
        <w:rPr/>
      </w:pPr>
      <w:r>
        <w:rPr/>
        <w:t>5.1 Overview</w:t>
      </w:r>
    </w:p>
    <w:p>
      <w:pPr>
        <w:pStyle w:val="BodyText"/>
        <w:ind w:hanging="0" w:start="0"/>
        <w:rPr/>
      </w:pPr>
      <w:r>
        <w:rPr/>
        <w:t>A case study was conducted to illustrate the methodology and potential of the proposed Intent-Aware Encryption (IAE) framework using a smaller subset of real-world CICIDS2017 data. This initial dataset allows for rapid experimentation while demonstrating the practical application of the approach.</w:t>
      </w:r>
    </w:p>
    <w:p>
      <w:pPr>
        <w:pStyle w:val="BodyText"/>
        <w:ind w:hanging="0" w:start="0"/>
        <w:rPr/>
      </w:pPr>
      <w:r>
        <w:rPr/>
        <w:t>The main goals of the case study were:</w:t>
      </w:r>
    </w:p>
    <w:p>
      <w:pPr>
        <w:pStyle w:val="BodyText"/>
        <w:numPr>
          <w:ilvl w:val="0"/>
          <w:numId w:val="16"/>
        </w:numPr>
        <w:rPr/>
      </w:pPr>
      <w:r>
        <w:rPr/>
        <w:t>To validate that the IAE framework can classify intents correctly from network flow features.</w:t>
      </w:r>
    </w:p>
    <w:p>
      <w:pPr>
        <w:pStyle w:val="BodyText"/>
        <w:numPr>
          <w:ilvl w:val="0"/>
          <w:numId w:val="16"/>
        </w:numPr>
        <w:rPr/>
      </w:pPr>
      <w:r>
        <w:rPr/>
        <w:t>To measure how adaptive encryption policies impact system performance in terms of latency, energy consumption, and throughput.</w:t>
      </w:r>
    </w:p>
    <w:p>
      <w:pPr>
        <w:pStyle w:val="BodyText"/>
        <w:numPr>
          <w:ilvl w:val="0"/>
          <w:numId w:val="16"/>
        </w:numPr>
        <w:rPr/>
      </w:pPr>
      <w:r>
        <w:rPr/>
        <w:t>To provide empirical evidence supporting the framework’s utility before scaling to full datasets.</w:t>
      </w:r>
    </w:p>
    <w:p>
      <w:pPr>
        <w:pStyle w:val="BodyText"/>
        <w:ind w:hanging="0" w:start="0"/>
        <w:rPr/>
      </w:pPr>
      <w:r>
        <w:rPr/>
      </w:r>
    </w:p>
    <w:p>
      <w:pPr>
        <w:pStyle w:val="Heading3"/>
        <w:numPr>
          <w:ilvl w:val="2"/>
          <w:numId w:val="1"/>
        </w:numPr>
        <w:ind w:hanging="0" w:start="0"/>
        <w:rPr/>
      </w:pPr>
      <w:r>
        <w:rPr/>
        <w:t>5.2 Dataset and Preprocessing</w:t>
      </w:r>
    </w:p>
    <w:p>
      <w:pPr>
        <w:pStyle w:val="BodyText"/>
        <w:numPr>
          <w:ilvl w:val="0"/>
          <w:numId w:val="17"/>
        </w:numPr>
        <w:rPr/>
      </w:pPr>
      <w:r>
        <w:rPr>
          <w:rStyle w:val="Strong"/>
        </w:rPr>
        <w:t>Data source:</w:t>
      </w:r>
      <w:r>
        <w:rPr/>
        <w:t xml:space="preserve"> A subset of CICIDS2017 network flows, containing both benign and attack-labeled events.</w:t>
      </w:r>
    </w:p>
    <w:p>
      <w:pPr>
        <w:pStyle w:val="BodyText"/>
        <w:numPr>
          <w:ilvl w:val="0"/>
          <w:numId w:val="17"/>
        </w:numPr>
        <w:rPr/>
      </w:pPr>
      <w:r>
        <w:rPr>
          <w:rStyle w:val="Strong"/>
        </w:rPr>
        <w:t>Preprocessing:</w:t>
      </w:r>
      <w:r>
        <w:rPr/>
        <w:t xml:space="preserve"> The raw CSV data were loaded and cleaned, feature columns extracted, and intent labels mapped to a five-category taxonomy: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w:t>
      </w:r>
    </w:p>
    <w:p>
      <w:pPr>
        <w:pStyle w:val="BodyText"/>
        <w:numPr>
          <w:ilvl w:val="0"/>
          <w:numId w:val="17"/>
        </w:numPr>
        <w:rPr/>
      </w:pPr>
      <w:r>
        <w:rPr>
          <w:rStyle w:val="Strong"/>
        </w:rPr>
        <w:t>Derived features:</w:t>
      </w:r>
      <w:r>
        <w:rPr/>
        <w:t xml:space="preserve"> </w:t>
      </w:r>
      <w:r>
        <w:rPr>
          <w:rStyle w:val="SourceText"/>
        </w:rPr>
        <w:t>anomaly_score</w:t>
      </w:r>
      <w:r>
        <w:rPr/>
        <w:t xml:space="preserve">, </w:t>
      </w:r>
      <w:r>
        <w:rPr>
          <w:rStyle w:val="SourceText"/>
        </w:rPr>
        <w:t>priority_score</w:t>
      </w:r>
      <w:r>
        <w:rPr/>
        <w:t xml:space="preserve">, and </w:t>
      </w:r>
      <w:r>
        <w:rPr>
          <w:rStyle w:val="SourceText"/>
        </w:rPr>
        <w:t>device_trust</w:t>
      </w:r>
      <w:r>
        <w:rPr/>
        <w:t xml:space="preserve"> were computed as additional metrics for policy decision-making.</w:t>
      </w:r>
    </w:p>
    <w:p>
      <w:pPr>
        <w:pStyle w:val="BodyText"/>
        <w:numPr>
          <w:ilvl w:val="0"/>
          <w:numId w:val="17"/>
        </w:numPr>
        <w:rPr/>
      </w:pPr>
      <w:r>
        <w:rPr>
          <w:rStyle w:val="Strong"/>
        </w:rPr>
        <w:t>Feature normalization:</w:t>
      </w:r>
      <w:r>
        <w:rPr/>
        <w:t xml:space="preserve"> Numeric features were standardized using </w:t>
      </w:r>
      <w:r>
        <w:rPr>
          <w:rStyle w:val="SourceText"/>
        </w:rPr>
        <w:t>StandardScaler</w:t>
      </w:r>
      <w:r>
        <w:rPr/>
        <w:t xml:space="preserve"> to produce the input matrix for ML classifiers.</w:t>
      </w:r>
    </w:p>
    <w:p>
      <w:pPr>
        <w:pStyle w:val="BodyText"/>
        <w:ind w:hanging="0" w:start="0"/>
        <w:rPr/>
      </w:pPr>
      <w:r>
        <w:rPr/>
      </w:r>
    </w:p>
    <w:p>
      <w:pPr>
        <w:pStyle w:val="Heading3"/>
        <w:numPr>
          <w:ilvl w:val="2"/>
          <w:numId w:val="1"/>
        </w:numPr>
        <w:ind w:hanging="0" w:start="0"/>
        <w:rPr/>
      </w:pPr>
      <w:r>
        <w:rPr/>
        <w:t>5.3 Experimental Setup</w:t>
      </w:r>
    </w:p>
    <w:p>
      <w:pPr>
        <w:pStyle w:val="BodyText"/>
        <w:ind w:hanging="0" w:start="0"/>
        <w:rPr/>
      </w:pPr>
      <w:r>
        <w:rPr/>
      </w:r>
    </w:p>
    <w:p>
      <w:pPr>
        <w:pStyle w:val="BodyText"/>
        <w:numPr>
          <w:ilvl w:val="0"/>
          <w:numId w:val="18"/>
        </w:numPr>
        <w:rPr/>
      </w:pPr>
      <w:r>
        <w:rPr>
          <w:rStyle w:val="Strong"/>
        </w:rPr>
        <w:t>Classifier training:</w:t>
      </w:r>
      <w:r>
        <w:rPr/>
        <w:t xml:space="preserve"> Random Forest (RF), Logistic Regression (LR), and Multi-Layer Perceptron (MLP) were trained on the subset.</w:t>
      </w:r>
    </w:p>
    <w:p>
      <w:pPr>
        <w:pStyle w:val="BodyText"/>
        <w:numPr>
          <w:ilvl w:val="0"/>
          <w:numId w:val="18"/>
        </w:numPr>
        <w:rPr/>
      </w:pPr>
      <w:r>
        <w:rPr>
          <w:rStyle w:val="Strong"/>
        </w:rPr>
        <w:t>Policies evaluated:</w:t>
      </w:r>
    </w:p>
    <w:p>
      <w:pPr>
        <w:pStyle w:val="BodyText"/>
        <w:numPr>
          <w:ilvl w:val="1"/>
          <w:numId w:val="18"/>
        </w:numPr>
        <w:rPr/>
      </w:pPr>
      <w:r>
        <w:rPr>
          <w:rStyle w:val="SourceText"/>
        </w:rPr>
        <w:t>STATIC_STRONG</w:t>
      </w:r>
      <w:r>
        <w:rPr/>
        <w:t xml:space="preserve"> – fixed high-strength encryption.</w:t>
      </w:r>
    </w:p>
    <w:p>
      <w:pPr>
        <w:pStyle w:val="BodyText"/>
        <w:numPr>
          <w:ilvl w:val="1"/>
          <w:numId w:val="18"/>
        </w:numPr>
        <w:rPr/>
      </w:pPr>
      <w:r>
        <w:rPr>
          <w:rStyle w:val="SourceText"/>
        </w:rPr>
        <w:t>CONTEXT_ONLY</w:t>
      </w:r>
      <w:r>
        <w:rPr/>
        <w:t xml:space="preserve"> – adapts to anomaly score and priority.</w:t>
      </w:r>
    </w:p>
    <w:p>
      <w:pPr>
        <w:pStyle w:val="BodyText"/>
        <w:numPr>
          <w:ilvl w:val="1"/>
          <w:numId w:val="18"/>
        </w:numPr>
        <w:rPr/>
      </w:pPr>
      <w:r>
        <w:rPr>
          <w:rStyle w:val="SourceText"/>
        </w:rPr>
        <w:t>RULE_BASED_INTENT_MAPPING</w:t>
      </w:r>
      <w:r>
        <w:rPr/>
        <w:t xml:space="preserve"> – maps inferred intents to encryption levels.</w:t>
      </w:r>
    </w:p>
    <w:p>
      <w:pPr>
        <w:pStyle w:val="BodyText"/>
        <w:numPr>
          <w:ilvl w:val="1"/>
          <w:numId w:val="18"/>
        </w:numPr>
        <w:rPr/>
      </w:pPr>
      <w:r>
        <w:rPr>
          <w:rStyle w:val="SourceText"/>
        </w:rPr>
        <w:t>ABE_SIM</w:t>
      </w:r>
      <w:r>
        <w:rPr/>
        <w:t xml:space="preserve"> – baseline simulation of Attribute-Based Encryption.</w:t>
      </w:r>
    </w:p>
    <w:p>
      <w:pPr>
        <w:pStyle w:val="BodyText"/>
        <w:numPr>
          <w:ilvl w:val="1"/>
          <w:numId w:val="18"/>
        </w:numPr>
        <w:rPr/>
      </w:pPr>
      <w:r>
        <w:rPr>
          <w:rStyle w:val="SourceText"/>
        </w:rPr>
        <w:t>IAE_*</w:t>
      </w:r>
      <w:r>
        <w:rPr/>
        <w:t xml:space="preserve"> – ML-driven adaptive encryption policies based on intent classification.</w:t>
      </w:r>
    </w:p>
    <w:p>
      <w:pPr>
        <w:pStyle w:val="BodyText"/>
        <w:numPr>
          <w:ilvl w:val="0"/>
          <w:numId w:val="18"/>
        </w:numPr>
        <w:rPr/>
      </w:pPr>
      <w:r>
        <w:rPr>
          <w:rStyle w:val="Strong"/>
        </w:rPr>
        <w:t>Evaluation metrics:</w:t>
      </w:r>
      <w:r>
        <w:rPr/>
        <w:t xml:space="preserve"> Average latency (ms), median latency, average energy units, throughput (ops/sec), and classification metrics (accuracy, precision, recall, F1).</w:t>
      </w:r>
    </w:p>
    <w:p>
      <w:pPr>
        <w:pStyle w:val="BodyText"/>
        <w:numPr>
          <w:ilvl w:val="0"/>
          <w:numId w:val="18"/>
        </w:numPr>
        <w:rPr/>
      </w:pPr>
      <w:r>
        <w:rPr>
          <w:rStyle w:val="Strong"/>
        </w:rPr>
        <w:t>Sampling:</w:t>
      </w:r>
      <w:r>
        <w:rPr/>
        <w:t xml:space="preserve"> 200 events were randomly sampled for evaluation, each policy executed 30 times per event.</w:t>
      </w:r>
    </w:p>
    <w:p>
      <w:pPr>
        <w:pStyle w:val="BodyText"/>
        <w:ind w:hanging="0" w:start="0"/>
        <w:rPr/>
      </w:pPr>
      <w:r>
        <w:rPr/>
      </w:r>
    </w:p>
    <w:p>
      <w:pPr>
        <w:pStyle w:val="Heading3"/>
        <w:numPr>
          <w:ilvl w:val="2"/>
          <w:numId w:val="1"/>
        </w:numPr>
        <w:ind w:hanging="0" w:start="0"/>
        <w:rPr/>
      </w:pPr>
      <w:r>
        <w:rPr/>
        <w:t>5.4 Results</w:t>
      </w:r>
    </w:p>
    <w:tbl>
      <w:tblPr>
        <w:tblW w:w="5000" w:type="pct"/>
        <w:jc w:val="start"/>
        <w:tblInd w:w="-6" w:type="dxa"/>
        <w:tblLayout w:type="fixed"/>
        <w:tblCellMar>
          <w:top w:w="55" w:type="dxa"/>
          <w:start w:w="55" w:type="dxa"/>
          <w:bottom w:w="55" w:type="dxa"/>
          <w:end w:w="55" w:type="dxa"/>
        </w:tblCellMar>
      </w:tblPr>
      <w:tblGrid>
        <w:gridCol w:w="1994"/>
        <w:gridCol w:w="1989"/>
        <w:gridCol w:w="1638"/>
        <w:gridCol w:w="2351"/>
        <w:gridCol w:w="2000"/>
      </w:tblGrid>
      <w:tr>
        <w:trPr/>
        <w:tc>
          <w:tcPr>
            <w:tcW w:w="1994"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Policy</w:t>
            </w:r>
          </w:p>
        </w:tc>
        <w:tc>
          <w:tcPr>
            <w:tcW w:w="1989"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Latency (ms)</w:t>
            </w:r>
          </w:p>
        </w:tc>
        <w:tc>
          <w:tcPr>
            <w:tcW w:w="1638"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Energy</w:t>
            </w:r>
          </w:p>
        </w:tc>
        <w:tc>
          <w:tcPr>
            <w:tcW w:w="2351"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Throughput (ops/sec)</w:t>
            </w:r>
          </w:p>
        </w:tc>
        <w:tc>
          <w:tcPr>
            <w:tcW w:w="2000" w:type="dxa"/>
            <w:tcBorders>
              <w:top w:val="single" w:sz="6" w:space="0" w:color="FFFFFF"/>
              <w:start w:val="single" w:sz="6" w:space="0" w:color="FFFFFF"/>
              <w:bottom w:val="single" w:sz="6" w:space="0" w:color="FFFFFF"/>
              <w:end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Classifier Accuracy</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STATIC_STRONG</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7.38</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0.0148</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135.49</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CONTEXT_ONLY</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2.40</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0.0021</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416.52</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RULE_BASED_INTENT_MAPPING</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341.18</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ABE_SIM</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20.38</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0.1223</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49.07</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IAE_RF</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340.78</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IAE_LR</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2.83</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0.0032</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353.02</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IAE_MLP</w:t>
            </w:r>
          </w:p>
        </w:tc>
        <w:tc>
          <w:tcPr>
            <w:tcW w:w="1989"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8"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341.35</w:t>
            </w:r>
          </w:p>
        </w:tc>
        <w:tc>
          <w:tcPr>
            <w:tcW w:w="2000"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bl>
    <w:p>
      <w:pPr>
        <w:pStyle w:val="BodyText"/>
        <w:ind w:hanging="0" w:start="0"/>
        <w:rPr/>
      </w:pPr>
      <w:r>
        <w:rPr/>
      </w:r>
    </w:p>
    <w:p>
      <w:pPr>
        <w:pStyle w:val="BodyText"/>
        <w:ind w:hanging="0" w:start="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799205"/>
            <wp:effectExtent l="0" t="0" r="0" b="0"/>
            <wp:wrapSquare wrapText="bothSides"/>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332220" cy="3799205"/>
                    </a:xfrm>
                    <a:prstGeom prst="rect">
                      <a:avLst/>
                    </a:prstGeom>
                    <a:noFill/>
                  </pic:spPr>
                </pic:pic>
              </a:graphicData>
            </a:graphic>
          </wp:anchor>
        </w:drawing>
      </w:r>
    </w:p>
    <w:p>
      <w:pPr>
        <w:pStyle w:val="Heading3"/>
        <w:numPr>
          <w:ilvl w:val="0"/>
          <w:numId w:val="0"/>
        </w:numPr>
        <w:ind w:hanging="0" w:start="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7992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79920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79920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t>5.5 Interpretation</w:t>
      </w:r>
    </w:p>
    <w:p>
      <w:pPr>
        <w:pStyle w:val="BodyText"/>
        <w:numPr>
          <w:ilvl w:val="0"/>
          <w:numId w:val="19"/>
        </w:numPr>
        <w:rPr/>
      </w:pPr>
      <w:r>
        <w:rPr>
          <w:rStyle w:val="Strong"/>
        </w:rPr>
        <w:t>Performance:</w:t>
      </w:r>
      <w:r>
        <w:rPr/>
        <w:t xml:space="preserve"> ML-driven IAE policies (IAE_RF, IAE_LR, IAE_MLP) achieve very low latency and energy overhead compared to static or ABE-based encryption, demonstrating the efficiency of adaptive approaches.</w:t>
      </w:r>
    </w:p>
    <w:p>
      <w:pPr>
        <w:pStyle w:val="BodyText"/>
        <w:numPr>
          <w:ilvl w:val="0"/>
          <w:numId w:val="19"/>
        </w:numPr>
        <w:rPr/>
      </w:pPr>
      <w:r>
        <w:rPr>
          <w:rStyle w:val="Strong"/>
        </w:rPr>
        <w:t>Throughput:</w:t>
      </w:r>
      <w:r>
        <w:rPr/>
        <w:t xml:space="preserve"> Adaptive policies maintain high throughput (&gt;340 ops/sec), significantly outperforming the simulated ABE baseline (~49 ops/sec).</w:t>
      </w:r>
    </w:p>
    <w:p>
      <w:pPr>
        <w:pStyle w:val="BodyText"/>
        <w:numPr>
          <w:ilvl w:val="0"/>
          <w:numId w:val="19"/>
        </w:numPr>
        <w:rPr/>
      </w:pPr>
      <w:r>
        <w:rPr>
          <w:rStyle w:val="Strong"/>
        </w:rPr>
        <w:t>Intent Classification:</w:t>
      </w:r>
      <w:r>
        <w:rPr/>
        <w:t xml:space="preserve"> Random Forest and MLP achieved perfect classification on the sampled events (accuracy = 1.0), while Logistic Regression was slightly lower (accuracy = 0.98).</w:t>
      </w:r>
    </w:p>
    <w:p>
      <w:pPr>
        <w:pStyle w:val="BodyText"/>
        <w:numPr>
          <w:ilvl w:val="0"/>
          <w:numId w:val="19"/>
        </w:numPr>
        <w:rPr/>
      </w:pPr>
      <w:r>
        <w:rPr>
          <w:rStyle w:val="Strong"/>
        </w:rPr>
        <w:t>Policy effectiveness:</w:t>
      </w:r>
      <w:r>
        <w:rPr/>
        <w:t xml:space="preserve"> The results empirically demonstrate that integrating context and intent inference allows the system to balance security strength and performance, validating the original design objectives.</w:t>
      </w:r>
      <w:r>
        <w:br w:type="page"/>
      </w:r>
    </w:p>
    <w:p>
      <w:pPr>
        <w:pStyle w:val="Heading2"/>
        <w:numPr>
          <w:ilvl w:val="0"/>
          <w:numId w:val="0"/>
        </w:numPr>
        <w:spacing w:before="0" w:after="120"/>
        <w:ind w:hanging="0" w:start="0"/>
        <w:rPr/>
      </w:pPr>
      <w:r>
        <w:rPr/>
        <w:t>Chapter 6: Related Work and Validation Plan</w:t>
      </w:r>
    </w:p>
    <w:p>
      <w:pPr>
        <w:pStyle w:val="Heading3"/>
        <w:numPr>
          <w:ilvl w:val="2"/>
          <w:numId w:val="1"/>
        </w:numPr>
        <w:ind w:hanging="0" w:start="0"/>
        <w:rPr/>
      </w:pPr>
      <w:r>
        <w:rPr/>
        <w:t>6.1 Existing Approaches</w:t>
      </w:r>
    </w:p>
    <w:p>
      <w:pPr>
        <w:pStyle w:val="BodyText"/>
        <w:ind w:hanging="0" w:start="0"/>
        <w:rPr/>
      </w:pPr>
      <w:r>
        <w:rPr/>
        <w:t>Several prior works address adaptive encryption, context-aware security, and intent-based access:</w:t>
      </w:r>
    </w:p>
    <w:p>
      <w:pPr>
        <w:pStyle w:val="BodyText"/>
        <w:numPr>
          <w:ilvl w:val="0"/>
          <w:numId w:val="20"/>
        </w:numPr>
        <w:rPr/>
      </w:pPr>
      <w:r>
        <w:rPr>
          <w:rStyle w:val="Strong"/>
        </w:rPr>
        <w:t>Adaptive Context-Aware Encryption (ACE):</w:t>
      </w:r>
      <w:r>
        <w:rPr/>
        <w:t xml:space="preserve"> Systems that adapt encryption based on device context or network load. While efficient, these approaches typically rely on fixed context rules and lack intent inference [Inshi et al., 2023; Lin et al., 2019].</w:t>
      </w:r>
    </w:p>
    <w:p>
      <w:pPr>
        <w:pStyle w:val="BodyText"/>
        <w:numPr>
          <w:ilvl w:val="0"/>
          <w:numId w:val="20"/>
        </w:numPr>
        <w:rPr/>
      </w:pPr>
      <w:r>
        <w:rPr>
          <w:rStyle w:val="Strong"/>
        </w:rPr>
        <w:t>Attribute-Based Encryption (ABE / CP-ABE):</w:t>
      </w:r>
      <w:r>
        <w:rPr/>
        <w:t xml:space="preserve"> Provides fine-grained access control but incurs high latency and computational overhead [Patel &amp; Patel, 2025; Narkedimilli et al., 2024].</w:t>
      </w:r>
    </w:p>
    <w:p>
      <w:pPr>
        <w:pStyle w:val="BodyText"/>
        <w:numPr>
          <w:ilvl w:val="0"/>
          <w:numId w:val="20"/>
        </w:numPr>
        <w:rPr/>
      </w:pPr>
      <w:r>
        <w:rPr>
          <w:rStyle w:val="Strong"/>
        </w:rPr>
        <w:t>Intent / Goal-Aware Security:</w:t>
      </w:r>
      <w:r>
        <w:rPr/>
        <w:t xml:space="preserve"> Some frameworks infer user intent for adaptive responses, mostly in IoT or CPS environments, but typically do not integrate ML-driven intent classification into encryption policy [Noor et al., 2023; Kalaria et al., 2024].</w:t>
      </w:r>
    </w:p>
    <w:p>
      <w:pPr>
        <w:pStyle w:val="BodyText"/>
        <w:numPr>
          <w:ilvl w:val="0"/>
          <w:numId w:val="20"/>
        </w:numPr>
        <w:rPr/>
      </w:pPr>
      <w:r>
        <w:rPr>
          <w:rStyle w:val="Strong"/>
        </w:rPr>
        <w:t>Hybrid and Machine Learning Approaches:</w:t>
      </w:r>
      <w:r>
        <w:rPr/>
        <w:t xml:space="preserve"> A few recent studies explore ML-assisted security adaptation, but often focus on access control or anomaly detection, not end-to-end encryption adaptation [Kumar &amp; Srinivas, 2023; Singh et al., 2025].</w:t>
      </w:r>
    </w:p>
    <w:p>
      <w:pPr>
        <w:pStyle w:val="BodyText"/>
        <w:ind w:hanging="0" w:start="0"/>
        <w:rPr/>
      </w:pPr>
      <w:r>
        <w:rPr/>
      </w:r>
    </w:p>
    <w:p>
      <w:pPr>
        <w:pStyle w:val="Heading3"/>
        <w:numPr>
          <w:ilvl w:val="2"/>
          <w:numId w:val="1"/>
        </w:numPr>
        <w:ind w:hanging="0" w:start="0"/>
        <w:rPr/>
      </w:pPr>
      <w:r>
        <w:rPr/>
        <w:t>6.2 Differentiation</w:t>
      </w:r>
    </w:p>
    <w:p>
      <w:pPr>
        <w:pStyle w:val="BodyText"/>
        <w:numPr>
          <w:ilvl w:val="0"/>
          <w:numId w:val="21"/>
        </w:numPr>
        <w:rPr/>
      </w:pPr>
      <w:r>
        <w:rPr>
          <w:rStyle w:val="Strong"/>
        </w:rPr>
        <w:t>Intent-Based Adaptation:</w:t>
      </w:r>
      <w:r>
        <w:rPr/>
        <w:t xml:space="preserve"> Unlike ACE or ABE, IAE integrates intent classification from behavioral and contextual features to dynamically select encryption strength.</w:t>
      </w:r>
    </w:p>
    <w:p>
      <w:pPr>
        <w:pStyle w:val="BodyText"/>
        <w:numPr>
          <w:ilvl w:val="0"/>
          <w:numId w:val="21"/>
        </w:numPr>
        <w:rPr/>
      </w:pPr>
      <w:r>
        <w:rPr>
          <w:rStyle w:val="Strong"/>
        </w:rPr>
        <w:t>Efficiency:</w:t>
      </w:r>
      <w:r>
        <w:rPr/>
        <w:t xml:space="preserve"> IAE demonstrates very low latency and energy overhead compared to baseline ABE simulations.</w:t>
      </w:r>
    </w:p>
    <w:p>
      <w:pPr>
        <w:pStyle w:val="BodyText"/>
        <w:numPr>
          <w:ilvl w:val="0"/>
          <w:numId w:val="21"/>
        </w:numPr>
        <w:rPr/>
      </w:pPr>
      <w:r>
        <w:rPr>
          <w:rStyle w:val="Strong"/>
        </w:rPr>
        <w:t>Empirical Validation:</w:t>
      </w:r>
      <w:r>
        <w:rPr/>
        <w:t xml:space="preserve"> Using a well-known dataset (CICIDS), the framework provides a reproducible case study, enabling direct comparison to literature benchmarks.</w:t>
      </w:r>
    </w:p>
    <w:p>
      <w:pPr>
        <w:pStyle w:val="Heading2"/>
        <w:widowControl/>
        <w:numPr>
          <w:ilvl w:val="0"/>
          <w:numId w:val="0"/>
        </w:numPr>
        <w:suppressAutoHyphens w:val="true"/>
        <w:overflowPunct w:val="true"/>
        <w:ind w:hanging="0" w:start="0"/>
        <w:jc w:val="start"/>
        <w:rPr/>
      </w:pPr>
      <w:r>
        <w:rPr/>
      </w:r>
      <w:r>
        <w:br w:type="page"/>
      </w:r>
    </w:p>
    <w:p>
      <w:pPr>
        <w:pStyle w:val="Heading2"/>
        <w:numPr>
          <w:ilvl w:val="0"/>
          <w:numId w:val="1"/>
        </w:numPr>
        <w:spacing w:before="0" w:after="120"/>
        <w:ind w:hanging="0" w:start="0"/>
        <w:rPr/>
      </w:pPr>
      <w:r>
        <w:rPr/>
        <w:t>Chapter 7: References</w:t>
      </w:r>
    </w:p>
    <w:p>
      <w:pPr>
        <w:pStyle w:val="BodyText"/>
        <w:widowControl/>
        <w:suppressAutoHyphens w:val="true"/>
        <w:overflowPunct w:val="true"/>
        <w:ind w:hanging="0" w:start="1080"/>
        <w:rPr/>
      </w:pPr>
      <w:r>
        <w:rPr>
          <w:rFonts w:eastAsia="Noto Serif CJK SC" w:cs="Noto Sans Devanagari"/>
          <w:color w:val="auto"/>
          <w:kern w:val="2"/>
          <w:sz w:val="24"/>
          <w:szCs w:val="24"/>
          <w:lang w:val="en-US" w:eastAsia="zh-CN" w:bidi="hi-IN"/>
        </w:rPr>
        <w:t xml:space="preserve">[1] Kumar, P. R., &amp; Goel, S. (2025). </w:t>
      </w:r>
      <w:r>
        <w:rPr>
          <w:rStyle w:val="Emphasis"/>
          <w:rFonts w:eastAsia="Noto Serif CJK SC" w:cs="Noto Sans Devanagari"/>
          <w:color w:val="auto"/>
          <w:kern w:val="2"/>
          <w:sz w:val="24"/>
          <w:szCs w:val="24"/>
          <w:lang w:val="en-US" w:eastAsia="zh-CN" w:bidi="hi-IN"/>
        </w:rPr>
        <w:t>A secure and efficient encryption system based on adaptive and machine learning for securing data in fog computing</w:t>
      </w:r>
      <w:r>
        <w:rPr>
          <w:rFonts w:eastAsia="Noto Serif CJK SC" w:cs="Noto Sans Devanagari"/>
          <w:color w:val="auto"/>
          <w:kern w:val="2"/>
          <w:sz w:val="24"/>
          <w:szCs w:val="24"/>
          <w:lang w:val="en-US" w:eastAsia="zh-CN" w:bidi="hi-IN"/>
        </w:rPr>
        <w:t xml:space="preserve">. </w:t>
      </w:r>
      <w:r>
        <w:rPr>
          <w:rStyle w:val="Strong"/>
          <w:rFonts w:eastAsia="Noto Serif CJK SC" w:cs="Noto Sans Devanagari"/>
          <w:color w:val="auto"/>
          <w:kern w:val="2"/>
          <w:sz w:val="24"/>
          <w:szCs w:val="24"/>
          <w:lang w:val="en-US" w:eastAsia="zh-CN" w:bidi="hi-IN"/>
        </w:rPr>
        <w:t>Scientific Reports, 15</w:t>
      </w:r>
      <w:r>
        <w:rPr>
          <w:rFonts w:eastAsia="Noto Serif CJK SC" w:cs="Noto Sans Devanagari"/>
          <w:color w:val="auto"/>
          <w:kern w:val="2"/>
          <w:sz w:val="24"/>
          <w:szCs w:val="24"/>
          <w:lang w:val="en-US" w:eastAsia="zh-CN" w:bidi="hi-IN"/>
        </w:rPr>
        <w:t>, Article 11654, 12 pages.</w:t>
      </w:r>
    </w:p>
    <w:p>
      <w:pPr>
        <w:pStyle w:val="BodyText"/>
        <w:numPr>
          <w:ilvl w:val="0"/>
          <w:numId w:val="0"/>
        </w:numPr>
        <w:bidi w:val="0"/>
        <w:ind w:hanging="0" w:start="1080"/>
        <w:jc w:val="start"/>
        <w:rPr/>
      </w:pPr>
      <w:r>
        <w:rPr/>
        <w:t xml:space="preserve">[2] Inshi, S., Chowdhury, R., Ould-Slimane, H., &amp; Talhi, C. (2023). </w:t>
      </w:r>
      <w:r>
        <w:rPr>
          <w:rStyle w:val="Emphasis"/>
        </w:rPr>
        <w:t>Secure adaptive context-aware ABE for smart environments</w:t>
      </w:r>
      <w:r>
        <w:rPr/>
        <w:t xml:space="preserve">. </w:t>
      </w:r>
      <w:r>
        <w:rPr>
          <w:rStyle w:val="Strong"/>
        </w:rPr>
        <w:t>IoT, 4</w:t>
      </w:r>
      <w:r>
        <w:rPr/>
        <w:t>(2), 112–130 (19 pages).</w:t>
      </w:r>
    </w:p>
    <w:p>
      <w:pPr>
        <w:pStyle w:val="BodyText"/>
        <w:numPr>
          <w:ilvl w:val="0"/>
          <w:numId w:val="0"/>
        </w:numPr>
        <w:bidi w:val="0"/>
        <w:ind w:hanging="0" w:start="1080"/>
        <w:jc w:val="start"/>
        <w:rPr/>
      </w:pPr>
      <w:r>
        <w:rPr/>
        <w:t xml:space="preserve">[3] Lin, H., Yan, Z., &amp; Fu, Y. (2019). </w:t>
      </w:r>
      <w:r>
        <w:rPr>
          <w:rStyle w:val="Emphasis"/>
        </w:rPr>
        <w:t>Adaptive security-related data collection with context awareness</w:t>
      </w:r>
      <w:r>
        <w:rPr/>
        <w:t xml:space="preserve">. </w:t>
      </w:r>
      <w:r>
        <w:rPr>
          <w:rStyle w:val="Strong"/>
        </w:rPr>
        <w:t>Journal of Network and Computer Applications, 126</w:t>
      </w:r>
      <w:r>
        <w:rPr/>
        <w:t>, 88–103 (16 pages).</w:t>
      </w:r>
    </w:p>
    <w:p>
      <w:pPr>
        <w:pStyle w:val="BodyText"/>
        <w:numPr>
          <w:ilvl w:val="0"/>
          <w:numId w:val="0"/>
        </w:numPr>
        <w:bidi w:val="0"/>
        <w:ind w:hanging="0" w:start="1080"/>
        <w:jc w:val="start"/>
        <w:rPr/>
      </w:pPr>
      <w:r>
        <w:rPr/>
        <w:t xml:space="preserve">[4] Noor, Z., Hina, S., Hayat, F., &amp; Shah, G. A. (2023). </w:t>
      </w:r>
      <w:r>
        <w:rPr>
          <w:rStyle w:val="Emphasis"/>
        </w:rPr>
        <w:t>An intelligent context-aware threat detection and response model for smart cyber-physical systems</w:t>
      </w:r>
      <w:r>
        <w:rPr/>
        <w:t xml:space="preserve">. </w:t>
      </w:r>
      <w:r>
        <w:rPr>
          <w:rStyle w:val="Strong"/>
        </w:rPr>
        <w:t>Internet of Things, 23</w:t>
      </w:r>
      <w:r>
        <w:rPr/>
        <w:t>, Article 100843 (14 pages).</w:t>
      </w:r>
    </w:p>
    <w:p>
      <w:pPr>
        <w:pStyle w:val="BodyText"/>
        <w:numPr>
          <w:ilvl w:val="0"/>
          <w:numId w:val="0"/>
        </w:numPr>
        <w:bidi w:val="0"/>
        <w:ind w:hanging="0" w:start="1080"/>
        <w:jc w:val="start"/>
        <w:rPr/>
      </w:pPr>
      <w:r>
        <w:rPr/>
        <w:t xml:space="preserve">[5] Kalaria, R., Kayes, A. S. M., Rahayu, W., &amp; Whittaker, F. (2024). </w:t>
      </w:r>
      <w:r>
        <w:rPr>
          <w:rStyle w:val="Emphasis"/>
        </w:rPr>
        <w:t>Adaptive context-aware access control for IoT environments leveraging fog computing</w:t>
      </w:r>
      <w:r>
        <w:rPr/>
        <w:t xml:space="preserve">. </w:t>
      </w:r>
      <w:r>
        <w:rPr>
          <w:rStyle w:val="Strong"/>
        </w:rPr>
        <w:t>International Journal of Information Security, 23</w:t>
      </w:r>
      <w:r>
        <w:rPr/>
        <w:t xml:space="preserve">, 3089–3107 (19 pages). </w:t>
      </w:r>
    </w:p>
    <w:p>
      <w:pPr>
        <w:pStyle w:val="BodyText"/>
        <w:numPr>
          <w:ilvl w:val="0"/>
          <w:numId w:val="0"/>
        </w:numPr>
        <w:bidi w:val="0"/>
        <w:ind w:hanging="0" w:start="1080"/>
        <w:jc w:val="start"/>
        <w:rPr/>
      </w:pPr>
      <w:r>
        <w:rPr/>
        <w:t xml:space="preserve">[6] Patel, V. H., &amp; Patel, S. G. (2025). </w:t>
      </w:r>
      <w:r>
        <w:rPr>
          <w:rStyle w:val="Emphasis"/>
        </w:rPr>
        <w:t>Adaptive encryption framework with fog offloading for secure healthcare data processing on resource-constrained devices.</w:t>
      </w:r>
      <w:r>
        <w:rPr/>
        <w:t xml:space="preserve"> International Journal of Environmental Sciences, 11(19s), 2978–2982 (5 pages).</w:t>
      </w:r>
    </w:p>
    <w:p>
      <w:pPr>
        <w:pStyle w:val="BodyText"/>
        <w:numPr>
          <w:ilvl w:val="0"/>
          <w:numId w:val="0"/>
        </w:numPr>
        <w:bidi w:val="0"/>
        <w:ind w:hanging="0" w:start="1080"/>
        <w:jc w:val="start"/>
        <w:rPr/>
      </w:pPr>
      <w:r>
        <w:rPr/>
        <w:t xml:space="preserve">[7] Narkedimilli, S., Venkata Sriram, A., &amp; Raghav, S. (2024). </w:t>
      </w:r>
      <w:r>
        <w:rPr>
          <w:rStyle w:val="Emphasis"/>
        </w:rPr>
        <w:t>FL-DABE-BC: A privacy-enhanced, decentralized authentication and secure communication framework with decentralized attribute-based encryption and blockchain for IoT scenarios.</w:t>
      </w:r>
      <w:r>
        <w:rPr/>
        <w:t xml:space="preserve"> </w:t>
      </w:r>
      <w:r>
        <w:rPr>
          <w:rStyle w:val="Strong"/>
        </w:rPr>
        <w:t>arXiv preprint</w:t>
      </w:r>
      <w:r>
        <w:rPr/>
        <w:t>, arXiv:2410.20259 (8 pages).</w:t>
      </w:r>
    </w:p>
    <w:p>
      <w:pPr>
        <w:pStyle w:val="BodyText"/>
        <w:numPr>
          <w:ilvl w:val="0"/>
          <w:numId w:val="0"/>
        </w:numPr>
        <w:bidi w:val="0"/>
        <w:ind w:hanging="0" w:start="1080"/>
        <w:jc w:val="start"/>
        <w:rPr/>
      </w:pPr>
      <w:r>
        <w:rPr/>
        <w:t xml:space="preserve">[8] Kumar, B. N., &amp; Srinivas, M. (2023). </w:t>
      </w:r>
      <w:r>
        <w:rPr>
          <w:rStyle w:val="Emphasis"/>
        </w:rPr>
        <w:t>Hybrid attribute-based symmetric encryption algorithm for enhanced access policies in medical wireless sensor networks.</w:t>
      </w:r>
      <w:r>
        <w:rPr/>
        <w:t xml:space="preserve"> </w:t>
      </w:r>
      <w:r>
        <w:rPr>
          <w:rStyle w:val="Strong"/>
        </w:rPr>
        <w:t>International Journal of Intelligent Systems and Applications in Engineering</w:t>
      </w:r>
      <w:r>
        <w:rPr/>
        <w:t>, 11(3), 958–964 (8 pages).</w:t>
      </w:r>
    </w:p>
    <w:p>
      <w:pPr>
        <w:pStyle w:val="BodyText"/>
        <w:numPr>
          <w:ilvl w:val="0"/>
          <w:numId w:val="0"/>
        </w:numPr>
        <w:bidi w:val="0"/>
        <w:ind w:hanging="0" w:start="1080"/>
        <w:jc w:val="start"/>
        <w:rPr/>
      </w:pPr>
      <w:r>
        <w:rPr/>
        <w:t xml:space="preserve">[9] Thakur, I., Karmakar, A., Li, C., &amp; Preneel, B. (2025). </w:t>
      </w:r>
      <w:r>
        <w:rPr>
          <w:rStyle w:val="Emphasis"/>
        </w:rPr>
        <w:t>A survey on transciphering and symmetric ciphers for homomorphic encryption.</w:t>
      </w:r>
      <w:r>
        <w:rPr/>
        <w:t xml:space="preserve"> </w:t>
      </w:r>
      <w:r>
        <w:rPr>
          <w:rStyle w:val="Strong"/>
        </w:rPr>
        <w:t>Cryptology ePrint Archive</w:t>
      </w:r>
      <w:r>
        <w:rPr/>
        <w:t>, Paper 2025/093 (35 pages).</w:t>
      </w:r>
    </w:p>
    <w:p>
      <w:pPr>
        <w:pStyle w:val="BodyText"/>
        <w:numPr>
          <w:ilvl w:val="0"/>
          <w:numId w:val="0"/>
        </w:numPr>
        <w:bidi w:val="0"/>
        <w:ind w:hanging="0" w:start="1080"/>
        <w:jc w:val="start"/>
        <w:rPr/>
      </w:pPr>
      <w:r>
        <w:rPr/>
        <w:t xml:space="preserve">[10] Kerl, M., Bodin, U., &amp;, Schelen Y. (2025). </w:t>
      </w:r>
      <w:r>
        <w:rPr>
          <w:rStyle w:val="Emphasis"/>
        </w:rPr>
        <w:t>Privacy-preserving attribute-based access control using homomorphic encryption.</w:t>
      </w:r>
      <w:r>
        <w:rPr/>
        <w:t xml:space="preserve"> </w:t>
      </w:r>
      <w:r>
        <w:rPr>
          <w:rStyle w:val="Strong"/>
        </w:rPr>
        <w:t>Cybersecurity</w:t>
      </w:r>
      <w:r>
        <w:rPr/>
        <w:t>, 8(5), Article 00232 (16 pages).</w:t>
      </w:r>
    </w:p>
    <w:p>
      <w:pPr>
        <w:pStyle w:val="BodyText"/>
        <w:numPr>
          <w:ilvl w:val="0"/>
          <w:numId w:val="0"/>
        </w:numPr>
        <w:bidi w:val="0"/>
        <w:ind w:hanging="0" w:start="1080"/>
        <w:jc w:val="start"/>
        <w:rPr/>
      </w:pPr>
      <w:r>
        <w:rPr/>
        <w:t xml:space="preserve">[11] Dar Z., Ahmad A., Khan F. K., Zeshan F., Iqbal R., Sherazi H. H. R. &amp; Bashir A. K. (2020). </w:t>
      </w:r>
      <w:r>
        <w:rPr>
          <w:rStyle w:val="Emphasis"/>
        </w:rPr>
        <w:t>A context-aware encryption protocol suite for edge computing-based IoT devices.</w:t>
      </w:r>
      <w:r>
        <w:rPr/>
        <w:t xml:space="preserve"> </w:t>
      </w:r>
      <w:r>
        <w:rPr>
          <w:rStyle w:val="Strong"/>
        </w:rPr>
        <w:t>Journal of Supercomputing</w:t>
      </w:r>
      <w:r>
        <w:rPr/>
        <w:t>, 76(4), 2548–2567 (19 pages).</w:t>
      </w:r>
    </w:p>
    <w:p>
      <w:pPr>
        <w:pStyle w:val="BodyText"/>
        <w:numPr>
          <w:ilvl w:val="0"/>
          <w:numId w:val="0"/>
        </w:numPr>
        <w:bidi w:val="0"/>
        <w:ind w:hanging="0" w:start="1080"/>
        <w:jc w:val="start"/>
        <w:rPr/>
      </w:pPr>
      <w:r>
        <w:rPr/>
        <w:t xml:space="preserve">[12] Acar, A., Aksu, H., Uluagac, A. S., &amp; Conti, M. (2017). </w:t>
      </w:r>
      <w:r>
        <w:rPr>
          <w:rStyle w:val="Emphasis"/>
        </w:rPr>
        <w:t>A survey on homomorphic encryption schemes: Theory and implementation.</w:t>
      </w:r>
      <w:r>
        <w:rPr/>
        <w:t xml:space="preserve"> </w:t>
      </w:r>
      <w:r>
        <w:rPr>
          <w:rStyle w:val="Strong"/>
        </w:rPr>
        <w:t>arXiv preprint</w:t>
      </w:r>
      <w:r>
        <w:rPr/>
        <w:t>, arXiv:1704.03578 (35 pages).</w:t>
      </w:r>
    </w:p>
    <w:p>
      <w:pPr>
        <w:pStyle w:val="BodyText"/>
        <w:numPr>
          <w:ilvl w:val="0"/>
          <w:numId w:val="0"/>
        </w:numPr>
        <w:bidi w:val="0"/>
        <w:ind w:hanging="0" w:start="1080"/>
        <w:jc w:val="start"/>
        <w:rPr/>
      </w:pPr>
      <w:r>
        <w:rPr/>
        <w:t xml:space="preserve">[13] Wu Y., Zhang W., Xiong H., Qin Z. &amp; Yeh K. H. (2021). </w:t>
      </w:r>
      <w:r>
        <w:rPr>
          <w:rStyle w:val="Emphasis"/>
        </w:rPr>
        <w:t>Efficient access control with traceability and user revocation in IoT.</w:t>
      </w:r>
      <w:r>
        <w:rPr/>
        <w:t xml:space="preserve"> </w:t>
      </w:r>
      <w:r>
        <w:rPr>
          <w:rStyle w:val="Strong"/>
        </w:rPr>
        <w:t>Multimedia Tools and Applications</w:t>
      </w:r>
      <w:r>
        <w:rPr/>
        <w:t>, 80(18), 31487–31508 (21 pages).</w:t>
      </w:r>
    </w:p>
    <w:p>
      <w:pPr>
        <w:pStyle w:val="BodyText"/>
        <w:numPr>
          <w:ilvl w:val="0"/>
          <w:numId w:val="0"/>
        </w:numPr>
        <w:bidi w:val="0"/>
        <w:ind w:hanging="0" w:start="1080"/>
        <w:jc w:val="start"/>
        <w:rPr/>
      </w:pPr>
      <w:r>
        <w:rPr/>
        <w:t xml:space="preserve">[14] Shekhar, S., &amp; Shukla, A. K. (2025). </w:t>
      </w:r>
      <w:r>
        <w:rPr>
          <w:rStyle w:val="Emphasis"/>
        </w:rPr>
        <w:t>Attribute-based encryption for secure data sharing in IoT ecosystems.</w:t>
      </w:r>
      <w:r>
        <w:rPr/>
        <w:t xml:space="preserve"> </w:t>
      </w:r>
      <w:r>
        <w:rPr>
          <w:rStyle w:val="Strong"/>
        </w:rPr>
        <w:t>Journal of Neonatal Surgery</w:t>
      </w:r>
      <w:r>
        <w:rPr/>
        <w:t>, 14(1), 53–59 (7 pages).</w:t>
      </w:r>
    </w:p>
    <w:p>
      <w:pPr>
        <w:pStyle w:val="BodyText"/>
        <w:numPr>
          <w:ilvl w:val="0"/>
          <w:numId w:val="0"/>
        </w:numPr>
        <w:bidi w:val="0"/>
        <w:spacing w:before="0" w:after="140"/>
        <w:ind w:hanging="0" w:start="1080"/>
        <w:jc w:val="start"/>
        <w:rPr/>
      </w:pPr>
      <w:r>
        <w:rPr/>
        <w:t xml:space="preserve">[15] Singh, A., Rathee, G., Kerrache, C. A., &amp; Ghanem, M. C. (2025). </w:t>
      </w:r>
      <w:r>
        <w:rPr>
          <w:rStyle w:val="Emphasis"/>
        </w:rPr>
        <w:t>A relay-chain-powered ciphertext-policy attribute-based encryption in intelligent transportation systems.</w:t>
      </w:r>
      <w:r>
        <w:rPr/>
        <w:t xml:space="preserve"> </w:t>
      </w:r>
      <w:r>
        <w:rPr>
          <w:rStyle w:val="Strong"/>
        </w:rPr>
        <w:t>arXiv preprint</w:t>
      </w:r>
      <w:r>
        <w:rPr/>
        <w:t>, arXiv:2508.16189 (14 pages).</w:t>
      </w:r>
    </w:p>
    <w:p>
      <w:pPr>
        <w:pStyle w:val="BodyText"/>
        <w:numPr>
          <w:ilvl w:val="0"/>
          <w:numId w:val="0"/>
        </w:numPr>
        <w:bidi w:val="0"/>
        <w:spacing w:before="0" w:after="14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bullet"/>
      <w:lvlText w:val=""/>
      <w:lvlJc w:val="start"/>
      <w:pPr>
        <w:tabs>
          <w:tab w:val="num" w:pos="1080"/>
        </w:tabs>
        <w:ind w:start="1080" w:hanging="360"/>
      </w:pPr>
      <w:rPr>
        <w:rFonts w:ascii="Wingdings" w:hAnsi="Wingdings" w:cs="Wingdings"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numPr>
        <w:ilvl w:val="0"/>
        <w:numId w:val="0"/>
      </w:numPr>
      <w:bidi w:val="0"/>
      <w:spacing w:lineRule="auto" w:line="276" w:before="0" w:after="140"/>
      <w:ind w:hanging="0" w:start="0"/>
      <w:jc w:val="star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user">
    <w:name w:val="Block Quotation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362</TotalTime>
  <Application>LibreOffice/25.2.7.2$Linux_X86_64 LibreOffice_project/520$Build-2</Application>
  <AppVersion>15.0000</AppVersion>
  <Pages>18</Pages>
  <Words>2911</Words>
  <Characters>18663</Characters>
  <CharactersWithSpaces>21480</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2025-10-19T12:41:02Z</dcterms:created>
  <dc:creator/>
  <dc:description/>
  <dc:language>en-US</dc:language>
  <cp:lastModifiedBy/>
  <dcterms:modified xsi:type="dcterms:W3CDTF">2025-12-07T21:38:06Z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