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Experimental Modeling and Validation</w:t>
      </w:r>
    </w:p>
    <w:p>
      <w:pPr>
        <w:pStyle w:val="Normal"/>
        <w:spacing w:before="0" w:after="200"/>
        <w:rPr/>
      </w:pPr>
      <w:r>
        <w:rPr/>
        <w:br/>
        <w:t xml:space="preserve">This document provides a detailed experimental model for evaluating the proposed Intent-Aware Encryption (IAE) framework. </w:t>
        <w:br/>
        <w:t>It defines the data, experimental design, mathematical formulation, validation strategy, and comparison methodology.</w:t>
        <w:br/>
        <w:br/>
      </w:r>
      <w:r>
        <w:rPr>
          <w:color w:val="365F91"/>
          <w:sz w:val="30"/>
          <w:szCs w:val="30"/>
        </w:rPr>
        <w:t>1. Overview</w:t>
      </w:r>
      <w:r>
        <w:rPr/>
        <w:br/>
        <w:t>This chapter describes the experimental model used to evaluate IAE, specifying data generation, experiments, mathematical model, validation, and comparative baselines.</w:t>
        <w:br/>
        <w:br/>
      </w:r>
      <w:r>
        <w:rPr>
          <w:color w:val="365F91"/>
          <w:sz w:val="30"/>
          <w:szCs w:val="30"/>
        </w:rPr>
        <w:t>2. Data and Scenario Design</w:t>
      </w:r>
      <w:r>
        <w:rPr/>
        <w:br/>
        <w:t>Data sources include:</w:t>
        <w:br/>
        <w:t>- Context traces (e.g., IoT-23, UNSW-NB15).</w:t>
        <w:br/>
        <w:t>- Sensor telemetry (e.g., UCI Human Activity Recognition).</w:t>
        <w:br/>
        <w:t>- Synthetic intent labels for predefined intents such as emergency, confidential-transfer, routine-report, diagnostic, maintenance.</w:t>
        <w:br/>
        <w:t>- Attack scenarios using intrusion datasets like CICIDS.</w:t>
        <w:br/>
        <w:br/>
        <w:t>Feature design:</w:t>
        <w:br/>
        <w:t>Each event t includes a context vector C_t, metadata M_t, behavior features X_t, and label I_t. These are normalized and timestamped.</w:t>
        <w:br/>
        <w:br/>
      </w:r>
      <w:r>
        <w:rPr>
          <w:color w:val="365F91"/>
          <w:sz w:val="30"/>
          <w:szCs w:val="30"/>
        </w:rPr>
        <w:t>3. Experimental Protocols</w:t>
      </w:r>
      <w:r>
        <w:rPr/>
        <w:br/>
        <w:t>A. Intent classification: evaluates intent inference accuracy using ML models (logistic regression, random forest, neural networks).</w:t>
        <w:br/>
        <w:t>B. Adaptive encryption behavior: observes how IAE adjusts encryption parameters dynamically based on inferred intent.</w:t>
        <w:br/>
        <w:t>C. Performance benchmarking: measures latency, energy, and throughput compared to context-aware and static methods.</w:t>
        <w:br/>
        <w:t>D. Security assessment: evaluates confidentiality, privacy leakage, and attack resilience.</w:t>
        <w:br/>
        <w:br/>
      </w:r>
      <w:r>
        <w:rPr>
          <w:color w:val="365F91"/>
          <w:sz w:val="30"/>
          <w:szCs w:val="30"/>
        </w:rPr>
        <w:t>4. Mathematical / Formal Model</w:t>
      </w:r>
      <w:r>
        <w:rPr/>
        <w:br/>
        <w:t>Notation:</w:t>
        <w:br/>
        <w:t>- X_t: features, C_t: context, I_t: intent, a_t: encryption action.</w:t>
        <w:br/>
        <w:t>- Decision policy: π(P(I|X,C),C) → a ∈ A.</w:t>
        <w:br/>
        <w:t>- Cost function: Cost(a; I, C) = αT(a,s) + βE(a,s) + δ(1 - Q(a,I)).</w:t>
        <w:br/>
        <w:t>Optimization seeks minimal expected cost subject to security constraints.</w:t>
        <w:br/>
        <w:br/>
      </w:r>
      <w:r>
        <w:rPr>
          <w:color w:val="365F91"/>
          <w:sz w:val="30"/>
          <w:szCs w:val="30"/>
        </w:rPr>
        <w:t>5. Validation and Statistical Analysis</w:t>
      </w:r>
      <w:r>
        <w:rPr/>
        <w:br/>
        <w:t xml:space="preserve">Validation methods include cross-validation for classifiers and paired tests for performance metrics. </w:t>
        <w:br/>
        <w:t>Statistical tests: paired t-test or Wilcoxon, McNemar for classification accuracy. Confidence intervals and effect sizes reported.</w:t>
        <w:br/>
        <w:br/>
      </w:r>
      <w:r>
        <w:rPr>
          <w:color w:val="365F91"/>
          <w:sz w:val="30"/>
          <w:szCs w:val="30"/>
        </w:rPr>
        <w:t>6. Baselines and Comparison Strategy</w:t>
      </w:r>
      <w:r>
        <w:rPr/>
        <w:br/>
        <w:t>Baselines:</w:t>
        <w:br/>
        <w:t>- Static strong encryption.</w:t>
        <w:br/>
        <w:t>- Context-only adaptive encryption.</w:t>
        <w:br/>
        <w:t>- ABE/CP-ABE methods.</w:t>
        <w:br/>
        <w:t>- Rule-based intent mapping.</w:t>
        <w:br/>
        <w:br/>
      </w:r>
      <w:r>
        <w:rPr>
          <w:color w:val="365F91"/>
          <w:sz w:val="30"/>
          <w:szCs w:val="30"/>
        </w:rPr>
        <w:t>7. Deliverables</w:t>
      </w:r>
      <w:r>
        <w:rPr/>
        <w:br/>
        <w:t>Deliverables include all datasets, scripts, parameter tables, visual plots (latency, energy, privacy leakage), and a mathematical appendix with full derivations.</w:t>
        <w:br/>
        <w:br/>
      </w:r>
      <w:r>
        <w:rPr>
          <w:color w:val="365F91"/>
          <w:sz w:val="30"/>
          <w:szCs w:val="30"/>
        </w:rPr>
        <w:t>8. Experimental Plan Summary</w:t>
      </w:r>
      <w:r>
        <w:rPr/>
        <w:br/>
        <w:t>1. Pilot performance measurement for all encryption configurations.</w:t>
        <w:br/>
        <w:t>2. Dataset creation and labeling.</w:t>
        <w:br/>
        <w:t>3. Classifier training and validation.</w:t>
        <w:br/>
        <w:t>4. Policy simulation under different conditions.</w:t>
        <w:br/>
        <w:t>5. Statistical testing and result reporting.</w:t>
        <w:br/>
        <w:t>6. Robustness evaluation with noise and attack scenarios.</w:t>
        <w:br/>
        <w:br/>
      </w:r>
      <w:r>
        <w:rPr>
          <w:color w:val="365F91"/>
          <w:sz w:val="30"/>
          <w:szCs w:val="30"/>
        </w:rPr>
        <w:t>9. Conclusion</w:t>
      </w:r>
      <w:r>
        <w:rPr/>
        <w:br/>
        <w:t>This experimental model provides a rigorous and reproducible foundation for validating IAE against traditional context-aware encryption schemes.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LibreOffice/25.2.7.2$Linux_X86_64 LibreOffice_project/520$Build-2</Application>
  <AppVersion>15.0000</AppVersion>
  <Pages>2</Pages>
  <Words>363</Words>
  <Characters>2456</Characters>
  <CharactersWithSpaces>2830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2025-11-09T23:39:10Z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