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23"/>
        <w:gridCol w:w="4453"/>
        <w:gridCol w:w="2414"/>
      </w:tblGrid>
      <w:tr w:rsidR="002752FC" w:rsidRPr="00DD25DA" w14:paraId="59DCBA01" w14:textId="77777777" w:rsidTr="00EA16CB">
        <w:trPr>
          <w:trHeight w:val="1125"/>
        </w:trPr>
        <w:tc>
          <w:tcPr>
            <w:tcW w:w="2223" w:type="dxa"/>
            <w:tcBorders>
              <w:top w:val="single" w:sz="4" w:space="0" w:color="808080"/>
              <w:left w:val="single" w:sz="4" w:space="0" w:color="808080"/>
              <w:bottom w:val="single" w:sz="6" w:space="0" w:color="808080"/>
              <w:right w:val="single" w:sz="6" w:space="0" w:color="808080"/>
            </w:tcBorders>
            <w:shd w:val="clear" w:color="auto" w:fill="F3F3F3"/>
          </w:tcPr>
          <w:p w14:paraId="37153E53" w14:textId="77777777" w:rsidR="002752FC" w:rsidRPr="00E52D72" w:rsidRDefault="002752FC" w:rsidP="002752FC">
            <w:pPr>
              <w:pStyle w:val="WeisungKopfteil"/>
              <w:spacing w:before="120" w:after="0"/>
              <w:rPr>
                <w:rFonts w:ascii="Arial" w:hAnsi="Arial"/>
                <w:sz w:val="22"/>
                <w:szCs w:val="22"/>
              </w:rPr>
            </w:pPr>
            <w:r w:rsidRPr="00E52D72">
              <w:rPr>
                <w:rFonts w:ascii="Arial" w:hAnsi="Arial"/>
                <w:sz w:val="22"/>
                <w:szCs w:val="22"/>
              </w:rPr>
              <w:t xml:space="preserve">Zuordnung: </w:t>
            </w:r>
          </w:p>
          <w:p w14:paraId="4504C74D" w14:textId="77777777" w:rsidR="002752FC" w:rsidRPr="00E52D72" w:rsidRDefault="00FF10AF" w:rsidP="002752FC">
            <w:pPr>
              <w:pStyle w:val="WeisungKopfteil"/>
              <w:spacing w:before="120" w:after="0" w:line="276" w:lineRule="auto"/>
              <w:rPr>
                <w:rFonts w:ascii="Arial" w:hAnsi="Arial"/>
                <w:b w:val="0"/>
                <w:bCs/>
                <w:sz w:val="22"/>
                <w:szCs w:val="22"/>
              </w:rPr>
            </w:pPr>
            <w:hyperlink r:id="rId12" w:history="1">
              <w:r w:rsidR="002752FC" w:rsidRPr="00E52D72">
                <w:rPr>
                  <w:rStyle w:val="Hyperlink"/>
                  <w:rFonts w:ascii="Arial" w:hAnsi="Arial"/>
                  <w:b w:val="0"/>
                  <w:bCs/>
                  <w:sz w:val="22"/>
                  <w:szCs w:val="22"/>
                </w:rPr>
                <w:t>Zuständigkeit und Zusammenarbeit</w:t>
              </w:r>
            </w:hyperlink>
          </w:p>
          <w:p w14:paraId="635EA3F2" w14:textId="77777777" w:rsidR="002752FC" w:rsidRPr="00E52D72" w:rsidRDefault="00FF10AF" w:rsidP="002752FC">
            <w:pPr>
              <w:pStyle w:val="WeisungKopfteil"/>
              <w:spacing w:before="120" w:after="0" w:line="276" w:lineRule="auto"/>
              <w:rPr>
                <w:rFonts w:ascii="Arial" w:hAnsi="Arial"/>
                <w:b w:val="0"/>
                <w:bCs/>
                <w:sz w:val="22"/>
                <w:szCs w:val="22"/>
              </w:rPr>
            </w:pPr>
            <w:hyperlink r:id="rId13" w:history="1">
              <w:r w:rsidR="002752FC" w:rsidRPr="00E52D72">
                <w:rPr>
                  <w:rStyle w:val="Hyperlink"/>
                  <w:rFonts w:ascii="Arial" w:hAnsi="Arial"/>
                  <w:b w:val="0"/>
                  <w:bCs/>
                  <w:sz w:val="22"/>
                  <w:szCs w:val="22"/>
                </w:rPr>
                <w:t>Aufnahmeprozess</w:t>
              </w:r>
            </w:hyperlink>
          </w:p>
        </w:tc>
        <w:tc>
          <w:tcPr>
            <w:tcW w:w="4453" w:type="dxa"/>
            <w:tcBorders>
              <w:top w:val="single" w:sz="4" w:space="0" w:color="808080"/>
              <w:left w:val="single" w:sz="6" w:space="0" w:color="808080"/>
              <w:bottom w:val="single" w:sz="6" w:space="0" w:color="808080"/>
              <w:right w:val="single" w:sz="6" w:space="0" w:color="808080"/>
            </w:tcBorders>
            <w:shd w:val="clear" w:color="auto" w:fill="F3F3F3"/>
          </w:tcPr>
          <w:p w14:paraId="40C465FD" w14:textId="00EE63BC" w:rsidR="002752FC" w:rsidRPr="00E52D72" w:rsidRDefault="002752FC" w:rsidP="00E210EE">
            <w:pPr>
              <w:pStyle w:val="WeisungKopfteil"/>
              <w:spacing w:before="120" w:after="0"/>
              <w:jc w:val="center"/>
              <w:rPr>
                <w:rFonts w:ascii="Arial" w:hAnsi="Arial"/>
                <w:sz w:val="22"/>
                <w:szCs w:val="22"/>
              </w:rPr>
            </w:pPr>
            <w:r w:rsidRPr="00E52D72">
              <w:rPr>
                <w:rFonts w:ascii="Arial" w:hAnsi="Arial"/>
                <w:sz w:val="22"/>
                <w:szCs w:val="22"/>
              </w:rPr>
              <w:t xml:space="preserve">Handlungsanweisung </w:t>
            </w:r>
            <w:r w:rsidR="00E210EE">
              <w:rPr>
                <w:rFonts w:ascii="Arial" w:hAnsi="Arial"/>
                <w:sz w:val="22"/>
                <w:szCs w:val="22"/>
              </w:rPr>
              <w:t>der Direktion</w:t>
            </w:r>
            <w:r w:rsidRPr="00E52D72">
              <w:rPr>
                <w:rFonts w:ascii="Arial" w:hAnsi="Arial"/>
                <w:sz w:val="22"/>
                <w:szCs w:val="22"/>
              </w:rPr>
              <w:t xml:space="preserve"> </w:t>
            </w:r>
            <w:r w:rsidRPr="00E52D72">
              <w:rPr>
                <w:rFonts w:ascii="Arial" w:hAnsi="Arial"/>
                <w:sz w:val="22"/>
                <w:szCs w:val="22"/>
              </w:rPr>
              <w:br/>
            </w:r>
          </w:p>
        </w:tc>
        <w:tc>
          <w:tcPr>
            <w:tcW w:w="2414" w:type="dxa"/>
            <w:tcBorders>
              <w:top w:val="single" w:sz="4" w:space="0" w:color="808080"/>
              <w:left w:val="single" w:sz="6" w:space="0" w:color="808080"/>
              <w:bottom w:val="single" w:sz="6" w:space="0" w:color="808080"/>
              <w:right w:val="single" w:sz="4" w:space="0" w:color="808080"/>
            </w:tcBorders>
            <w:shd w:val="clear" w:color="auto" w:fill="F3F3F3"/>
          </w:tcPr>
          <w:p w14:paraId="4989640A" w14:textId="77777777" w:rsidR="002752FC" w:rsidRPr="00E52D72" w:rsidRDefault="002752FC" w:rsidP="00E52D72">
            <w:pPr>
              <w:pStyle w:val="WeisungKopfteil"/>
              <w:spacing w:before="120" w:after="0"/>
              <w:jc w:val="right"/>
              <w:rPr>
                <w:rFonts w:ascii="Arial" w:hAnsi="Arial"/>
                <w:sz w:val="22"/>
                <w:szCs w:val="22"/>
              </w:rPr>
            </w:pPr>
            <w:r w:rsidRPr="00E52D72">
              <w:rPr>
                <w:rFonts w:ascii="Arial" w:hAnsi="Arial"/>
                <w:sz w:val="22"/>
                <w:szCs w:val="22"/>
              </w:rPr>
              <w:t>Gültig ab:</w:t>
            </w:r>
          </w:p>
          <w:p w14:paraId="11CBFC36" w14:textId="3ED7D854" w:rsidR="002453DE" w:rsidRDefault="00FF10AF" w:rsidP="00E52D72">
            <w:pPr>
              <w:pStyle w:val="WeisungKopfteil"/>
              <w:spacing w:before="120" w:after="0"/>
              <w:jc w:val="right"/>
              <w:rPr>
                <w:rFonts w:ascii="Arial" w:hAnsi="Arial"/>
                <w:b w:val="0"/>
                <w:bCs/>
                <w:sz w:val="22"/>
                <w:szCs w:val="22"/>
              </w:rPr>
            </w:pPr>
            <w:r>
              <w:rPr>
                <w:rFonts w:ascii="Arial" w:hAnsi="Arial"/>
                <w:b w:val="0"/>
                <w:bCs/>
                <w:sz w:val="22"/>
                <w:szCs w:val="22"/>
                <w:highlight w:val="yellow"/>
              </w:rPr>
              <w:t>01.08</w:t>
            </w:r>
            <w:bookmarkStart w:id="0" w:name="_GoBack"/>
            <w:bookmarkEnd w:id="0"/>
            <w:r w:rsidR="00856701" w:rsidRPr="00856701">
              <w:rPr>
                <w:rFonts w:ascii="Arial" w:hAnsi="Arial"/>
                <w:b w:val="0"/>
                <w:bCs/>
                <w:sz w:val="22"/>
                <w:szCs w:val="22"/>
                <w:highlight w:val="yellow"/>
              </w:rPr>
              <w:t>.2023</w:t>
            </w:r>
          </w:p>
          <w:p w14:paraId="36CFB843" w14:textId="6629A894" w:rsidR="002752FC" w:rsidRPr="00E52D72" w:rsidRDefault="002453DE" w:rsidP="00856701">
            <w:pPr>
              <w:pStyle w:val="WeisungKopfteil"/>
              <w:spacing w:before="120" w:after="0"/>
              <w:jc w:val="right"/>
              <w:rPr>
                <w:rFonts w:ascii="Arial" w:hAnsi="Arial"/>
                <w:b w:val="0"/>
                <w:bCs/>
                <w:sz w:val="22"/>
                <w:szCs w:val="22"/>
              </w:rPr>
            </w:pPr>
            <w:r>
              <w:rPr>
                <w:rFonts w:ascii="Arial" w:hAnsi="Arial"/>
                <w:b w:val="0"/>
                <w:bCs/>
                <w:sz w:val="22"/>
                <w:szCs w:val="22"/>
              </w:rPr>
              <w:t xml:space="preserve">ersetzt: </w:t>
            </w:r>
            <w:r w:rsidR="00856701">
              <w:rPr>
                <w:rFonts w:ascii="Arial" w:hAnsi="Arial"/>
                <w:b w:val="0"/>
                <w:bCs/>
                <w:sz w:val="22"/>
                <w:szCs w:val="22"/>
              </w:rPr>
              <w:t>01.03.2022</w:t>
            </w:r>
          </w:p>
        </w:tc>
      </w:tr>
      <w:tr w:rsidR="002752FC" w:rsidRPr="00DD25DA" w14:paraId="296A442A"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03D8A623" w14:textId="77777777" w:rsidR="002752FC" w:rsidRPr="002B0622" w:rsidRDefault="002752FC" w:rsidP="002752FC">
            <w:pPr>
              <w:pStyle w:val="WeisungKopfteil"/>
              <w:spacing w:before="120" w:after="120"/>
              <w:rPr>
                <w:b w:val="0"/>
                <w:bCs/>
                <w:sz w:val="22"/>
                <w:szCs w:val="22"/>
              </w:rPr>
            </w:pPr>
            <w:r>
              <w:rPr>
                <w:rFonts w:ascii="Arial" w:hAnsi="Arial"/>
                <w:sz w:val="22"/>
                <w:szCs w:val="22"/>
              </w:rPr>
              <w:t xml:space="preserve">Aufnahmeprozess - </w:t>
            </w:r>
            <w:r w:rsidRPr="002B0622">
              <w:rPr>
                <w:rFonts w:ascii="Arial" w:hAnsi="Arial"/>
                <w:sz w:val="22"/>
                <w:szCs w:val="22"/>
              </w:rPr>
              <w:t>Zuständigkeit</w:t>
            </w:r>
            <w:r>
              <w:rPr>
                <w:rFonts w:ascii="Arial" w:hAnsi="Arial"/>
                <w:sz w:val="22"/>
                <w:szCs w:val="22"/>
              </w:rPr>
              <w:t>en</w:t>
            </w:r>
            <w:r w:rsidRPr="002B0622">
              <w:rPr>
                <w:rFonts w:ascii="Arial" w:hAnsi="Arial"/>
                <w:sz w:val="22"/>
                <w:szCs w:val="22"/>
              </w:rPr>
              <w:t xml:space="preserve"> Intake und Quartierteam</w:t>
            </w:r>
          </w:p>
        </w:tc>
      </w:tr>
    </w:tbl>
    <w:p w14:paraId="5116344A" w14:textId="4F7B59D3" w:rsidR="00CA69B8" w:rsidRPr="00CA69B8" w:rsidRDefault="001A4AEF" w:rsidP="00CA69B8">
      <w:pPr>
        <w:pStyle w:val="Inhalt"/>
        <w:rPr>
          <w:noProof/>
        </w:rPr>
      </w:pPr>
      <w:bookmarkStart w:id="1" w:name="_Toc95981520"/>
      <w:bookmarkStart w:id="2" w:name="_Toc128593894"/>
      <w:r w:rsidRPr="00D216CA">
        <w:t>Inhalt</w:t>
      </w:r>
      <w:bookmarkEnd w:id="1"/>
      <w:bookmarkEnd w:id="2"/>
      <w:r w:rsidR="00242A34" w:rsidRPr="00D216CA">
        <w:rPr>
          <w:rFonts w:cs="Arial"/>
          <w:b w:val="0"/>
          <w:caps/>
          <w:szCs w:val="22"/>
        </w:rPr>
        <w:fldChar w:fldCharType="begin"/>
      </w:r>
      <w:r w:rsidR="00242A34" w:rsidRPr="00D216CA">
        <w:rPr>
          <w:b w:val="0"/>
          <w:szCs w:val="22"/>
        </w:rPr>
        <w:instrText xml:space="preserve"> TOC \o "1-4" \h \z \u </w:instrText>
      </w:r>
      <w:r w:rsidR="00242A34" w:rsidRPr="00D216CA">
        <w:rPr>
          <w:rFonts w:cs="Arial"/>
          <w:b w:val="0"/>
          <w:caps/>
          <w:szCs w:val="22"/>
        </w:rPr>
        <w:fldChar w:fldCharType="separate"/>
      </w:r>
    </w:p>
    <w:p w14:paraId="5BE0ECD9" w14:textId="6E54CBC0" w:rsidR="00CA69B8" w:rsidRDefault="00FF10AF">
      <w:pPr>
        <w:pStyle w:val="Verzeichnis1"/>
        <w:rPr>
          <w:rFonts w:asciiTheme="minorHAnsi" w:eastAsiaTheme="minorEastAsia" w:hAnsiTheme="minorHAnsi" w:cstheme="minorBidi"/>
          <w:b w:val="0"/>
          <w:caps w:val="0"/>
          <w:noProof/>
          <w:szCs w:val="22"/>
          <w:lang w:eastAsia="de-CH"/>
        </w:rPr>
      </w:pPr>
      <w:hyperlink w:anchor="_Toc128593895" w:history="1">
        <w:r w:rsidR="00CA69B8" w:rsidRPr="00DD20D9">
          <w:rPr>
            <w:rStyle w:val="Hyperlink"/>
            <w:noProof/>
          </w:rPr>
          <w:t>1</w:t>
        </w:r>
        <w:r w:rsidR="00CA69B8">
          <w:rPr>
            <w:rFonts w:asciiTheme="minorHAnsi" w:eastAsiaTheme="minorEastAsia" w:hAnsiTheme="minorHAnsi" w:cstheme="minorBidi"/>
            <w:b w:val="0"/>
            <w:caps w:val="0"/>
            <w:noProof/>
            <w:szCs w:val="22"/>
            <w:lang w:eastAsia="de-CH"/>
          </w:rPr>
          <w:tab/>
        </w:r>
        <w:r w:rsidR="00CA69B8" w:rsidRPr="00DD20D9">
          <w:rPr>
            <w:rStyle w:val="Hyperlink"/>
            <w:noProof/>
          </w:rPr>
          <w:t>Grundsatz</w:t>
        </w:r>
        <w:r w:rsidR="00CA69B8">
          <w:rPr>
            <w:noProof/>
            <w:webHidden/>
          </w:rPr>
          <w:tab/>
        </w:r>
        <w:r w:rsidR="00CA69B8">
          <w:rPr>
            <w:noProof/>
            <w:webHidden/>
          </w:rPr>
          <w:fldChar w:fldCharType="begin"/>
        </w:r>
        <w:r w:rsidR="00CA69B8">
          <w:rPr>
            <w:noProof/>
            <w:webHidden/>
          </w:rPr>
          <w:instrText xml:space="preserve"> PAGEREF _Toc128593895 \h </w:instrText>
        </w:r>
        <w:r w:rsidR="00CA69B8">
          <w:rPr>
            <w:noProof/>
            <w:webHidden/>
          </w:rPr>
        </w:r>
        <w:r w:rsidR="00CA69B8">
          <w:rPr>
            <w:noProof/>
            <w:webHidden/>
          </w:rPr>
          <w:fldChar w:fldCharType="separate"/>
        </w:r>
        <w:r w:rsidR="00CA69B8">
          <w:rPr>
            <w:noProof/>
            <w:webHidden/>
          </w:rPr>
          <w:t>1</w:t>
        </w:r>
        <w:r w:rsidR="00CA69B8">
          <w:rPr>
            <w:noProof/>
            <w:webHidden/>
          </w:rPr>
          <w:fldChar w:fldCharType="end"/>
        </w:r>
      </w:hyperlink>
    </w:p>
    <w:p w14:paraId="5EEB253C" w14:textId="752A8D74" w:rsidR="00CA69B8" w:rsidRDefault="00FF10AF">
      <w:pPr>
        <w:pStyle w:val="Verzeichnis1"/>
        <w:rPr>
          <w:rFonts w:asciiTheme="minorHAnsi" w:eastAsiaTheme="minorEastAsia" w:hAnsiTheme="minorHAnsi" w:cstheme="minorBidi"/>
          <w:b w:val="0"/>
          <w:caps w:val="0"/>
          <w:noProof/>
          <w:szCs w:val="22"/>
          <w:lang w:eastAsia="de-CH"/>
        </w:rPr>
      </w:pPr>
      <w:hyperlink w:anchor="_Toc128593896" w:history="1">
        <w:r w:rsidR="00CA69B8" w:rsidRPr="00DD20D9">
          <w:rPr>
            <w:rStyle w:val="Hyperlink"/>
            <w:noProof/>
          </w:rPr>
          <w:t>2</w:t>
        </w:r>
        <w:r w:rsidR="00CA69B8">
          <w:rPr>
            <w:rFonts w:asciiTheme="minorHAnsi" w:eastAsiaTheme="minorEastAsia" w:hAnsiTheme="minorHAnsi" w:cstheme="minorBidi"/>
            <w:b w:val="0"/>
            <w:caps w:val="0"/>
            <w:noProof/>
            <w:szCs w:val="22"/>
            <w:lang w:eastAsia="de-CH"/>
          </w:rPr>
          <w:tab/>
        </w:r>
        <w:r w:rsidR="00CA69B8" w:rsidRPr="00DD20D9">
          <w:rPr>
            <w:rStyle w:val="Hyperlink"/>
            <w:noProof/>
          </w:rPr>
          <w:t>Zuständigkeiten in der WH nach SHG</w:t>
        </w:r>
        <w:r w:rsidR="00CA69B8">
          <w:rPr>
            <w:noProof/>
            <w:webHidden/>
          </w:rPr>
          <w:tab/>
        </w:r>
        <w:r w:rsidR="00CA69B8">
          <w:rPr>
            <w:noProof/>
            <w:webHidden/>
          </w:rPr>
          <w:fldChar w:fldCharType="begin"/>
        </w:r>
        <w:r w:rsidR="00CA69B8">
          <w:rPr>
            <w:noProof/>
            <w:webHidden/>
          </w:rPr>
          <w:instrText xml:space="preserve"> PAGEREF _Toc128593896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7E0057EB" w14:textId="725FA558" w:rsidR="00CA69B8" w:rsidRDefault="00FF10AF">
      <w:pPr>
        <w:pStyle w:val="Verzeichnis2"/>
        <w:rPr>
          <w:rFonts w:asciiTheme="minorHAnsi" w:eastAsiaTheme="minorEastAsia" w:hAnsiTheme="minorHAnsi" w:cstheme="minorBidi"/>
          <w:smallCaps w:val="0"/>
          <w:noProof/>
          <w:szCs w:val="22"/>
          <w:lang w:eastAsia="de-CH"/>
        </w:rPr>
      </w:pPr>
      <w:hyperlink w:anchor="_Toc128593897" w:history="1">
        <w:r w:rsidR="00CA69B8" w:rsidRPr="00DD20D9">
          <w:rPr>
            <w:rStyle w:val="Hyperlink"/>
            <w:noProof/>
          </w:rPr>
          <w:t>2.1</w:t>
        </w:r>
        <w:r w:rsidR="00CA69B8">
          <w:rPr>
            <w:rFonts w:asciiTheme="minorHAnsi" w:eastAsiaTheme="minorEastAsia" w:hAnsiTheme="minorHAnsi" w:cstheme="minorBidi"/>
            <w:smallCaps w:val="0"/>
            <w:noProof/>
            <w:szCs w:val="22"/>
            <w:lang w:eastAsia="de-CH"/>
          </w:rPr>
          <w:tab/>
        </w:r>
        <w:r w:rsidR="00CA69B8" w:rsidRPr="00DD20D9">
          <w:rPr>
            <w:rStyle w:val="Hyperlink"/>
            <w:noProof/>
          </w:rPr>
          <w:t>Intake</w:t>
        </w:r>
        <w:r w:rsidR="00CA69B8">
          <w:rPr>
            <w:noProof/>
            <w:webHidden/>
          </w:rPr>
          <w:tab/>
        </w:r>
        <w:r w:rsidR="00CA69B8">
          <w:rPr>
            <w:noProof/>
            <w:webHidden/>
          </w:rPr>
          <w:fldChar w:fldCharType="begin"/>
        </w:r>
        <w:r w:rsidR="00CA69B8">
          <w:rPr>
            <w:noProof/>
            <w:webHidden/>
          </w:rPr>
          <w:instrText xml:space="preserve"> PAGEREF _Toc128593897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6E39CC80" w14:textId="510E582F" w:rsidR="00CA69B8" w:rsidRDefault="00FF10AF">
      <w:pPr>
        <w:pStyle w:val="Verzeichnis3"/>
        <w:tabs>
          <w:tab w:val="left" w:pos="1843"/>
        </w:tabs>
        <w:rPr>
          <w:rFonts w:asciiTheme="minorHAnsi" w:eastAsiaTheme="minorEastAsia" w:hAnsiTheme="minorHAnsi" w:cstheme="minorBidi"/>
          <w:i w:val="0"/>
          <w:noProof/>
          <w:szCs w:val="22"/>
          <w:lang w:eastAsia="de-CH"/>
        </w:rPr>
      </w:pPr>
      <w:hyperlink w:anchor="_Toc128593898" w:history="1">
        <w:r w:rsidR="00CA69B8" w:rsidRPr="00DD20D9">
          <w:rPr>
            <w:rStyle w:val="Hyperlink"/>
            <w:b/>
            <w:noProof/>
          </w:rPr>
          <w:t>2.1.1</w:t>
        </w:r>
        <w:r w:rsidR="00CA69B8">
          <w:rPr>
            <w:rFonts w:asciiTheme="minorHAnsi" w:eastAsiaTheme="minorEastAsia" w:hAnsiTheme="minorHAnsi" w:cstheme="minorBidi"/>
            <w:i w:val="0"/>
            <w:noProof/>
            <w:szCs w:val="22"/>
            <w:lang w:eastAsia="de-CH"/>
          </w:rPr>
          <w:tab/>
        </w:r>
        <w:r w:rsidR="00CA69B8" w:rsidRPr="00DD20D9">
          <w:rPr>
            <w:rStyle w:val="Hyperlink"/>
            <w:b/>
            <w:noProof/>
          </w:rPr>
          <w:t>Vorgehen bei Neu- und Wiederanmeldungen WH ohne vorgängige oder laufende Anhängigkeit in einem QT</w:t>
        </w:r>
        <w:r w:rsidR="00CA69B8">
          <w:rPr>
            <w:noProof/>
            <w:webHidden/>
          </w:rPr>
          <w:tab/>
        </w:r>
        <w:r w:rsidR="00CA69B8">
          <w:rPr>
            <w:noProof/>
            <w:webHidden/>
          </w:rPr>
          <w:fldChar w:fldCharType="begin"/>
        </w:r>
        <w:r w:rsidR="00CA69B8">
          <w:rPr>
            <w:noProof/>
            <w:webHidden/>
          </w:rPr>
          <w:instrText xml:space="preserve"> PAGEREF _Toc128593898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3A674DB3" w14:textId="0482CC7E"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899" w:history="1">
        <w:r w:rsidR="00CA69B8" w:rsidRPr="00DD20D9">
          <w:rPr>
            <w:rStyle w:val="Hyperlink"/>
            <w:noProof/>
          </w:rPr>
          <w:t>2.1.1.1</w:t>
        </w:r>
        <w:r w:rsidR="00CA69B8">
          <w:rPr>
            <w:rFonts w:asciiTheme="minorHAnsi" w:eastAsiaTheme="minorEastAsia" w:hAnsiTheme="minorHAnsi" w:cstheme="minorBidi"/>
            <w:noProof/>
            <w:szCs w:val="22"/>
            <w:lang w:eastAsia="de-CH"/>
          </w:rPr>
          <w:tab/>
        </w:r>
        <w:r w:rsidR="00CA69B8" w:rsidRPr="00DD20D9">
          <w:rPr>
            <w:rStyle w:val="Hyperlink"/>
            <w:noProof/>
          </w:rPr>
          <w:t>Vorgehen Anspruchsklärung WH bei persönlicher Neu- oder Wiederanmeldung durch KL</w:t>
        </w:r>
        <w:r w:rsidR="00CA69B8">
          <w:rPr>
            <w:noProof/>
            <w:webHidden/>
          </w:rPr>
          <w:tab/>
        </w:r>
        <w:r w:rsidR="00CA69B8">
          <w:rPr>
            <w:noProof/>
            <w:webHidden/>
          </w:rPr>
          <w:fldChar w:fldCharType="begin"/>
        </w:r>
        <w:r w:rsidR="00CA69B8">
          <w:rPr>
            <w:noProof/>
            <w:webHidden/>
          </w:rPr>
          <w:instrText xml:space="preserve"> PAGEREF _Toc128593899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281CA7F7" w14:textId="154E45D2"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900" w:history="1">
        <w:r w:rsidR="00CA69B8" w:rsidRPr="00DD20D9">
          <w:rPr>
            <w:rStyle w:val="Hyperlink"/>
            <w:noProof/>
          </w:rPr>
          <w:t>2.1.1.2</w:t>
        </w:r>
        <w:r w:rsidR="00CA69B8">
          <w:rPr>
            <w:rFonts w:asciiTheme="minorHAnsi" w:eastAsiaTheme="minorEastAsia" w:hAnsiTheme="minorHAnsi" w:cstheme="minorBidi"/>
            <w:noProof/>
            <w:szCs w:val="22"/>
            <w:lang w:eastAsia="de-CH"/>
          </w:rPr>
          <w:tab/>
        </w:r>
        <w:r w:rsidR="00CA69B8" w:rsidRPr="00DD20D9">
          <w:rPr>
            <w:rStyle w:val="Hyperlink"/>
            <w:noProof/>
          </w:rPr>
          <w:t>Vorgehen bei Anmeldung aus (geschlossenen) Institutionen</w:t>
        </w:r>
        <w:r w:rsidR="00CA69B8">
          <w:rPr>
            <w:noProof/>
            <w:webHidden/>
          </w:rPr>
          <w:tab/>
        </w:r>
        <w:r w:rsidR="00CA69B8">
          <w:rPr>
            <w:noProof/>
            <w:webHidden/>
          </w:rPr>
          <w:fldChar w:fldCharType="begin"/>
        </w:r>
        <w:r w:rsidR="00CA69B8">
          <w:rPr>
            <w:noProof/>
            <w:webHidden/>
          </w:rPr>
          <w:instrText xml:space="preserve"> PAGEREF _Toc128593900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6E6483B2" w14:textId="29FE2170"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901" w:history="1">
        <w:r w:rsidR="00CA69B8" w:rsidRPr="00DD20D9">
          <w:rPr>
            <w:rStyle w:val="Hyperlink"/>
            <w:noProof/>
          </w:rPr>
          <w:t>2.1.1.3</w:t>
        </w:r>
        <w:r w:rsidR="00CA69B8">
          <w:rPr>
            <w:rFonts w:asciiTheme="minorHAnsi" w:eastAsiaTheme="minorEastAsia" w:hAnsiTheme="minorHAnsi" w:cstheme="minorBidi"/>
            <w:noProof/>
            <w:szCs w:val="22"/>
            <w:lang w:eastAsia="de-CH"/>
          </w:rPr>
          <w:tab/>
        </w:r>
        <w:r w:rsidR="00CA69B8" w:rsidRPr="00DD20D9">
          <w:rPr>
            <w:rStyle w:val="Hyperlink"/>
            <w:noProof/>
          </w:rPr>
          <w:t>Vorgehen bei Übergabe von Fällen der AOZ</w:t>
        </w:r>
        <w:r w:rsidR="00CA69B8">
          <w:rPr>
            <w:noProof/>
            <w:webHidden/>
          </w:rPr>
          <w:tab/>
        </w:r>
        <w:r w:rsidR="00CA69B8">
          <w:rPr>
            <w:noProof/>
            <w:webHidden/>
          </w:rPr>
          <w:fldChar w:fldCharType="begin"/>
        </w:r>
        <w:r w:rsidR="00CA69B8">
          <w:rPr>
            <w:noProof/>
            <w:webHidden/>
          </w:rPr>
          <w:instrText xml:space="preserve"> PAGEREF _Toc128593901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211D431F" w14:textId="57217FFF" w:rsidR="00CA69B8" w:rsidRDefault="00FF10AF">
      <w:pPr>
        <w:pStyle w:val="Verzeichnis3"/>
        <w:tabs>
          <w:tab w:val="left" w:pos="1843"/>
        </w:tabs>
        <w:rPr>
          <w:rFonts w:asciiTheme="minorHAnsi" w:eastAsiaTheme="minorEastAsia" w:hAnsiTheme="minorHAnsi" w:cstheme="minorBidi"/>
          <w:i w:val="0"/>
          <w:noProof/>
          <w:szCs w:val="22"/>
          <w:lang w:eastAsia="de-CH"/>
        </w:rPr>
      </w:pPr>
      <w:hyperlink w:anchor="_Toc128593902" w:history="1">
        <w:r w:rsidR="00CA69B8" w:rsidRPr="00DD20D9">
          <w:rPr>
            <w:rStyle w:val="Hyperlink"/>
            <w:b/>
            <w:noProof/>
          </w:rPr>
          <w:t>2.1.2</w:t>
        </w:r>
        <w:r w:rsidR="00CA69B8">
          <w:rPr>
            <w:rFonts w:asciiTheme="minorHAnsi" w:eastAsiaTheme="minorEastAsia" w:hAnsiTheme="minorHAnsi" w:cstheme="minorBidi"/>
            <w:i w:val="0"/>
            <w:noProof/>
            <w:szCs w:val="22"/>
            <w:lang w:eastAsia="de-CH"/>
          </w:rPr>
          <w:tab/>
        </w:r>
        <w:r w:rsidR="00CA69B8" w:rsidRPr="00DD20D9">
          <w:rPr>
            <w:rStyle w:val="Hyperlink"/>
            <w:b/>
            <w:noProof/>
          </w:rPr>
          <w:t>Vorgehen bei Neu- und Wiederanmeldungen WH mit vorgängiger oder laufender Anhängigkeit in einem QT</w:t>
        </w:r>
        <w:r w:rsidR="00CA69B8">
          <w:rPr>
            <w:noProof/>
            <w:webHidden/>
          </w:rPr>
          <w:tab/>
        </w:r>
        <w:r w:rsidR="00CA69B8">
          <w:rPr>
            <w:noProof/>
            <w:webHidden/>
          </w:rPr>
          <w:fldChar w:fldCharType="begin"/>
        </w:r>
        <w:r w:rsidR="00CA69B8">
          <w:rPr>
            <w:noProof/>
            <w:webHidden/>
          </w:rPr>
          <w:instrText xml:space="preserve"> PAGEREF _Toc128593902 \h </w:instrText>
        </w:r>
        <w:r w:rsidR="00CA69B8">
          <w:rPr>
            <w:noProof/>
            <w:webHidden/>
          </w:rPr>
        </w:r>
        <w:r w:rsidR="00CA69B8">
          <w:rPr>
            <w:noProof/>
            <w:webHidden/>
          </w:rPr>
          <w:fldChar w:fldCharType="separate"/>
        </w:r>
        <w:r w:rsidR="00CA69B8">
          <w:rPr>
            <w:noProof/>
            <w:webHidden/>
          </w:rPr>
          <w:t>2</w:t>
        </w:r>
        <w:r w:rsidR="00CA69B8">
          <w:rPr>
            <w:noProof/>
            <w:webHidden/>
          </w:rPr>
          <w:fldChar w:fldCharType="end"/>
        </w:r>
      </w:hyperlink>
    </w:p>
    <w:p w14:paraId="7AA4AEAF" w14:textId="69DACA9B"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903" w:history="1">
        <w:r w:rsidR="00CA69B8" w:rsidRPr="00DD20D9">
          <w:rPr>
            <w:rStyle w:val="Hyperlink"/>
            <w:noProof/>
          </w:rPr>
          <w:t>2.1.2.1</w:t>
        </w:r>
        <w:r w:rsidR="00CA69B8">
          <w:rPr>
            <w:rFonts w:asciiTheme="minorHAnsi" w:eastAsiaTheme="minorEastAsia" w:hAnsiTheme="minorHAnsi" w:cstheme="minorBidi"/>
            <w:noProof/>
            <w:szCs w:val="22"/>
            <w:lang w:eastAsia="de-CH"/>
          </w:rPr>
          <w:tab/>
        </w:r>
        <w:r w:rsidR="00CA69B8" w:rsidRPr="00DD20D9">
          <w:rPr>
            <w:rStyle w:val="Hyperlink"/>
            <w:noProof/>
          </w:rPr>
          <w:t>Vorgehen bei Wiederanmeldung (letzter Unterstützungsmonat liegt mehr als drei Monate zurück)</w:t>
        </w:r>
        <w:r w:rsidR="00CA69B8">
          <w:rPr>
            <w:noProof/>
            <w:webHidden/>
          </w:rPr>
          <w:tab/>
        </w:r>
        <w:r w:rsidR="00CA69B8">
          <w:rPr>
            <w:noProof/>
            <w:webHidden/>
          </w:rPr>
          <w:fldChar w:fldCharType="begin"/>
        </w:r>
        <w:r w:rsidR="00CA69B8">
          <w:rPr>
            <w:noProof/>
            <w:webHidden/>
          </w:rPr>
          <w:instrText xml:space="preserve"> PAGEREF _Toc128593903 \h </w:instrText>
        </w:r>
        <w:r w:rsidR="00CA69B8">
          <w:rPr>
            <w:noProof/>
            <w:webHidden/>
          </w:rPr>
        </w:r>
        <w:r w:rsidR="00CA69B8">
          <w:rPr>
            <w:noProof/>
            <w:webHidden/>
          </w:rPr>
          <w:fldChar w:fldCharType="separate"/>
        </w:r>
        <w:r w:rsidR="00CA69B8">
          <w:rPr>
            <w:noProof/>
            <w:webHidden/>
          </w:rPr>
          <w:t>3</w:t>
        </w:r>
        <w:r w:rsidR="00CA69B8">
          <w:rPr>
            <w:noProof/>
            <w:webHidden/>
          </w:rPr>
          <w:fldChar w:fldCharType="end"/>
        </w:r>
      </w:hyperlink>
    </w:p>
    <w:p w14:paraId="1ACE7925" w14:textId="1401438E"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904" w:history="1">
        <w:r w:rsidR="00CA69B8" w:rsidRPr="00DD20D9">
          <w:rPr>
            <w:rStyle w:val="Hyperlink"/>
            <w:noProof/>
          </w:rPr>
          <w:t>2.1.2.2</w:t>
        </w:r>
        <w:r w:rsidR="00CA69B8">
          <w:rPr>
            <w:rFonts w:asciiTheme="minorHAnsi" w:eastAsiaTheme="minorEastAsia" w:hAnsiTheme="minorHAnsi" w:cstheme="minorBidi"/>
            <w:noProof/>
            <w:szCs w:val="22"/>
            <w:lang w:eastAsia="de-CH"/>
          </w:rPr>
          <w:tab/>
        </w:r>
        <w:r w:rsidR="00CA69B8" w:rsidRPr="00DD20D9">
          <w:rPr>
            <w:rStyle w:val="Hyperlink"/>
            <w:noProof/>
          </w:rPr>
          <w:t>Vorgehen bei Dossiers mit Erwachsenen- und Kinderschutzmassnahmen bei welchen Antrag auf WH gestellt wird</w:t>
        </w:r>
        <w:r w:rsidR="00CA69B8">
          <w:rPr>
            <w:noProof/>
            <w:webHidden/>
          </w:rPr>
          <w:tab/>
        </w:r>
        <w:r w:rsidR="00CA69B8">
          <w:rPr>
            <w:noProof/>
            <w:webHidden/>
          </w:rPr>
          <w:fldChar w:fldCharType="begin"/>
        </w:r>
        <w:r w:rsidR="00CA69B8">
          <w:rPr>
            <w:noProof/>
            <w:webHidden/>
          </w:rPr>
          <w:instrText xml:space="preserve"> PAGEREF _Toc128593904 \h </w:instrText>
        </w:r>
        <w:r w:rsidR="00CA69B8">
          <w:rPr>
            <w:noProof/>
            <w:webHidden/>
          </w:rPr>
        </w:r>
        <w:r w:rsidR="00CA69B8">
          <w:rPr>
            <w:noProof/>
            <w:webHidden/>
          </w:rPr>
          <w:fldChar w:fldCharType="separate"/>
        </w:r>
        <w:r w:rsidR="00CA69B8">
          <w:rPr>
            <w:noProof/>
            <w:webHidden/>
          </w:rPr>
          <w:t>3</w:t>
        </w:r>
        <w:r w:rsidR="00CA69B8">
          <w:rPr>
            <w:noProof/>
            <w:webHidden/>
          </w:rPr>
          <w:fldChar w:fldCharType="end"/>
        </w:r>
      </w:hyperlink>
    </w:p>
    <w:p w14:paraId="7E0A46CC" w14:textId="52F7DB69" w:rsidR="00CA69B8" w:rsidRDefault="00FF10AF">
      <w:pPr>
        <w:pStyle w:val="Verzeichnis4"/>
        <w:tabs>
          <w:tab w:val="left" w:pos="2027"/>
        </w:tabs>
        <w:rPr>
          <w:rFonts w:asciiTheme="minorHAnsi" w:eastAsiaTheme="minorEastAsia" w:hAnsiTheme="minorHAnsi" w:cstheme="minorBidi"/>
          <w:noProof/>
          <w:szCs w:val="22"/>
          <w:lang w:eastAsia="de-CH"/>
        </w:rPr>
      </w:pPr>
      <w:hyperlink w:anchor="_Toc128593905" w:history="1">
        <w:r w:rsidR="00CA69B8" w:rsidRPr="00DD20D9">
          <w:rPr>
            <w:rStyle w:val="Hyperlink"/>
            <w:noProof/>
          </w:rPr>
          <w:t>2.1.2.3</w:t>
        </w:r>
        <w:r w:rsidR="00CA69B8">
          <w:rPr>
            <w:rFonts w:asciiTheme="minorHAnsi" w:eastAsiaTheme="minorEastAsia" w:hAnsiTheme="minorHAnsi" w:cstheme="minorBidi"/>
            <w:noProof/>
            <w:szCs w:val="22"/>
            <w:lang w:eastAsia="de-CH"/>
          </w:rPr>
          <w:tab/>
        </w:r>
        <w:r w:rsidR="00CA69B8" w:rsidRPr="00DD20D9">
          <w:rPr>
            <w:rStyle w:val="Hyperlink"/>
            <w:noProof/>
          </w:rPr>
          <w:t>Vorgehen bei Erreichen der Volljährigkeit</w:t>
        </w:r>
        <w:r w:rsidR="00CA69B8">
          <w:rPr>
            <w:noProof/>
            <w:webHidden/>
          </w:rPr>
          <w:tab/>
        </w:r>
        <w:r w:rsidR="00CA69B8">
          <w:rPr>
            <w:noProof/>
            <w:webHidden/>
          </w:rPr>
          <w:fldChar w:fldCharType="begin"/>
        </w:r>
        <w:r w:rsidR="00CA69B8">
          <w:rPr>
            <w:noProof/>
            <w:webHidden/>
          </w:rPr>
          <w:instrText xml:space="preserve"> PAGEREF _Toc128593905 \h </w:instrText>
        </w:r>
        <w:r w:rsidR="00CA69B8">
          <w:rPr>
            <w:noProof/>
            <w:webHidden/>
          </w:rPr>
        </w:r>
        <w:r w:rsidR="00CA69B8">
          <w:rPr>
            <w:noProof/>
            <w:webHidden/>
          </w:rPr>
          <w:fldChar w:fldCharType="separate"/>
        </w:r>
        <w:r w:rsidR="00CA69B8">
          <w:rPr>
            <w:noProof/>
            <w:webHidden/>
          </w:rPr>
          <w:t>3</w:t>
        </w:r>
        <w:r w:rsidR="00CA69B8">
          <w:rPr>
            <w:noProof/>
            <w:webHidden/>
          </w:rPr>
          <w:fldChar w:fldCharType="end"/>
        </w:r>
      </w:hyperlink>
    </w:p>
    <w:p w14:paraId="6B4AEF73" w14:textId="1406E8EB" w:rsidR="00CA69B8" w:rsidRDefault="00FF10AF">
      <w:pPr>
        <w:pStyle w:val="Verzeichnis2"/>
        <w:rPr>
          <w:rFonts w:asciiTheme="minorHAnsi" w:eastAsiaTheme="minorEastAsia" w:hAnsiTheme="minorHAnsi" w:cstheme="minorBidi"/>
          <w:smallCaps w:val="0"/>
          <w:noProof/>
          <w:szCs w:val="22"/>
          <w:lang w:eastAsia="de-CH"/>
        </w:rPr>
      </w:pPr>
      <w:hyperlink w:anchor="_Toc128593906" w:history="1">
        <w:r w:rsidR="00CA69B8" w:rsidRPr="00DD20D9">
          <w:rPr>
            <w:rStyle w:val="Hyperlink"/>
            <w:noProof/>
          </w:rPr>
          <w:t>2.2</w:t>
        </w:r>
        <w:r w:rsidR="00CA69B8">
          <w:rPr>
            <w:rFonts w:asciiTheme="minorHAnsi" w:eastAsiaTheme="minorEastAsia" w:hAnsiTheme="minorHAnsi" w:cstheme="minorBidi"/>
            <w:smallCaps w:val="0"/>
            <w:noProof/>
            <w:szCs w:val="22"/>
            <w:lang w:eastAsia="de-CH"/>
          </w:rPr>
          <w:tab/>
        </w:r>
        <w:r w:rsidR="00CA69B8" w:rsidRPr="00DD20D9">
          <w:rPr>
            <w:rStyle w:val="Hyperlink"/>
            <w:noProof/>
          </w:rPr>
          <w:t>Quartierteam</w:t>
        </w:r>
        <w:r w:rsidR="00CA69B8">
          <w:rPr>
            <w:noProof/>
            <w:webHidden/>
          </w:rPr>
          <w:tab/>
        </w:r>
        <w:r w:rsidR="00CA69B8">
          <w:rPr>
            <w:noProof/>
            <w:webHidden/>
          </w:rPr>
          <w:fldChar w:fldCharType="begin"/>
        </w:r>
        <w:r w:rsidR="00CA69B8">
          <w:rPr>
            <w:noProof/>
            <w:webHidden/>
          </w:rPr>
          <w:instrText xml:space="preserve"> PAGEREF _Toc128593906 \h </w:instrText>
        </w:r>
        <w:r w:rsidR="00CA69B8">
          <w:rPr>
            <w:noProof/>
            <w:webHidden/>
          </w:rPr>
        </w:r>
        <w:r w:rsidR="00CA69B8">
          <w:rPr>
            <w:noProof/>
            <w:webHidden/>
          </w:rPr>
          <w:fldChar w:fldCharType="separate"/>
        </w:r>
        <w:r w:rsidR="00CA69B8">
          <w:rPr>
            <w:noProof/>
            <w:webHidden/>
          </w:rPr>
          <w:t>3</w:t>
        </w:r>
        <w:r w:rsidR="00CA69B8">
          <w:rPr>
            <w:noProof/>
            <w:webHidden/>
          </w:rPr>
          <w:fldChar w:fldCharType="end"/>
        </w:r>
      </w:hyperlink>
    </w:p>
    <w:p w14:paraId="34D10BFC" w14:textId="405D7A98" w:rsidR="00CA69B8" w:rsidRDefault="00FF10AF">
      <w:pPr>
        <w:pStyle w:val="Verzeichnis1"/>
        <w:rPr>
          <w:rFonts w:asciiTheme="minorHAnsi" w:eastAsiaTheme="minorEastAsia" w:hAnsiTheme="minorHAnsi" w:cstheme="minorBidi"/>
          <w:b w:val="0"/>
          <w:caps w:val="0"/>
          <w:noProof/>
          <w:szCs w:val="22"/>
          <w:lang w:eastAsia="de-CH"/>
        </w:rPr>
      </w:pPr>
      <w:hyperlink w:anchor="_Toc128593907" w:history="1">
        <w:r w:rsidR="00CA69B8" w:rsidRPr="00DD20D9">
          <w:rPr>
            <w:rStyle w:val="Hyperlink"/>
            <w:noProof/>
          </w:rPr>
          <w:t>3</w:t>
        </w:r>
        <w:r w:rsidR="00CA69B8">
          <w:rPr>
            <w:rFonts w:asciiTheme="minorHAnsi" w:eastAsiaTheme="minorEastAsia" w:hAnsiTheme="minorHAnsi" w:cstheme="minorBidi"/>
            <w:b w:val="0"/>
            <w:caps w:val="0"/>
            <w:noProof/>
            <w:szCs w:val="22"/>
            <w:lang w:eastAsia="de-CH"/>
          </w:rPr>
          <w:tab/>
        </w:r>
        <w:r w:rsidR="00CA69B8" w:rsidRPr="00DD20D9">
          <w:rPr>
            <w:rStyle w:val="Hyperlink"/>
            <w:noProof/>
          </w:rPr>
          <w:t>Zuständigkeiten in der Persönlichen Hilfe nach SHG und Beratungsleistungen nach KESR und KJHG</w:t>
        </w:r>
        <w:r w:rsidR="00CA69B8">
          <w:rPr>
            <w:noProof/>
            <w:webHidden/>
          </w:rPr>
          <w:tab/>
        </w:r>
        <w:r w:rsidR="00CA69B8">
          <w:rPr>
            <w:noProof/>
            <w:webHidden/>
          </w:rPr>
          <w:fldChar w:fldCharType="begin"/>
        </w:r>
        <w:r w:rsidR="00CA69B8">
          <w:rPr>
            <w:noProof/>
            <w:webHidden/>
          </w:rPr>
          <w:instrText xml:space="preserve"> PAGEREF _Toc128593907 \h </w:instrText>
        </w:r>
        <w:r w:rsidR="00CA69B8">
          <w:rPr>
            <w:noProof/>
            <w:webHidden/>
          </w:rPr>
        </w:r>
        <w:r w:rsidR="00CA69B8">
          <w:rPr>
            <w:noProof/>
            <w:webHidden/>
          </w:rPr>
          <w:fldChar w:fldCharType="separate"/>
        </w:r>
        <w:r w:rsidR="00CA69B8">
          <w:rPr>
            <w:noProof/>
            <w:webHidden/>
          </w:rPr>
          <w:t>4</w:t>
        </w:r>
        <w:r w:rsidR="00CA69B8">
          <w:rPr>
            <w:noProof/>
            <w:webHidden/>
          </w:rPr>
          <w:fldChar w:fldCharType="end"/>
        </w:r>
      </w:hyperlink>
    </w:p>
    <w:p w14:paraId="34326910" w14:textId="37238CAD" w:rsidR="006C01A4" w:rsidRDefault="00242A34" w:rsidP="00997A0C">
      <w:pPr>
        <w:pStyle w:val="berschrift1"/>
      </w:pPr>
      <w:r w:rsidRPr="00D216CA">
        <w:rPr>
          <w:szCs w:val="22"/>
        </w:rPr>
        <w:fldChar w:fldCharType="end"/>
      </w:r>
      <w:bookmarkStart w:id="3" w:name="_Toc128593895"/>
      <w:r w:rsidR="0019051F" w:rsidRPr="00DD25DA">
        <w:t>Grundsatz</w:t>
      </w:r>
      <w:bookmarkEnd w:id="3"/>
    </w:p>
    <w:p w14:paraId="0CF55DB0" w14:textId="4D182C87" w:rsidR="00182981" w:rsidRDefault="00380B40" w:rsidP="0018298F">
      <w:pPr>
        <w:pStyle w:val="Absatz0"/>
        <w:spacing w:line="276" w:lineRule="auto"/>
      </w:pPr>
      <w:r>
        <w:t>Das Intake ist</w:t>
      </w:r>
      <w:r w:rsidR="00DD1594">
        <w:t xml:space="preserve"> zuständig</w:t>
      </w:r>
      <w:r>
        <w:t xml:space="preserve"> für alle </w:t>
      </w:r>
      <w:r w:rsidR="00F04E41">
        <w:t>Neu</w:t>
      </w:r>
      <w:r w:rsidR="00C862B0">
        <w:t xml:space="preserve">anmeldungen </w:t>
      </w:r>
      <w:r w:rsidR="000B17B8">
        <w:t>zur persönlichen</w:t>
      </w:r>
      <w:r w:rsidR="00226F44">
        <w:t xml:space="preserve"> und </w:t>
      </w:r>
      <w:r w:rsidR="000B17B8">
        <w:t>wirtschaftlichen</w:t>
      </w:r>
      <w:r w:rsidR="00DD1594">
        <w:t xml:space="preserve"> Hilfe </w:t>
      </w:r>
      <w:r w:rsidR="00CA69B8">
        <w:t xml:space="preserve">(WH) </w:t>
      </w:r>
      <w:r w:rsidR="00DD1594">
        <w:t xml:space="preserve">gemäss </w:t>
      </w:r>
      <w:r w:rsidR="000B17B8">
        <w:t>Sozialhilfegesetz (SHG)</w:t>
      </w:r>
      <w:r w:rsidR="00DD1594">
        <w:t xml:space="preserve"> sowie bei </w:t>
      </w:r>
      <w:r w:rsidR="00C136C0">
        <w:t>W</w:t>
      </w:r>
      <w:r w:rsidR="009E7627">
        <w:t>i</w:t>
      </w:r>
      <w:r w:rsidR="00C136C0">
        <w:t>e</w:t>
      </w:r>
      <w:r w:rsidR="00CA69B8">
        <w:t xml:space="preserve">deranmeldungen zur WH </w:t>
      </w:r>
      <w:r w:rsidR="00C862B0">
        <w:t xml:space="preserve">bei welchen </w:t>
      </w:r>
      <w:r w:rsidR="00177F82">
        <w:t>der letzte Unterstützungsmonat m</w:t>
      </w:r>
      <w:r w:rsidR="002C7D70">
        <w:t>ehr als drei Monate zurückliegt. Meldet sich ei</w:t>
      </w:r>
      <w:r w:rsidR="00A93ABB">
        <w:t xml:space="preserve">n*e Klient*in (KL) </w:t>
      </w:r>
      <w:r w:rsidR="002C7D70">
        <w:t xml:space="preserve"> neu </w:t>
      </w:r>
      <w:r w:rsidR="00F04E41">
        <w:t xml:space="preserve">oder wieder </w:t>
      </w:r>
      <w:r w:rsidR="002C7D70">
        <w:t>an, findet unmittelbar (</w:t>
      </w:r>
      <w:r w:rsidR="00CA481A">
        <w:t xml:space="preserve">längstens </w:t>
      </w:r>
      <w:r w:rsidR="002C7D70">
        <w:t>i</w:t>
      </w:r>
      <w:r w:rsidR="00F04E41">
        <w:t>n</w:t>
      </w:r>
      <w:r w:rsidR="002C7D70">
        <w:t xml:space="preserve">nerhalb eines Arbeitstages) das Orientierungsgespräch </w:t>
      </w:r>
      <w:r w:rsidR="00C862B0">
        <w:t xml:space="preserve">mit </w:t>
      </w:r>
      <w:r w:rsidR="00A93ABB">
        <w:t>einem*einer Sozialarbeiter*in (SA)</w:t>
      </w:r>
      <w:r w:rsidR="00C862B0">
        <w:t xml:space="preserve"> statt,</w:t>
      </w:r>
      <w:r w:rsidR="002C7D70">
        <w:t xml:space="preserve"> in</w:t>
      </w:r>
      <w:r w:rsidR="00CA481A">
        <w:t xml:space="preserve"> </w:t>
      </w:r>
      <w:r w:rsidR="002C7D70">
        <w:t xml:space="preserve">welchem die </w:t>
      </w:r>
      <w:r w:rsidR="00C862B0">
        <w:t>notwendigen Leistungen ermittelt werden.</w:t>
      </w:r>
      <w:r w:rsidR="00E30C25">
        <w:t xml:space="preserve"> </w:t>
      </w:r>
      <w:r>
        <w:t xml:space="preserve">In der Regel werden </w:t>
      </w:r>
      <w:r w:rsidR="00CA481A">
        <w:t>Dos</w:t>
      </w:r>
      <w:r w:rsidR="00952CD8">
        <w:t>s</w:t>
      </w:r>
      <w:r w:rsidR="00CA481A">
        <w:t xml:space="preserve">iers </w:t>
      </w:r>
      <w:r>
        <w:t>bis</w:t>
      </w:r>
      <w:r w:rsidR="00CA481A">
        <w:t xml:space="preserve"> </w:t>
      </w:r>
      <w:r w:rsidR="00177F82">
        <w:t xml:space="preserve">maximal </w:t>
      </w:r>
      <w:r w:rsidR="00C862B0">
        <w:t xml:space="preserve">sechs </w:t>
      </w:r>
      <w:r>
        <w:t>Mona</w:t>
      </w:r>
      <w:r w:rsidR="005B3A1C">
        <w:t xml:space="preserve">te in den </w:t>
      </w:r>
      <w:proofErr w:type="spellStart"/>
      <w:r w:rsidR="005B3A1C">
        <w:t>Intakes</w:t>
      </w:r>
      <w:proofErr w:type="spellEnd"/>
      <w:r w:rsidR="005B3A1C">
        <w:t xml:space="preserve"> geführt.</w:t>
      </w:r>
      <w:r w:rsidR="002C7D70">
        <w:t xml:space="preserve"> Ist </w:t>
      </w:r>
      <w:r w:rsidR="00CA481A">
        <w:t xml:space="preserve">es </w:t>
      </w:r>
      <w:r w:rsidR="002C7D70">
        <w:t xml:space="preserve">absehbar, </w:t>
      </w:r>
      <w:r>
        <w:t xml:space="preserve">dass ein </w:t>
      </w:r>
      <w:r w:rsidR="00CA481A">
        <w:t xml:space="preserve">Dossier </w:t>
      </w:r>
      <w:r>
        <w:t xml:space="preserve">innerhalb von </w:t>
      </w:r>
      <w:r w:rsidR="00C862B0">
        <w:t>sechs</w:t>
      </w:r>
      <w:r>
        <w:t xml:space="preserve"> Monaten abgeschlossen werden kann, </w:t>
      </w:r>
      <w:r w:rsidR="002C7D70">
        <w:t>ver</w:t>
      </w:r>
      <w:r w:rsidR="00177F82">
        <w:t xml:space="preserve">bleibt </w:t>
      </w:r>
      <w:r w:rsidR="00CA481A">
        <w:t>es</w:t>
      </w:r>
      <w:r w:rsidR="00177F82">
        <w:t xml:space="preserve"> bis zum Abschluss im Intake.</w:t>
      </w:r>
      <w:r w:rsidR="00DD1594">
        <w:t xml:space="preserve"> Andernfalls wird es ans sozialräumlich zuständige Quartierteam</w:t>
      </w:r>
      <w:r w:rsidR="000B17B8">
        <w:t xml:space="preserve"> (QT)</w:t>
      </w:r>
      <w:r w:rsidR="00DD1594">
        <w:t xml:space="preserve"> übergeben.</w:t>
      </w:r>
    </w:p>
    <w:p w14:paraId="3C17D85E" w14:textId="676918DB" w:rsidR="00E474D0" w:rsidRDefault="00E474D0" w:rsidP="0018298F">
      <w:pPr>
        <w:pStyle w:val="Absatz0"/>
        <w:spacing w:line="276" w:lineRule="auto"/>
      </w:pPr>
      <w:r>
        <w:t xml:space="preserve">Die </w:t>
      </w:r>
      <w:r w:rsidRPr="00BE34AD">
        <w:rPr>
          <w:szCs w:val="22"/>
        </w:rPr>
        <w:t xml:space="preserve">allgemeinen Grundlagen zum Aufnahmeprozess sind in der </w:t>
      </w:r>
      <w:hyperlink r:id="rId14" w:tgtFrame="_blank" w:history="1">
        <w:r w:rsidR="00BE34AD" w:rsidRPr="00BE34AD">
          <w:rPr>
            <w:rStyle w:val="Hyperlink"/>
            <w:szCs w:val="22"/>
            <w:lang w:val="de-DE"/>
          </w:rPr>
          <w:t>HAW Aufnahmeprozess – Grundlagen</w:t>
        </w:r>
      </w:hyperlink>
      <w:r w:rsidR="00BE34AD" w:rsidRPr="00BE34AD">
        <w:rPr>
          <w:szCs w:val="22"/>
        </w:rPr>
        <w:t xml:space="preserve"> </w:t>
      </w:r>
      <w:r w:rsidRPr="00BE34AD">
        <w:rPr>
          <w:szCs w:val="22"/>
        </w:rPr>
        <w:t>festgehalten.</w:t>
      </w:r>
    </w:p>
    <w:p w14:paraId="79D46729" w14:textId="77777777" w:rsidR="00997A0C" w:rsidRDefault="00997A0C" w:rsidP="000B17B8">
      <w:pPr>
        <w:pStyle w:val="Absatz0"/>
      </w:pPr>
    </w:p>
    <w:p w14:paraId="64868801" w14:textId="77777777" w:rsidR="00380B40" w:rsidRPr="005D70FF" w:rsidRDefault="00380B40" w:rsidP="000B17B8">
      <w:pPr>
        <w:pStyle w:val="Absatz0"/>
        <w:rPr>
          <w:szCs w:val="22"/>
        </w:rPr>
      </w:pPr>
    </w:p>
    <w:p w14:paraId="181C6ECC" w14:textId="4C464FA6" w:rsidR="009C79FE" w:rsidRDefault="004B11F4" w:rsidP="00997A0C">
      <w:pPr>
        <w:pStyle w:val="berschrift1"/>
      </w:pPr>
      <w:bookmarkStart w:id="4" w:name="_Toc128593896"/>
      <w:r w:rsidRPr="00DD25DA">
        <w:lastRenderedPageBreak/>
        <w:t xml:space="preserve">Zuständigkeiten </w:t>
      </w:r>
      <w:r w:rsidR="000B17B8">
        <w:t xml:space="preserve">in der </w:t>
      </w:r>
      <w:r w:rsidR="00CA69B8">
        <w:t>WH</w:t>
      </w:r>
      <w:r w:rsidR="000B17B8">
        <w:t xml:space="preserve"> nach SHG</w:t>
      </w:r>
      <w:bookmarkEnd w:id="4"/>
    </w:p>
    <w:p w14:paraId="15D3592F" w14:textId="77777777" w:rsidR="0059532A" w:rsidRPr="00D037AC" w:rsidRDefault="0059532A" w:rsidP="000B17B8">
      <w:pPr>
        <w:pStyle w:val="Absatz0"/>
        <w:rPr>
          <w:sz w:val="2"/>
          <w:szCs w:val="2"/>
        </w:rPr>
      </w:pPr>
    </w:p>
    <w:p w14:paraId="68112814" w14:textId="77777777" w:rsidR="00C136C0" w:rsidRPr="00DD25DA" w:rsidRDefault="00A027AD" w:rsidP="00997A0C">
      <w:pPr>
        <w:pStyle w:val="berschrift2"/>
      </w:pPr>
      <w:bookmarkStart w:id="5" w:name="_Toc128593897"/>
      <w:r>
        <w:t>Intake</w:t>
      </w:r>
      <w:bookmarkEnd w:id="5"/>
    </w:p>
    <w:p w14:paraId="753B7675" w14:textId="77777777" w:rsidR="00245862" w:rsidRDefault="00FB59EF" w:rsidP="0018298F">
      <w:pPr>
        <w:pStyle w:val="Absatz0"/>
        <w:spacing w:line="276" w:lineRule="auto"/>
      </w:pPr>
      <w:r>
        <w:t>Aufgabe</w:t>
      </w:r>
      <w:r w:rsidR="00CA481A">
        <w:t xml:space="preserve">n des </w:t>
      </w:r>
      <w:proofErr w:type="spellStart"/>
      <w:r w:rsidR="00CA481A">
        <w:t>Intakes</w:t>
      </w:r>
      <w:proofErr w:type="spellEnd"/>
      <w:r w:rsidR="00CA481A">
        <w:t xml:space="preserve"> sind</w:t>
      </w:r>
      <w:r>
        <w:t>:</w:t>
      </w:r>
    </w:p>
    <w:p w14:paraId="053C55A0" w14:textId="3C0ECA76" w:rsidR="00245862" w:rsidRDefault="00E01D18" w:rsidP="0018298F">
      <w:pPr>
        <w:numPr>
          <w:ilvl w:val="0"/>
          <w:numId w:val="8"/>
        </w:numPr>
        <w:spacing w:line="276" w:lineRule="auto"/>
      </w:pPr>
      <w:r>
        <w:t>n</w:t>
      </w:r>
      <w:r w:rsidR="00245862">
        <w:t xml:space="preserve">otwendige Leistungen für </w:t>
      </w:r>
      <w:r w:rsidR="00A93ABB">
        <w:t xml:space="preserve">KL </w:t>
      </w:r>
      <w:r w:rsidR="00245862">
        <w:t>identifizieren (Orientierungsgespräch)</w:t>
      </w:r>
    </w:p>
    <w:p w14:paraId="76AD9CFC" w14:textId="77777777" w:rsidR="00CA481A" w:rsidRDefault="00952CD8" w:rsidP="0018298F">
      <w:pPr>
        <w:numPr>
          <w:ilvl w:val="0"/>
          <w:numId w:val="8"/>
        </w:numPr>
        <w:spacing w:line="276" w:lineRule="auto"/>
      </w:pPr>
      <w:r>
        <w:t>d</w:t>
      </w:r>
      <w:r w:rsidR="000807EE" w:rsidRPr="00DD25DA">
        <w:t xml:space="preserve">ie Zuständigkeit </w:t>
      </w:r>
      <w:r w:rsidR="000807EE">
        <w:t>klären</w:t>
      </w:r>
    </w:p>
    <w:p w14:paraId="7D6C62C8" w14:textId="77777777" w:rsidR="000807EE" w:rsidRDefault="00952CD8" w:rsidP="0018298F">
      <w:pPr>
        <w:numPr>
          <w:ilvl w:val="0"/>
          <w:numId w:val="8"/>
        </w:numPr>
        <w:spacing w:line="276" w:lineRule="auto"/>
      </w:pPr>
      <w:r>
        <w:t xml:space="preserve">die </w:t>
      </w:r>
      <w:r w:rsidR="000807EE" w:rsidRPr="00DD25DA">
        <w:t xml:space="preserve">Mittellosigkeit </w:t>
      </w:r>
      <w:r w:rsidR="000807EE">
        <w:t>prüfen</w:t>
      </w:r>
    </w:p>
    <w:p w14:paraId="4216A0F2" w14:textId="77777777" w:rsidR="00506128" w:rsidRPr="00DD25DA" w:rsidRDefault="00C037C5" w:rsidP="0018298F">
      <w:pPr>
        <w:numPr>
          <w:ilvl w:val="0"/>
          <w:numId w:val="8"/>
        </w:numPr>
        <w:spacing w:line="276" w:lineRule="auto"/>
      </w:pPr>
      <w:r>
        <w:t xml:space="preserve">den </w:t>
      </w:r>
      <w:r w:rsidR="00506128">
        <w:t>Unterstützungsbedarf bestimmen</w:t>
      </w:r>
    </w:p>
    <w:p w14:paraId="79293B5A" w14:textId="77777777" w:rsidR="000807EE" w:rsidRDefault="00952CD8" w:rsidP="0018298F">
      <w:pPr>
        <w:numPr>
          <w:ilvl w:val="0"/>
          <w:numId w:val="8"/>
        </w:numPr>
        <w:spacing w:line="276" w:lineRule="auto"/>
      </w:pPr>
      <w:r>
        <w:t>vorgelagerte Leistungen geltend machen</w:t>
      </w:r>
      <w:r w:rsidR="00C037C5">
        <w:t xml:space="preserve"> (Subsidiarität)</w:t>
      </w:r>
    </w:p>
    <w:p w14:paraId="3DD6EAED" w14:textId="77777777" w:rsidR="00505148" w:rsidRDefault="00505148" w:rsidP="0018298F">
      <w:pPr>
        <w:numPr>
          <w:ilvl w:val="0"/>
          <w:numId w:val="8"/>
        </w:numPr>
        <w:spacing w:line="276" w:lineRule="auto"/>
      </w:pPr>
      <w:r>
        <w:t>Teilnahmekriterien für Massnahmen zur sozialen und beruflichen Integration prüfen</w:t>
      </w:r>
    </w:p>
    <w:p w14:paraId="78FF4A0E" w14:textId="77777777" w:rsidR="00C037C5" w:rsidRDefault="00505148" w:rsidP="0018298F">
      <w:pPr>
        <w:numPr>
          <w:ilvl w:val="0"/>
          <w:numId w:val="8"/>
        </w:numPr>
        <w:spacing w:line="276" w:lineRule="auto"/>
      </w:pPr>
      <w:r>
        <w:t>Massnahmen zur sozialen und beruflichen</w:t>
      </w:r>
      <w:r w:rsidR="00506128">
        <w:t xml:space="preserve"> Integration</w:t>
      </w:r>
      <w:r>
        <w:t xml:space="preserve"> einleiten</w:t>
      </w:r>
    </w:p>
    <w:p w14:paraId="74C8F19F" w14:textId="77777777" w:rsidR="00CD15E3" w:rsidRPr="00997A0C" w:rsidRDefault="003D49B5" w:rsidP="00C87A43">
      <w:pPr>
        <w:pStyle w:val="berschrift3"/>
        <w:rPr>
          <w:b/>
        </w:rPr>
      </w:pPr>
      <w:bookmarkStart w:id="6" w:name="_Toc128593898"/>
      <w:r w:rsidRPr="00997A0C">
        <w:rPr>
          <w:b/>
        </w:rPr>
        <w:t>Vorgehen bei Neu- und Wiederanmeldungen WH</w:t>
      </w:r>
      <w:r w:rsidR="00CD15E3" w:rsidRPr="00997A0C">
        <w:rPr>
          <w:b/>
        </w:rPr>
        <w:t xml:space="preserve"> ohne vorgängige oder laufende</w:t>
      </w:r>
      <w:r w:rsidR="00A620CC" w:rsidRPr="00997A0C">
        <w:rPr>
          <w:b/>
        </w:rPr>
        <w:t xml:space="preserve"> </w:t>
      </w:r>
      <w:r w:rsidR="00CD15E3" w:rsidRPr="00997A0C">
        <w:rPr>
          <w:b/>
        </w:rPr>
        <w:t>Anhängigkeit in einem QT</w:t>
      </w:r>
      <w:bookmarkEnd w:id="6"/>
    </w:p>
    <w:p w14:paraId="5BEA4863" w14:textId="77777777" w:rsidR="007D4730" w:rsidRPr="0018298F" w:rsidRDefault="00E01D18" w:rsidP="003B396B">
      <w:pPr>
        <w:pStyle w:val="Absatz0"/>
        <w:rPr>
          <w:color w:val="FFFFFF"/>
          <w:sz w:val="2"/>
          <w:szCs w:val="2"/>
        </w:rPr>
      </w:pPr>
      <w:r w:rsidRPr="0018298F">
        <w:rPr>
          <w:color w:val="FFFFFF"/>
          <w:sz w:val="2"/>
          <w:szCs w:val="2"/>
        </w:rPr>
        <w:t>+</w:t>
      </w:r>
    </w:p>
    <w:p w14:paraId="45E7DFE5" w14:textId="2B045B72" w:rsidR="00C037C5" w:rsidRPr="00997A0C" w:rsidRDefault="00C037C5" w:rsidP="00997A0C">
      <w:pPr>
        <w:pStyle w:val="berschrift4"/>
      </w:pPr>
      <w:bookmarkStart w:id="7" w:name="_Toc128593899"/>
      <w:r w:rsidRPr="00997A0C">
        <w:t>Vorgehen Anspruchsklärung WH bei persönliche</w:t>
      </w:r>
      <w:r w:rsidR="005315B3" w:rsidRPr="00997A0C">
        <w:t>r</w:t>
      </w:r>
      <w:r w:rsidRPr="00997A0C">
        <w:t xml:space="preserve"> </w:t>
      </w:r>
      <w:r w:rsidR="00CD15E3" w:rsidRPr="00997A0C">
        <w:t>Neu- oder Wiedera</w:t>
      </w:r>
      <w:r w:rsidRPr="00997A0C">
        <w:t xml:space="preserve">nmeldung durch </w:t>
      </w:r>
      <w:r w:rsidR="00A93ABB">
        <w:t>KL</w:t>
      </w:r>
      <w:bookmarkEnd w:id="7"/>
    </w:p>
    <w:p w14:paraId="6B853D8A" w14:textId="43758EA8" w:rsidR="00C037C5" w:rsidRDefault="00C037C5" w:rsidP="0018298F">
      <w:pPr>
        <w:pStyle w:val="Absatz0"/>
        <w:spacing w:line="276" w:lineRule="auto"/>
      </w:pPr>
      <w:r>
        <w:t>Neu</w:t>
      </w:r>
      <w:r w:rsidR="00CD15E3">
        <w:t>- und Wieder</w:t>
      </w:r>
      <w:r>
        <w:t>anmeldungen fü</w:t>
      </w:r>
      <w:r w:rsidR="00CA69B8">
        <w:t xml:space="preserve">r </w:t>
      </w:r>
      <w:r>
        <w:t xml:space="preserve"> </w:t>
      </w:r>
      <w:r w:rsidR="00CA69B8">
        <w:t xml:space="preserve">ohne vorgängige WH </w:t>
      </w:r>
      <w:r w:rsidR="00CD15E3">
        <w:t xml:space="preserve">der laufende Anhängigkeit in einem QT </w:t>
      </w:r>
      <w:r>
        <w:t xml:space="preserve">erfolgen in der Regel persönlich durch </w:t>
      </w:r>
      <w:r w:rsidR="00A93ABB">
        <w:t>KL.</w:t>
      </w:r>
      <w:r>
        <w:t xml:space="preserve"> Im Rahmen des Orientierungsgespräches </w:t>
      </w:r>
      <w:r w:rsidR="00A93ABB">
        <w:t>erfassen SA</w:t>
      </w:r>
      <w:r>
        <w:t xml:space="preserve"> nebst den persönlichen Anliegen auch die finanziellen und wirtschaftlichen Verhältnisse der Antragsstellenden. Sie informieren </w:t>
      </w:r>
      <w:r w:rsidR="00AB5C5D">
        <w:t xml:space="preserve">zudem </w:t>
      </w:r>
      <w:r>
        <w:t xml:space="preserve">über die Rahmenbedingungen und Abläufe der Anspruchsklärung. Der Antrag auf </w:t>
      </w:r>
      <w:r w:rsidR="00CA69B8">
        <w:t>WH</w:t>
      </w:r>
      <w:r>
        <w:t xml:space="preserve"> wird ausgehändigt und die erforderlichen Unterlagen werden durch Abgabe einer Unterlagenliste bekannt gegeben. Nach vollständiger Abgabe d</w:t>
      </w:r>
      <w:r w:rsidR="00A93ABB">
        <w:t>er Unterlagen seitens KL</w:t>
      </w:r>
      <w:r>
        <w:t xml:space="preserve"> erfolgt innerhalb sieben Arbeitstage das Gespräch Leistungse</w:t>
      </w:r>
      <w:r w:rsidR="00A93ABB">
        <w:t>ntscheid WH, bei dem der KL</w:t>
      </w:r>
      <w:r>
        <w:t xml:space="preserve"> über den Anspruch und Unterstützung informiert wird.</w:t>
      </w:r>
    </w:p>
    <w:p w14:paraId="7196BFCE" w14:textId="77777777" w:rsidR="00C037C5" w:rsidRPr="005315B3" w:rsidRDefault="00C037C5" w:rsidP="00997A0C">
      <w:pPr>
        <w:pStyle w:val="berschrift4"/>
      </w:pPr>
      <w:bookmarkStart w:id="8" w:name="_Toc128593900"/>
      <w:r w:rsidRPr="005315B3">
        <w:t>Vorgehen bei Anmeldung aus (geschlossenen) Institutionen</w:t>
      </w:r>
      <w:bookmarkEnd w:id="8"/>
    </w:p>
    <w:p w14:paraId="3F493899" w14:textId="38E60646" w:rsidR="00997A0C" w:rsidRDefault="00C037C5" w:rsidP="0018298F">
      <w:pPr>
        <w:spacing w:line="276" w:lineRule="auto"/>
      </w:pPr>
      <w:r>
        <w:t xml:space="preserve">Bei Antragstellung auf </w:t>
      </w:r>
      <w:r w:rsidR="00CA69B8">
        <w:t>WH</w:t>
      </w:r>
      <w:r>
        <w:t xml:space="preserve"> aus (geschlossenen) Institutionen wie beispielsweise Gefängnissen, psychiatrischen Kliniken, Spitäler, Pflegezentren</w:t>
      </w:r>
      <w:r w:rsidR="005315B3">
        <w:t xml:space="preserve"> und </w:t>
      </w:r>
      <w:r w:rsidR="00AC20A7">
        <w:t>Frauenhäuser</w:t>
      </w:r>
      <w:r>
        <w:t xml:space="preserve"> geschieht</w:t>
      </w:r>
      <w:r w:rsidR="003D49B5">
        <w:t xml:space="preserve"> die Antragsstellung</w:t>
      </w:r>
      <w:r>
        <w:t xml:space="preserve"> durch die jeweilig</w:t>
      </w:r>
      <w:r w:rsidR="00A93ABB">
        <w:t>en Sozialdienste oder die KL</w:t>
      </w:r>
      <w:r>
        <w:t xml:space="preserve"> selber.</w:t>
      </w:r>
      <w:r w:rsidR="003D49B5">
        <w:t xml:space="preserve"> Da die </w:t>
      </w:r>
      <w:r w:rsidR="005315B3">
        <w:t>persönlich</w:t>
      </w:r>
      <w:r w:rsidR="00A93ABB">
        <w:t xml:space="preserve">e </w:t>
      </w:r>
      <w:r w:rsidR="005315B3">
        <w:t xml:space="preserve">Unterstützung </w:t>
      </w:r>
      <w:r w:rsidR="00A93ABB">
        <w:t>der KL</w:t>
      </w:r>
      <w:r w:rsidR="005315B3">
        <w:t xml:space="preserve"> durch die Institution gewährleistet ist,</w:t>
      </w:r>
      <w:r w:rsidR="003D49B5">
        <w:t xml:space="preserve"> ist kein Orientierungsgespräch erforderlich. Antrag und Unterlagenliste können </w:t>
      </w:r>
      <w:r w:rsidR="00A93ABB">
        <w:t xml:space="preserve">durch </w:t>
      </w:r>
      <w:r w:rsidR="00CA69B8">
        <w:t>Sachbearbeitung (SB)</w:t>
      </w:r>
      <w:r w:rsidR="009112F6">
        <w:t xml:space="preserve"> Intake </w:t>
      </w:r>
      <w:r w:rsidR="003D49B5">
        <w:t>direkt an die Institution geschickt werden.</w:t>
      </w:r>
      <w:r w:rsidR="005315B3">
        <w:t xml:space="preserve"> In den gängigen Institutionen, mit denen die SOD eine enge Zusammenarbeit pflegt, liegen die Antragsunterlagen d</w:t>
      </w:r>
      <w:r w:rsidR="00A93ABB">
        <w:t>ort auf. Wenn KL</w:t>
      </w:r>
      <w:r w:rsidR="005315B3">
        <w:t xml:space="preserve"> nicht in der Lage ist</w:t>
      </w:r>
      <w:r w:rsidR="009112F6">
        <w:t>,</w:t>
      </w:r>
      <w:r w:rsidR="005315B3">
        <w:t xml:space="preserve"> persönlich ins Sozialzentrum zu kommen, erfolgt d</w:t>
      </w:r>
      <w:r w:rsidR="003D49B5">
        <w:t xml:space="preserve">ie </w:t>
      </w:r>
      <w:proofErr w:type="spellStart"/>
      <w:r w:rsidR="003D49B5">
        <w:t>Anspruchklärung</w:t>
      </w:r>
      <w:proofErr w:type="spellEnd"/>
      <w:r w:rsidR="003D49B5">
        <w:t xml:space="preserve"> </w:t>
      </w:r>
      <w:r w:rsidR="005315B3">
        <w:t xml:space="preserve">in enger Zusammenarbeit mit </w:t>
      </w:r>
      <w:r w:rsidR="00A93ABB">
        <w:t xml:space="preserve">den Bezugspersonen der KL </w:t>
      </w:r>
      <w:r w:rsidR="005315B3">
        <w:t>in der Institution.</w:t>
      </w:r>
    </w:p>
    <w:p w14:paraId="770D1BAC" w14:textId="77777777" w:rsidR="00182981" w:rsidRPr="005315B3" w:rsidRDefault="005315B3" w:rsidP="00997A0C">
      <w:pPr>
        <w:pStyle w:val="berschrift4"/>
      </w:pPr>
      <w:bookmarkStart w:id="9" w:name="_Toc128593901"/>
      <w:r>
        <w:t xml:space="preserve">Vorgehen bei </w:t>
      </w:r>
      <w:r w:rsidR="00182981" w:rsidRPr="005315B3">
        <w:t>Übergabe von Fällen der AOZ</w:t>
      </w:r>
      <w:bookmarkEnd w:id="9"/>
    </w:p>
    <w:p w14:paraId="4CEB8A5F" w14:textId="398185DF" w:rsidR="00C037C5" w:rsidRDefault="00B82407" w:rsidP="0018298F">
      <w:pPr>
        <w:spacing w:line="276" w:lineRule="auto"/>
      </w:pPr>
      <w:r w:rsidRPr="00856701">
        <w:t xml:space="preserve">Das Vorgehen bei Übergaben von Fällen der AOZ ist in der </w:t>
      </w:r>
      <w:hyperlink r:id="rId15" w:history="1">
        <w:r w:rsidRPr="00856701">
          <w:rPr>
            <w:rStyle w:val="Hyperlink"/>
          </w:rPr>
          <w:t>PRA Fallübergaben von der Asylorganisation Zürich (AOZ)</w:t>
        </w:r>
      </w:hyperlink>
      <w:r w:rsidRPr="00856701">
        <w:t xml:space="preserve"> geregelt</w:t>
      </w:r>
      <w:r>
        <w:t xml:space="preserve">. </w:t>
      </w:r>
    </w:p>
    <w:p w14:paraId="38F97F5F" w14:textId="1DAB8264" w:rsidR="00D31DCA" w:rsidRDefault="00D31DCA" w:rsidP="0018298F">
      <w:pPr>
        <w:spacing w:line="276" w:lineRule="auto"/>
      </w:pPr>
    </w:p>
    <w:p w14:paraId="57B60993" w14:textId="283D37FE" w:rsidR="00D31DCA" w:rsidRDefault="00D31DCA" w:rsidP="0018298F">
      <w:pPr>
        <w:spacing w:line="276" w:lineRule="auto"/>
      </w:pPr>
    </w:p>
    <w:p w14:paraId="4F99D1EE" w14:textId="3A7889B5" w:rsidR="00D31DCA" w:rsidRDefault="00D31DCA" w:rsidP="0018298F">
      <w:pPr>
        <w:spacing w:line="276" w:lineRule="auto"/>
      </w:pPr>
    </w:p>
    <w:p w14:paraId="3D47B574" w14:textId="77777777" w:rsidR="00D31DCA" w:rsidRDefault="00D31DCA" w:rsidP="0018298F">
      <w:pPr>
        <w:spacing w:line="276" w:lineRule="auto"/>
      </w:pPr>
    </w:p>
    <w:p w14:paraId="03284624" w14:textId="77777777" w:rsidR="003D49B5" w:rsidRPr="00997A0C" w:rsidRDefault="003D49B5" w:rsidP="00997A0C">
      <w:pPr>
        <w:pStyle w:val="berschrift3"/>
        <w:rPr>
          <w:b/>
        </w:rPr>
      </w:pPr>
      <w:bookmarkStart w:id="10" w:name="_Toc128593902"/>
      <w:r w:rsidRPr="00997A0C">
        <w:rPr>
          <w:b/>
        </w:rPr>
        <w:lastRenderedPageBreak/>
        <w:t>Vorgehen bei Neu- und Wiederanmeldungen WH mit vorgängiger</w:t>
      </w:r>
      <w:r w:rsidR="00AC20A7" w:rsidRPr="00997A0C">
        <w:rPr>
          <w:b/>
        </w:rPr>
        <w:t xml:space="preserve"> oder laufende</w:t>
      </w:r>
      <w:r w:rsidR="00CF5C9C" w:rsidRPr="00997A0C">
        <w:rPr>
          <w:b/>
        </w:rPr>
        <w:t>r</w:t>
      </w:r>
      <w:r w:rsidRPr="00997A0C">
        <w:rPr>
          <w:b/>
        </w:rPr>
        <w:t xml:space="preserve"> Anhängigkeit in einem QT</w:t>
      </w:r>
      <w:bookmarkEnd w:id="10"/>
    </w:p>
    <w:p w14:paraId="3B178E92" w14:textId="77777777" w:rsidR="003B396B" w:rsidRPr="003B396B" w:rsidRDefault="003B396B" w:rsidP="003B396B">
      <w:pPr>
        <w:pStyle w:val="Absatz0"/>
        <w:rPr>
          <w:color w:val="FFFFFF"/>
          <w:sz w:val="2"/>
          <w:szCs w:val="2"/>
        </w:rPr>
      </w:pPr>
      <w:r w:rsidRPr="003B396B">
        <w:rPr>
          <w:color w:val="FFFFFF"/>
          <w:sz w:val="2"/>
          <w:szCs w:val="2"/>
        </w:rPr>
        <w:t>+</w:t>
      </w:r>
    </w:p>
    <w:p w14:paraId="11C5596D" w14:textId="77777777" w:rsidR="000B1D88" w:rsidRPr="005315B3" w:rsidRDefault="00226F44" w:rsidP="00997A0C">
      <w:pPr>
        <w:pStyle w:val="berschrift4"/>
      </w:pPr>
      <w:bookmarkStart w:id="11" w:name="_Toc14339889"/>
      <w:bookmarkStart w:id="12" w:name="_Toc14339983"/>
      <w:bookmarkStart w:id="13" w:name="_Toc14340266"/>
      <w:bookmarkStart w:id="14" w:name="_Toc14340288"/>
      <w:bookmarkStart w:id="15" w:name="_Toc14351528"/>
      <w:bookmarkStart w:id="16" w:name="_Toc14351734"/>
      <w:bookmarkStart w:id="17" w:name="_Toc14352169"/>
      <w:bookmarkStart w:id="18" w:name="_Toc14190653"/>
      <w:bookmarkStart w:id="19" w:name="_Toc128593903"/>
      <w:bookmarkEnd w:id="11"/>
      <w:bookmarkEnd w:id="12"/>
      <w:bookmarkEnd w:id="13"/>
      <w:bookmarkEnd w:id="14"/>
      <w:bookmarkEnd w:id="15"/>
      <w:bookmarkEnd w:id="16"/>
      <w:bookmarkEnd w:id="17"/>
      <w:bookmarkEnd w:id="18"/>
      <w:r w:rsidRPr="005315B3">
        <w:t xml:space="preserve">Vorgehen </w:t>
      </w:r>
      <w:r w:rsidR="00A027AD" w:rsidRPr="005315B3">
        <w:t xml:space="preserve">bei </w:t>
      </w:r>
      <w:r w:rsidR="00187978" w:rsidRPr="005315B3">
        <w:t>Wiederanmeldung</w:t>
      </w:r>
      <w:r w:rsidR="00572B2C" w:rsidRPr="005315B3">
        <w:t xml:space="preserve"> (letzter Unterstützungsmonat liegt mehr als drei Monate zurück)</w:t>
      </w:r>
      <w:bookmarkEnd w:id="19"/>
    </w:p>
    <w:p w14:paraId="5B0461AB" w14:textId="78A48397" w:rsidR="0057075A" w:rsidRDefault="003D49B5" w:rsidP="0018298F">
      <w:pPr>
        <w:pStyle w:val="Absatz0"/>
        <w:spacing w:line="276" w:lineRule="auto"/>
      </w:pPr>
      <w:r>
        <w:t xml:space="preserve">Bei Wiederanmeldungen zur </w:t>
      </w:r>
      <w:r w:rsidR="00CA69B8">
        <w:t>WH</w:t>
      </w:r>
      <w:r w:rsidR="00CD15E3" w:rsidRPr="00CD15E3">
        <w:t xml:space="preserve"> </w:t>
      </w:r>
      <w:r w:rsidR="00CD15E3">
        <w:t>mit vorgängiger oder laufe</w:t>
      </w:r>
      <w:r w:rsidR="00BF1CD2">
        <w:t>n</w:t>
      </w:r>
      <w:r w:rsidR="00CD15E3">
        <w:t>der Anhängigkeit in einem QT und</w:t>
      </w:r>
      <w:r>
        <w:t xml:space="preserve"> bei welchen der letzte Unterstützungsmonat mehr als drei Monate zurückliegt, erfolgt eine neuerliche Anspruchsklärung im Intake. Da sich die persönliche und wirtschaftliche Situation verändert haben kann, </w:t>
      </w:r>
      <w:r w:rsidR="00CF5C9C">
        <w:t>erfolgt das Vorgehen gleich wie bei persönlichen Neuanmeldungen (siehe Punkt 2</w:t>
      </w:r>
      <w:r w:rsidR="00231639">
        <w:t>.1</w:t>
      </w:r>
      <w:r w:rsidR="00CF5C9C">
        <w:t>.1</w:t>
      </w:r>
      <w:r w:rsidR="00231639">
        <w:t>.1</w:t>
      </w:r>
      <w:r w:rsidR="00CF5C9C">
        <w:t xml:space="preserve">), d.h. es </w:t>
      </w:r>
      <w:r>
        <w:t xml:space="preserve">findet </w:t>
      </w:r>
      <w:r w:rsidR="00002986">
        <w:t>ein Orientierungsgespräch statt, in welchem auch die Antragsformulare</w:t>
      </w:r>
      <w:r>
        <w:t xml:space="preserve"> sowie die Unterlagenliste</w:t>
      </w:r>
      <w:r w:rsidR="00002986">
        <w:t xml:space="preserve"> ausgehändigt werden.</w:t>
      </w:r>
    </w:p>
    <w:p w14:paraId="5223CA5E" w14:textId="77777777" w:rsidR="0024106A" w:rsidRPr="005315B3" w:rsidRDefault="00226F44" w:rsidP="00997A0C">
      <w:pPr>
        <w:pStyle w:val="berschrift4"/>
      </w:pPr>
      <w:bookmarkStart w:id="20" w:name="_Toc14190655"/>
      <w:bookmarkStart w:id="21" w:name="_Toc128593904"/>
      <w:bookmarkEnd w:id="20"/>
      <w:r w:rsidRPr="005315B3">
        <w:t xml:space="preserve">Vorgehen </w:t>
      </w:r>
      <w:r w:rsidR="00A027AD" w:rsidRPr="005315B3">
        <w:t xml:space="preserve">bei </w:t>
      </w:r>
      <w:r w:rsidR="00CA481A" w:rsidRPr="005315B3">
        <w:t xml:space="preserve">Dossiers </w:t>
      </w:r>
      <w:r w:rsidR="0024106A" w:rsidRPr="005315B3">
        <w:t>mit E</w:t>
      </w:r>
      <w:r w:rsidR="008D52E9" w:rsidRPr="005315B3">
        <w:t>rwachsenen- und Kinderschutzmassnahmen</w:t>
      </w:r>
      <w:r w:rsidR="0024106A" w:rsidRPr="005315B3">
        <w:t xml:space="preserve"> </w:t>
      </w:r>
      <w:r w:rsidR="000807EE" w:rsidRPr="005315B3">
        <w:t>bei welchen Antrag auf WH gestellt wird</w:t>
      </w:r>
      <w:bookmarkEnd w:id="21"/>
    </w:p>
    <w:p w14:paraId="42174B8B" w14:textId="31CEC776" w:rsidR="00493313" w:rsidRPr="00DD25DA" w:rsidRDefault="001E7C86" w:rsidP="006B5B38">
      <w:pPr>
        <w:spacing w:line="276" w:lineRule="auto"/>
      </w:pPr>
      <w:r>
        <w:t>Die</w:t>
      </w:r>
      <w:r w:rsidR="007139A9" w:rsidRPr="00DD25DA">
        <w:t xml:space="preserve"> </w:t>
      </w:r>
      <w:r w:rsidR="0024106A" w:rsidRPr="00DD25DA">
        <w:t>Mandats</w:t>
      </w:r>
      <w:r w:rsidR="00493313" w:rsidRPr="00DD25DA">
        <w:t>träger</w:t>
      </w:r>
      <w:r w:rsidR="00CA69B8">
        <w:t>*innen im</w:t>
      </w:r>
      <w:r w:rsidR="00493313" w:rsidRPr="00DD25DA">
        <w:t xml:space="preserve"> </w:t>
      </w:r>
      <w:r w:rsidR="00CD15E3">
        <w:t xml:space="preserve">QT </w:t>
      </w:r>
      <w:r w:rsidR="00CA481A">
        <w:t xml:space="preserve">stellen </w:t>
      </w:r>
      <w:r w:rsidR="00CA481A" w:rsidRPr="00DD25DA">
        <w:t>im Zusammenwirken mit de</w:t>
      </w:r>
      <w:r w:rsidR="00CA69B8">
        <w:t>n KL</w:t>
      </w:r>
      <w:r w:rsidR="000E043A">
        <w:t xml:space="preserve"> </w:t>
      </w:r>
      <w:r w:rsidR="00493313" w:rsidRPr="00DD25DA">
        <w:t>Antrag</w:t>
      </w:r>
      <w:r>
        <w:t xml:space="preserve"> auf </w:t>
      </w:r>
      <w:r w:rsidR="00CA69B8">
        <w:t>WH</w:t>
      </w:r>
      <w:r w:rsidR="00493313" w:rsidRPr="00DD25DA">
        <w:t xml:space="preserve"> im Intake</w:t>
      </w:r>
      <w:r w:rsidR="00CA481A">
        <w:t>.</w:t>
      </w:r>
      <w:r w:rsidR="00493313" w:rsidRPr="00DD25DA">
        <w:t xml:space="preserve"> </w:t>
      </w:r>
      <w:r w:rsidR="00002986">
        <w:t>D</w:t>
      </w:r>
      <w:r w:rsidR="0057075A">
        <w:t>ie Aushändigung der</w:t>
      </w:r>
      <w:r w:rsidR="00CA0AF0">
        <w:t xml:space="preserve"> Antragsformulare geschieht dir</w:t>
      </w:r>
      <w:r w:rsidR="0057075A">
        <w:t>e</w:t>
      </w:r>
      <w:r w:rsidR="00CA0AF0">
        <w:t>k</w:t>
      </w:r>
      <w:r w:rsidR="00CA69B8">
        <w:t>t durch die SB im</w:t>
      </w:r>
      <w:r w:rsidR="0057075A">
        <w:t xml:space="preserve"> Intake.</w:t>
      </w:r>
      <w:r w:rsidR="003D49B5">
        <w:t xml:space="preserve"> </w:t>
      </w:r>
      <w:r w:rsidR="00493313" w:rsidRPr="00DD25DA">
        <w:t>Das Intake prüft die Zuständig</w:t>
      </w:r>
      <w:r w:rsidR="007139A9" w:rsidRPr="00DD25DA">
        <w:t>ke</w:t>
      </w:r>
      <w:r w:rsidR="00493313" w:rsidRPr="00DD25DA">
        <w:t>it, Mittellosigkeit und Subsidiarität</w:t>
      </w:r>
      <w:r w:rsidR="00CF5C9C">
        <w:t>. Die</w:t>
      </w:r>
      <w:r w:rsidR="00CD15E3">
        <w:t xml:space="preserve"> </w:t>
      </w:r>
      <w:r w:rsidR="00493313" w:rsidRPr="00DD25DA">
        <w:t xml:space="preserve">Abklärung </w:t>
      </w:r>
      <w:r w:rsidR="00CF5C9C">
        <w:t>sozialer und beruflicher Massnahmen erfolgt allerdings nicht</w:t>
      </w:r>
      <w:r w:rsidR="003D49B5">
        <w:t>, weil diese in der Verantwortung des zuständigen Mandatsträger</w:t>
      </w:r>
      <w:r w:rsidR="000E043A">
        <w:t xml:space="preserve">s oder </w:t>
      </w:r>
      <w:r w:rsidR="00A53DD6">
        <w:t xml:space="preserve">der zuständigen </w:t>
      </w:r>
      <w:r w:rsidR="000E043A">
        <w:t>Mandatsträger</w:t>
      </w:r>
      <w:r w:rsidR="003D49B5">
        <w:t>in liegt</w:t>
      </w:r>
      <w:r w:rsidR="001B19E0" w:rsidRPr="00DD25DA">
        <w:t>.</w:t>
      </w:r>
    </w:p>
    <w:p w14:paraId="12B9F3B5" w14:textId="77777777" w:rsidR="00493313" w:rsidRPr="00DD25DA" w:rsidRDefault="00493313" w:rsidP="006B5B38">
      <w:pPr>
        <w:pStyle w:val="Absatz0"/>
        <w:spacing w:line="276" w:lineRule="auto"/>
      </w:pPr>
    </w:p>
    <w:p w14:paraId="02C722ED" w14:textId="1B60B685" w:rsidR="003D49B5" w:rsidRPr="00DD25DA" w:rsidRDefault="007139A9" w:rsidP="006B5B38">
      <w:pPr>
        <w:pStyle w:val="Absatz0"/>
        <w:spacing w:line="276" w:lineRule="auto"/>
      </w:pPr>
      <w:r w:rsidRPr="00DD25DA">
        <w:t xml:space="preserve">Die </w:t>
      </w:r>
      <w:r w:rsidR="00CA69B8">
        <w:t>fallführenden SA</w:t>
      </w:r>
      <w:r w:rsidR="003D7E7C">
        <w:t xml:space="preserve"> des</w:t>
      </w:r>
      <w:r w:rsidRPr="00DD25DA">
        <w:t xml:space="preserve"> </w:t>
      </w:r>
      <w:proofErr w:type="spellStart"/>
      <w:r w:rsidR="00493313" w:rsidRPr="00DD25DA">
        <w:t>Intake</w:t>
      </w:r>
      <w:r w:rsidR="003D7E7C">
        <w:t>s</w:t>
      </w:r>
      <w:proofErr w:type="spellEnd"/>
      <w:r w:rsidR="00493313" w:rsidRPr="00DD25DA">
        <w:t xml:space="preserve"> bewilligen den Antrag</w:t>
      </w:r>
      <w:r w:rsidRPr="00DD25DA">
        <w:t xml:space="preserve">, wobei die </w:t>
      </w:r>
      <w:r w:rsidR="00B60FF5" w:rsidRPr="00DD25DA">
        <w:t xml:space="preserve">Beratung </w:t>
      </w:r>
      <w:r w:rsidR="00D82A95">
        <w:t xml:space="preserve">und persönliche Hilfe </w:t>
      </w:r>
      <w:r w:rsidR="00B60FF5" w:rsidRPr="00DD25DA">
        <w:t xml:space="preserve">betreffend </w:t>
      </w:r>
      <w:r w:rsidR="008D52E9">
        <w:t>Erwachsenen- und Kinderschutzmassnahmen</w:t>
      </w:r>
      <w:r w:rsidR="00493313" w:rsidRPr="00DD25DA">
        <w:t xml:space="preserve"> im QT </w:t>
      </w:r>
      <w:r w:rsidR="00CA481A">
        <w:t>verbleibt</w:t>
      </w:r>
      <w:r w:rsidR="000807EE">
        <w:t>.</w:t>
      </w:r>
      <w:r w:rsidR="003D49B5">
        <w:t xml:space="preserve"> Es ist in diesen Fällen daher auch kein Orientierungsgespräch im Aufnahmeprozess nötig.</w:t>
      </w:r>
    </w:p>
    <w:p w14:paraId="2C938C1B" w14:textId="77777777" w:rsidR="008D52E9" w:rsidRPr="005315B3" w:rsidRDefault="00226F44" w:rsidP="00997A0C">
      <w:pPr>
        <w:pStyle w:val="berschrift4"/>
      </w:pPr>
      <w:bookmarkStart w:id="22" w:name="_Toc128593905"/>
      <w:r w:rsidRPr="005315B3">
        <w:t xml:space="preserve">Vorgehen </w:t>
      </w:r>
      <w:r w:rsidR="00A027AD" w:rsidRPr="005315B3">
        <w:t>b</w:t>
      </w:r>
      <w:r w:rsidR="0050712E" w:rsidRPr="005315B3">
        <w:t>ei E</w:t>
      </w:r>
      <w:r w:rsidR="008D52E9" w:rsidRPr="005315B3">
        <w:t>rreichen der Volljährigkeit</w:t>
      </w:r>
      <w:bookmarkEnd w:id="22"/>
    </w:p>
    <w:p w14:paraId="3372AF85" w14:textId="14836D0E" w:rsidR="00505148" w:rsidRDefault="00CA69B8" w:rsidP="006B5B38">
      <w:pPr>
        <w:spacing w:line="276" w:lineRule="auto"/>
      </w:pPr>
      <w:r>
        <w:t>Wird ein*eine minderjährige*r KL</w:t>
      </w:r>
      <w:r w:rsidR="008D52E9" w:rsidRPr="00DD25DA">
        <w:t xml:space="preserve"> im Rahmen des Famili</w:t>
      </w:r>
      <w:r w:rsidR="00BC63A2">
        <w:t xml:space="preserve">ensystems mit </w:t>
      </w:r>
      <w:r>
        <w:t>WH</w:t>
      </w:r>
      <w:r w:rsidR="008D52E9" w:rsidRPr="00DD25DA">
        <w:t xml:space="preserve"> unterstützt, </w:t>
      </w:r>
      <w:r w:rsidR="000807EE">
        <w:t xml:space="preserve">muss </w:t>
      </w:r>
      <w:r w:rsidR="000B17B8">
        <w:t>er</w:t>
      </w:r>
      <w:r>
        <w:t>*</w:t>
      </w:r>
      <w:r w:rsidR="000B17B8">
        <w:t>sie</w:t>
      </w:r>
      <w:r w:rsidR="000807EE">
        <w:t xml:space="preserve"> beim Erreichen der Volljährigkeit </w:t>
      </w:r>
      <w:r w:rsidR="00D82A95">
        <w:t xml:space="preserve">im entsprechenden Intake am </w:t>
      </w:r>
      <w:proofErr w:type="spellStart"/>
      <w:r w:rsidR="00D82A95">
        <w:t>Intakeschalter</w:t>
      </w:r>
      <w:proofErr w:type="spellEnd"/>
      <w:r w:rsidR="00D82A95">
        <w:t xml:space="preserve"> </w:t>
      </w:r>
      <w:r w:rsidR="000807EE">
        <w:t>selb</w:t>
      </w:r>
      <w:r w:rsidR="009B17F2">
        <w:t>st</w:t>
      </w:r>
      <w:r w:rsidR="00D82A95">
        <w:t>ständig</w:t>
      </w:r>
      <w:r w:rsidR="000807EE">
        <w:t xml:space="preserve"> Antrag auf </w:t>
      </w:r>
      <w:r>
        <w:t>WH</w:t>
      </w:r>
      <w:r w:rsidR="000807EE">
        <w:t xml:space="preserve"> stelle</w:t>
      </w:r>
      <w:r w:rsidR="00CA481A">
        <w:t>n</w:t>
      </w:r>
      <w:r>
        <w:t>. Er*</w:t>
      </w:r>
      <w:r w:rsidR="00D82A95">
        <w:t>sie</w:t>
      </w:r>
      <w:r w:rsidR="00CA481A">
        <w:t xml:space="preserve"> wird als </w:t>
      </w:r>
      <w:r w:rsidR="00CA481A" w:rsidRPr="00D9526C">
        <w:t>eigener</w:t>
      </w:r>
      <w:r w:rsidR="000807EE" w:rsidRPr="00D9526C">
        <w:t xml:space="preserve"> </w:t>
      </w:r>
      <w:r w:rsidR="00CA481A" w:rsidRPr="00D9526C">
        <w:t>Fall</w:t>
      </w:r>
      <w:r w:rsidR="000807EE">
        <w:t xml:space="preserve"> aufgenommen.</w:t>
      </w:r>
      <w:r w:rsidR="008D0534">
        <w:t xml:space="preserve"> </w:t>
      </w:r>
      <w:r w:rsidR="00002986">
        <w:t>D</w:t>
      </w:r>
      <w:r w:rsidR="0057075A">
        <w:t>ie Aushändigung der</w:t>
      </w:r>
      <w:r w:rsidR="00CA0AF0">
        <w:t xml:space="preserve"> Antragsformulare geschieht dir</w:t>
      </w:r>
      <w:r w:rsidR="0057075A">
        <w:t>e</w:t>
      </w:r>
      <w:r w:rsidR="00CA0AF0">
        <w:t>k</w:t>
      </w:r>
      <w:r w:rsidR="0057075A">
        <w:t xml:space="preserve">t durch die </w:t>
      </w:r>
      <w:r>
        <w:t>SB</w:t>
      </w:r>
      <w:r w:rsidR="0057075A">
        <w:t xml:space="preserve"> Intake</w:t>
      </w:r>
      <w:r w:rsidR="000B17B8">
        <w:t xml:space="preserve">. </w:t>
      </w:r>
      <w:r w:rsidR="00505148">
        <w:t>Anschliessend läuft das ordentliche Verfahren zur Klärung der Mittellosigkeit ab.</w:t>
      </w:r>
    </w:p>
    <w:p w14:paraId="51C44547" w14:textId="77777777" w:rsidR="00505148" w:rsidRDefault="00505148" w:rsidP="006B5B38">
      <w:pPr>
        <w:spacing w:line="276" w:lineRule="auto"/>
      </w:pPr>
    </w:p>
    <w:p w14:paraId="71A284F7" w14:textId="77777777" w:rsidR="004704F3" w:rsidRDefault="000B17B8" w:rsidP="006B5B38">
      <w:pPr>
        <w:spacing w:line="276" w:lineRule="auto"/>
      </w:pPr>
      <w:r>
        <w:t>Eine allfällige Indikation für eine Beratung im Rahmen der persönliche Hilfe wird vom zuständigen QT eingeschätzt</w:t>
      </w:r>
      <w:r w:rsidR="00CF5C9C">
        <w:t xml:space="preserve"> und dem Intake mitgeteilt</w:t>
      </w:r>
      <w:r w:rsidR="00F44C21">
        <w:t xml:space="preserve">. </w:t>
      </w:r>
      <w:r w:rsidR="00506128">
        <w:t>Daher ist kein Orientierungsgespräch nötig.</w:t>
      </w:r>
    </w:p>
    <w:p w14:paraId="02D3DF36" w14:textId="77777777" w:rsidR="008D0534" w:rsidRPr="004D6E25" w:rsidRDefault="00D721B9" w:rsidP="00997A0C">
      <w:pPr>
        <w:pStyle w:val="berschrift2"/>
      </w:pPr>
      <w:bookmarkStart w:id="23" w:name="_Toc14351532"/>
      <w:bookmarkStart w:id="24" w:name="_Toc14351738"/>
      <w:bookmarkStart w:id="25" w:name="_Toc14352173"/>
      <w:bookmarkStart w:id="26" w:name="_Toc128593906"/>
      <w:bookmarkEnd w:id="23"/>
      <w:bookmarkEnd w:id="24"/>
      <w:bookmarkEnd w:id="25"/>
      <w:r>
        <w:t>Quartierteam</w:t>
      </w:r>
      <w:bookmarkEnd w:id="26"/>
    </w:p>
    <w:p w14:paraId="0BDD0A7C" w14:textId="41C19749" w:rsidR="002160C0" w:rsidRDefault="002160C0" w:rsidP="00D31DCA">
      <w:pPr>
        <w:pStyle w:val="Kommentartext"/>
        <w:spacing w:line="276" w:lineRule="auto"/>
        <w:rPr>
          <w:sz w:val="22"/>
          <w:szCs w:val="22"/>
        </w:rPr>
      </w:pPr>
      <w:r w:rsidRPr="00EC0DD1">
        <w:rPr>
          <w:sz w:val="22"/>
          <w:szCs w:val="22"/>
        </w:rPr>
        <w:t>Die Überprüfung der Mittellosigkeit</w:t>
      </w:r>
      <w:r>
        <w:rPr>
          <w:sz w:val="22"/>
          <w:szCs w:val="22"/>
        </w:rPr>
        <w:t xml:space="preserve"> resp</w:t>
      </w:r>
      <w:r w:rsidR="004704F3">
        <w:rPr>
          <w:sz w:val="22"/>
          <w:szCs w:val="22"/>
        </w:rPr>
        <w:t>.</w:t>
      </w:r>
      <w:r>
        <w:rPr>
          <w:sz w:val="22"/>
          <w:szCs w:val="22"/>
        </w:rPr>
        <w:t xml:space="preserve"> die Festlegung des Unterstützungsanspruches</w:t>
      </w:r>
      <w:r w:rsidRPr="00EC0DD1">
        <w:rPr>
          <w:sz w:val="22"/>
          <w:szCs w:val="22"/>
        </w:rPr>
        <w:t xml:space="preserve"> erfolgt im QT bei laufenden Fällen zu folgenden Zeitpunkten:</w:t>
      </w:r>
    </w:p>
    <w:p w14:paraId="308734BA" w14:textId="2550D6EC" w:rsidR="00DD79ED" w:rsidRPr="00856701" w:rsidRDefault="00DD79ED" w:rsidP="004704F3">
      <w:pPr>
        <w:pStyle w:val="Kommentartext"/>
        <w:numPr>
          <w:ilvl w:val="0"/>
          <w:numId w:val="14"/>
        </w:numPr>
        <w:spacing w:line="276" w:lineRule="auto"/>
        <w:rPr>
          <w:sz w:val="22"/>
          <w:szCs w:val="22"/>
          <w:highlight w:val="yellow"/>
        </w:rPr>
      </w:pPr>
      <w:r w:rsidRPr="00856701">
        <w:rPr>
          <w:sz w:val="22"/>
          <w:szCs w:val="22"/>
          <w:highlight w:val="yellow"/>
        </w:rPr>
        <w:t>spätestens nach Ablauf eines Unterstützungsjahres</w:t>
      </w:r>
    </w:p>
    <w:p w14:paraId="39E7E940" w14:textId="77777777" w:rsidR="001A4AEF" w:rsidRDefault="009D7ED7" w:rsidP="004704F3">
      <w:pPr>
        <w:pStyle w:val="Kommentartext"/>
        <w:numPr>
          <w:ilvl w:val="0"/>
          <w:numId w:val="14"/>
        </w:numPr>
        <w:spacing w:line="276" w:lineRule="auto"/>
        <w:rPr>
          <w:sz w:val="22"/>
          <w:szCs w:val="22"/>
        </w:rPr>
      </w:pPr>
      <w:r>
        <w:rPr>
          <w:sz w:val="22"/>
          <w:szCs w:val="22"/>
        </w:rPr>
        <w:t>i</w:t>
      </w:r>
      <w:r w:rsidR="001A4AEF">
        <w:rPr>
          <w:sz w:val="22"/>
          <w:szCs w:val="22"/>
        </w:rPr>
        <w:t xml:space="preserve">m Rahmen der Erstellung des </w:t>
      </w:r>
      <w:proofErr w:type="spellStart"/>
      <w:r w:rsidR="001A4AEF">
        <w:rPr>
          <w:sz w:val="22"/>
          <w:szCs w:val="22"/>
        </w:rPr>
        <w:t>Leistungentscheides</w:t>
      </w:r>
      <w:proofErr w:type="spellEnd"/>
      <w:r w:rsidR="001A4AEF">
        <w:rPr>
          <w:sz w:val="22"/>
          <w:szCs w:val="22"/>
        </w:rPr>
        <w:t xml:space="preserve"> bei Hinzukommen oder Wegfalls einer Person in der Unterstützungseinheit (bei Heirat, Scheidung/Trennung, Geburt, Hinzukommen einer </w:t>
      </w:r>
      <w:proofErr w:type="spellStart"/>
      <w:r w:rsidR="001A4AEF">
        <w:rPr>
          <w:sz w:val="22"/>
          <w:szCs w:val="22"/>
        </w:rPr>
        <w:t>mindejährigen</w:t>
      </w:r>
      <w:proofErr w:type="spellEnd"/>
      <w:r w:rsidR="001A4AEF">
        <w:rPr>
          <w:sz w:val="22"/>
          <w:szCs w:val="22"/>
        </w:rPr>
        <w:t xml:space="preserve"> Person </w:t>
      </w:r>
      <w:proofErr w:type="spellStart"/>
      <w:r w:rsidR="001A4AEF">
        <w:rPr>
          <w:sz w:val="22"/>
          <w:szCs w:val="22"/>
        </w:rPr>
        <w:t>z.b.</w:t>
      </w:r>
      <w:proofErr w:type="spellEnd"/>
      <w:r w:rsidR="001A4AEF">
        <w:rPr>
          <w:sz w:val="22"/>
          <w:szCs w:val="22"/>
        </w:rPr>
        <w:t xml:space="preserve"> im Rahmen des Familiennachzuges)</w:t>
      </w:r>
    </w:p>
    <w:p w14:paraId="10EC0A8E" w14:textId="77777777" w:rsidR="002160C0" w:rsidRPr="00EC0DD1" w:rsidRDefault="002160C0" w:rsidP="004704F3">
      <w:pPr>
        <w:pStyle w:val="Kommentartext"/>
        <w:numPr>
          <w:ilvl w:val="0"/>
          <w:numId w:val="14"/>
        </w:numPr>
        <w:spacing w:line="276" w:lineRule="auto"/>
        <w:rPr>
          <w:sz w:val="22"/>
          <w:szCs w:val="22"/>
        </w:rPr>
      </w:pPr>
      <w:r>
        <w:rPr>
          <w:sz w:val="22"/>
          <w:szCs w:val="22"/>
        </w:rPr>
        <w:t>bei einer b</w:t>
      </w:r>
      <w:r w:rsidRPr="00EC0DD1">
        <w:rPr>
          <w:sz w:val="22"/>
          <w:szCs w:val="22"/>
        </w:rPr>
        <w:t>evorstehende</w:t>
      </w:r>
      <w:r>
        <w:rPr>
          <w:sz w:val="22"/>
          <w:szCs w:val="22"/>
        </w:rPr>
        <w:t>n</w:t>
      </w:r>
      <w:r w:rsidRPr="00EC0DD1">
        <w:rPr>
          <w:sz w:val="22"/>
          <w:szCs w:val="22"/>
        </w:rPr>
        <w:t xml:space="preserve"> Finanzierung </w:t>
      </w:r>
      <w:r>
        <w:rPr>
          <w:sz w:val="22"/>
          <w:szCs w:val="22"/>
        </w:rPr>
        <w:t>von</w:t>
      </w:r>
      <w:r w:rsidRPr="00EC0DD1">
        <w:rPr>
          <w:sz w:val="22"/>
          <w:szCs w:val="22"/>
        </w:rPr>
        <w:t xml:space="preserve"> erzieherischen Hilfe</w:t>
      </w:r>
      <w:r>
        <w:rPr>
          <w:sz w:val="22"/>
          <w:szCs w:val="22"/>
        </w:rPr>
        <w:t>n</w:t>
      </w:r>
      <w:r>
        <w:rPr>
          <w:sz w:val="22"/>
          <w:szCs w:val="22"/>
        </w:rPr>
        <w:br/>
      </w:r>
    </w:p>
    <w:p w14:paraId="4A5D95F1" w14:textId="77777777" w:rsidR="007B1A0C" w:rsidRPr="00EC0DD1" w:rsidRDefault="002160C0" w:rsidP="004704F3">
      <w:pPr>
        <w:pStyle w:val="Absatz0"/>
        <w:spacing w:line="276" w:lineRule="auto"/>
        <w:rPr>
          <w:szCs w:val="22"/>
        </w:rPr>
      </w:pPr>
      <w:r>
        <w:rPr>
          <w:szCs w:val="22"/>
        </w:rPr>
        <w:t xml:space="preserve">Weitere </w:t>
      </w:r>
      <w:r w:rsidR="007B1A0C" w:rsidRPr="00EC0DD1">
        <w:rPr>
          <w:szCs w:val="22"/>
        </w:rPr>
        <w:t xml:space="preserve">Aufgaben der </w:t>
      </w:r>
      <w:proofErr w:type="spellStart"/>
      <w:r w:rsidR="007B1A0C" w:rsidRPr="00EC0DD1">
        <w:rPr>
          <w:szCs w:val="22"/>
        </w:rPr>
        <w:t>QT's</w:t>
      </w:r>
      <w:proofErr w:type="spellEnd"/>
      <w:r w:rsidR="007B1A0C" w:rsidRPr="00EC0DD1">
        <w:rPr>
          <w:szCs w:val="22"/>
        </w:rPr>
        <w:t xml:space="preserve"> sind</w:t>
      </w:r>
      <w:r w:rsidR="001A4AEF">
        <w:rPr>
          <w:szCs w:val="22"/>
        </w:rPr>
        <w:t xml:space="preserve"> unter anderem</w:t>
      </w:r>
      <w:r w:rsidR="007B1A0C" w:rsidRPr="00EC0DD1">
        <w:rPr>
          <w:szCs w:val="22"/>
        </w:rPr>
        <w:t>:</w:t>
      </w:r>
    </w:p>
    <w:p w14:paraId="034E2CC6" w14:textId="77777777" w:rsidR="007B1A0C" w:rsidRPr="00EC0DD1" w:rsidRDefault="007B1A0C" w:rsidP="004704F3">
      <w:pPr>
        <w:numPr>
          <w:ilvl w:val="0"/>
          <w:numId w:val="8"/>
        </w:numPr>
        <w:spacing w:line="276" w:lineRule="auto"/>
        <w:rPr>
          <w:szCs w:val="22"/>
        </w:rPr>
      </w:pPr>
      <w:r w:rsidRPr="00EC0DD1">
        <w:rPr>
          <w:szCs w:val="22"/>
        </w:rPr>
        <w:lastRenderedPageBreak/>
        <w:t>bei Scheidung/</w:t>
      </w:r>
      <w:proofErr w:type="spellStart"/>
      <w:r w:rsidRPr="00EC0DD1">
        <w:rPr>
          <w:szCs w:val="22"/>
        </w:rPr>
        <w:t>Trennug</w:t>
      </w:r>
      <w:proofErr w:type="spellEnd"/>
      <w:r w:rsidRPr="00EC0DD1">
        <w:rPr>
          <w:szCs w:val="22"/>
        </w:rPr>
        <w:t xml:space="preserve"> die Fälle zu trennen und den </w:t>
      </w:r>
      <w:proofErr w:type="spellStart"/>
      <w:r w:rsidRPr="00EC0DD1">
        <w:rPr>
          <w:szCs w:val="22"/>
        </w:rPr>
        <w:t>Leistungentscheid</w:t>
      </w:r>
      <w:proofErr w:type="spellEnd"/>
      <w:r w:rsidRPr="00EC0DD1">
        <w:rPr>
          <w:szCs w:val="22"/>
        </w:rPr>
        <w:t xml:space="preserve"> in den beiden neuen Fällen einzurichten</w:t>
      </w:r>
    </w:p>
    <w:p w14:paraId="691862D2" w14:textId="77777777" w:rsidR="0032716F" w:rsidRDefault="007B1A0C" w:rsidP="004704F3">
      <w:pPr>
        <w:numPr>
          <w:ilvl w:val="0"/>
          <w:numId w:val="8"/>
        </w:numPr>
        <w:spacing w:line="276" w:lineRule="auto"/>
        <w:rPr>
          <w:szCs w:val="22"/>
        </w:rPr>
      </w:pPr>
      <w:r w:rsidRPr="00EC0DD1">
        <w:rPr>
          <w:szCs w:val="22"/>
        </w:rPr>
        <w:t>Finanzierungen von erzieh</w:t>
      </w:r>
      <w:r w:rsidR="00926717">
        <w:rPr>
          <w:szCs w:val="22"/>
        </w:rPr>
        <w:t>er</w:t>
      </w:r>
      <w:r w:rsidRPr="00EC0DD1">
        <w:rPr>
          <w:szCs w:val="22"/>
        </w:rPr>
        <w:t>ischen Hilfen einzurichten und den elterl</w:t>
      </w:r>
      <w:r w:rsidR="0032716F">
        <w:rPr>
          <w:szCs w:val="22"/>
        </w:rPr>
        <w:t>ichen Unterhaltbeitrag bemessen</w:t>
      </w:r>
    </w:p>
    <w:p w14:paraId="679409A6" w14:textId="77777777" w:rsidR="0032716F" w:rsidRDefault="00505148" w:rsidP="004704F3">
      <w:pPr>
        <w:numPr>
          <w:ilvl w:val="0"/>
          <w:numId w:val="8"/>
        </w:numPr>
        <w:spacing w:line="276" w:lineRule="auto"/>
        <w:rPr>
          <w:szCs w:val="22"/>
        </w:rPr>
      </w:pPr>
      <w:r>
        <w:rPr>
          <w:szCs w:val="22"/>
        </w:rPr>
        <w:t xml:space="preserve">sozialversicherungs-, </w:t>
      </w:r>
      <w:r w:rsidR="007B1A0C" w:rsidRPr="0032716F">
        <w:rPr>
          <w:szCs w:val="22"/>
        </w:rPr>
        <w:t>familien</w:t>
      </w:r>
      <w:r>
        <w:rPr>
          <w:szCs w:val="22"/>
        </w:rPr>
        <w:t>- und stipendien</w:t>
      </w:r>
      <w:r w:rsidR="007B1A0C" w:rsidRPr="0032716F">
        <w:rPr>
          <w:szCs w:val="22"/>
        </w:rPr>
        <w:t>recht</w:t>
      </w:r>
      <w:r w:rsidR="0032716F" w:rsidRPr="0032716F">
        <w:rPr>
          <w:szCs w:val="22"/>
        </w:rPr>
        <w:t>liche Leistungen sicherstellen</w:t>
      </w:r>
    </w:p>
    <w:p w14:paraId="354323B6" w14:textId="77777777" w:rsidR="00505148" w:rsidRDefault="00505148" w:rsidP="004704F3">
      <w:pPr>
        <w:numPr>
          <w:ilvl w:val="0"/>
          <w:numId w:val="8"/>
        </w:numPr>
        <w:spacing w:line="276" w:lineRule="auto"/>
      </w:pPr>
      <w:r>
        <w:t>Teilnahmekriterien für Massnahmen zur sozialen und beruflichen Integration prüfen</w:t>
      </w:r>
    </w:p>
    <w:p w14:paraId="6BBDC100" w14:textId="77777777" w:rsidR="002160C0" w:rsidRDefault="00505148" w:rsidP="004704F3">
      <w:pPr>
        <w:numPr>
          <w:ilvl w:val="0"/>
          <w:numId w:val="8"/>
        </w:numPr>
        <w:spacing w:line="276" w:lineRule="auto"/>
      </w:pPr>
      <w:r>
        <w:t>Massnahmen zur sozialen und beruflichen</w:t>
      </w:r>
      <w:r w:rsidR="00C4072D">
        <w:t xml:space="preserve"> Integration</w:t>
      </w:r>
      <w:r>
        <w:t xml:space="preserve"> einleiten und begleiten</w:t>
      </w:r>
    </w:p>
    <w:p w14:paraId="69A20C91" w14:textId="77777777" w:rsidR="00182981" w:rsidRDefault="001A4AEF" w:rsidP="004704F3">
      <w:pPr>
        <w:numPr>
          <w:ilvl w:val="0"/>
          <w:numId w:val="8"/>
        </w:numPr>
        <w:spacing w:line="276" w:lineRule="auto"/>
      </w:pPr>
      <w:r>
        <w:t>Fallabschlüsse vornehmen</w:t>
      </w:r>
      <w:r w:rsidR="00182981">
        <w:br/>
      </w:r>
    </w:p>
    <w:p w14:paraId="08C9025A" w14:textId="67B3E590" w:rsidR="00505148" w:rsidRPr="00DD25DA" w:rsidRDefault="00182981" w:rsidP="004704F3">
      <w:pPr>
        <w:numPr>
          <w:ilvl w:val="0"/>
          <w:numId w:val="8"/>
        </w:numPr>
        <w:spacing w:line="276" w:lineRule="auto"/>
      </w:pPr>
      <w:r>
        <w:t>Spezialsituation bei Wiederanmeldungen im Intake aufgrund eines dreimonatigen Unterstützungsunterbruches:</w:t>
      </w:r>
      <w:r>
        <w:br/>
        <w:t>O</w:t>
      </w:r>
      <w:r w:rsidR="003D49B5" w:rsidRPr="00DD25DA">
        <w:t>ffene Pendenzen</w:t>
      </w:r>
      <w:r>
        <w:t xml:space="preserve">, die sich aus der Unterstützung mit </w:t>
      </w:r>
      <w:r w:rsidR="00CA69B8">
        <w:t>WH</w:t>
      </w:r>
      <w:r>
        <w:t xml:space="preserve"> im QT ergeben </w:t>
      </w:r>
      <w:r w:rsidR="003D49B5" w:rsidRPr="00DD25DA">
        <w:t xml:space="preserve">(z.B. </w:t>
      </w:r>
      <w:proofErr w:type="spellStart"/>
      <w:r w:rsidR="003D49B5" w:rsidRPr="00DD25DA">
        <w:t>Klientenkontoabrechnungen</w:t>
      </w:r>
      <w:proofErr w:type="spellEnd"/>
      <w:r w:rsidR="003D49B5" w:rsidRPr="00DD25DA">
        <w:t xml:space="preserve"> oder noch nicht verfügte Rückforderungen) werden vom QT </w:t>
      </w:r>
      <w:r>
        <w:t>fertig</w:t>
      </w:r>
      <w:r w:rsidR="003D49B5" w:rsidRPr="00DD25DA">
        <w:t>bearbeitet. Falls hängige Gerichtsverfahren</w:t>
      </w:r>
      <w:r w:rsidR="003D49B5">
        <w:t xml:space="preserve">, ein hängiger Auftrag </w:t>
      </w:r>
      <w:r w:rsidR="003D49B5" w:rsidRPr="00DD25DA">
        <w:t>oder ein Bericht des Teams Vertiefte Abklärungen/Inspektorat mit Handlungsbedarf vorliegen, findet eine Absprache über die Aufgabenverteilu</w:t>
      </w:r>
      <w:r w:rsidR="003D49B5">
        <w:t xml:space="preserve">ng zwischen der Stellenleitung des zuständigen </w:t>
      </w:r>
      <w:proofErr w:type="spellStart"/>
      <w:r w:rsidR="003D49B5">
        <w:t>QT's</w:t>
      </w:r>
      <w:proofErr w:type="spellEnd"/>
      <w:r w:rsidR="003D49B5">
        <w:t xml:space="preserve"> und der Stellenleitung des zuständigen </w:t>
      </w:r>
      <w:proofErr w:type="spellStart"/>
      <w:r w:rsidR="003D49B5">
        <w:t>Intakes</w:t>
      </w:r>
      <w:proofErr w:type="spellEnd"/>
      <w:r w:rsidR="003D49B5">
        <w:t xml:space="preserve"> statt.</w:t>
      </w:r>
    </w:p>
    <w:p w14:paraId="226BEAD9" w14:textId="77777777" w:rsidR="00A027AD" w:rsidRDefault="00A027AD" w:rsidP="00997A0C">
      <w:pPr>
        <w:pStyle w:val="berschrift1"/>
      </w:pPr>
      <w:bookmarkStart w:id="27" w:name="_Toc128593907"/>
      <w:r>
        <w:t xml:space="preserve">Zuständigkeiten in der </w:t>
      </w:r>
      <w:r w:rsidR="004A6C7C" w:rsidRPr="00DD25DA">
        <w:t>Persönliche</w:t>
      </w:r>
      <w:r w:rsidR="00926717">
        <w:t>n</w:t>
      </w:r>
      <w:r w:rsidR="004A6C7C" w:rsidRPr="00DD25DA">
        <w:t xml:space="preserve"> Hilfe nach SHG</w:t>
      </w:r>
      <w:r w:rsidR="00002986">
        <w:t xml:space="preserve"> und Beratungsleistungen nach KESR und KJHG</w:t>
      </w:r>
      <w:bookmarkEnd w:id="2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863"/>
        <w:gridCol w:w="1461"/>
        <w:gridCol w:w="3091"/>
      </w:tblGrid>
      <w:tr w:rsidR="00D96D11" w14:paraId="5CCDC304" w14:textId="77777777" w:rsidTr="004704F3">
        <w:tc>
          <w:tcPr>
            <w:tcW w:w="3657" w:type="dxa"/>
            <w:vMerge w:val="restart"/>
            <w:shd w:val="clear" w:color="auto" w:fill="auto"/>
            <w:vAlign w:val="center"/>
          </w:tcPr>
          <w:p w14:paraId="211D4A7F" w14:textId="77777777" w:rsidR="00D96D11" w:rsidRPr="002B0622" w:rsidRDefault="00D96D11" w:rsidP="000B17B8">
            <w:pPr>
              <w:pStyle w:val="StadtZrichInhalt"/>
              <w:rPr>
                <w:b/>
                <w:sz w:val="20"/>
                <w:szCs w:val="20"/>
              </w:rPr>
            </w:pPr>
            <w:r w:rsidRPr="002B0622">
              <w:rPr>
                <w:b/>
                <w:sz w:val="20"/>
                <w:szCs w:val="20"/>
              </w:rPr>
              <w:t>Leistung</w:t>
            </w:r>
          </w:p>
        </w:tc>
        <w:tc>
          <w:tcPr>
            <w:tcW w:w="2324" w:type="dxa"/>
            <w:gridSpan w:val="2"/>
            <w:shd w:val="clear" w:color="auto" w:fill="auto"/>
            <w:vAlign w:val="center"/>
          </w:tcPr>
          <w:p w14:paraId="7BBF9E6F" w14:textId="77777777" w:rsidR="00D96D11" w:rsidRPr="002B0622" w:rsidRDefault="00D96D11" w:rsidP="000B17B8">
            <w:pPr>
              <w:pStyle w:val="StadtZrichInhalt"/>
              <w:rPr>
                <w:b/>
                <w:sz w:val="20"/>
                <w:szCs w:val="20"/>
              </w:rPr>
            </w:pPr>
            <w:r w:rsidRPr="002B0622">
              <w:rPr>
                <w:b/>
                <w:sz w:val="20"/>
                <w:szCs w:val="20"/>
              </w:rPr>
              <w:t>Leistungserbringer</w:t>
            </w:r>
          </w:p>
        </w:tc>
        <w:tc>
          <w:tcPr>
            <w:tcW w:w="3091" w:type="dxa"/>
            <w:vMerge w:val="restart"/>
            <w:shd w:val="clear" w:color="auto" w:fill="auto"/>
            <w:vAlign w:val="center"/>
          </w:tcPr>
          <w:p w14:paraId="012E004A" w14:textId="77777777" w:rsidR="00D96D11" w:rsidRPr="002B0622" w:rsidRDefault="0009599D" w:rsidP="000B17B8">
            <w:pPr>
              <w:pStyle w:val="StadtZrichInhalt"/>
              <w:rPr>
                <w:b/>
                <w:sz w:val="20"/>
                <w:szCs w:val="20"/>
              </w:rPr>
            </w:pPr>
            <w:r w:rsidRPr="002B0622">
              <w:rPr>
                <w:b/>
                <w:sz w:val="20"/>
                <w:szCs w:val="20"/>
              </w:rPr>
              <w:t>Vorgehen</w:t>
            </w:r>
          </w:p>
        </w:tc>
      </w:tr>
      <w:tr w:rsidR="00D96D11" w14:paraId="107A2E5F" w14:textId="77777777" w:rsidTr="004704F3">
        <w:tc>
          <w:tcPr>
            <w:tcW w:w="3657" w:type="dxa"/>
            <w:vMerge/>
            <w:shd w:val="clear" w:color="auto" w:fill="auto"/>
          </w:tcPr>
          <w:p w14:paraId="5CBF49C4" w14:textId="77777777" w:rsidR="00D96D11" w:rsidRPr="002B0622" w:rsidRDefault="00D96D11" w:rsidP="000B17B8">
            <w:pPr>
              <w:pStyle w:val="StadtZrichInhalt"/>
              <w:rPr>
                <w:sz w:val="20"/>
                <w:szCs w:val="20"/>
              </w:rPr>
            </w:pPr>
          </w:p>
        </w:tc>
        <w:tc>
          <w:tcPr>
            <w:tcW w:w="863" w:type="dxa"/>
            <w:shd w:val="clear" w:color="auto" w:fill="auto"/>
          </w:tcPr>
          <w:p w14:paraId="317DDD4A" w14:textId="77777777" w:rsidR="00D96D11" w:rsidRPr="002B0622" w:rsidRDefault="00D96D11" w:rsidP="000B17B8">
            <w:pPr>
              <w:pStyle w:val="StadtZrichInhalt"/>
              <w:rPr>
                <w:sz w:val="20"/>
                <w:szCs w:val="20"/>
              </w:rPr>
            </w:pPr>
            <w:r w:rsidRPr="002B0622">
              <w:rPr>
                <w:b/>
                <w:sz w:val="20"/>
                <w:szCs w:val="20"/>
              </w:rPr>
              <w:t>Intake</w:t>
            </w:r>
          </w:p>
        </w:tc>
        <w:tc>
          <w:tcPr>
            <w:tcW w:w="1461" w:type="dxa"/>
            <w:shd w:val="clear" w:color="auto" w:fill="auto"/>
          </w:tcPr>
          <w:p w14:paraId="449F27BD" w14:textId="77777777" w:rsidR="00D96D11" w:rsidRPr="002B0622" w:rsidRDefault="00D96D11" w:rsidP="000B17B8">
            <w:pPr>
              <w:pStyle w:val="StadtZrichInhalt"/>
              <w:rPr>
                <w:sz w:val="20"/>
                <w:szCs w:val="20"/>
              </w:rPr>
            </w:pPr>
            <w:r w:rsidRPr="002B0622">
              <w:rPr>
                <w:b/>
                <w:sz w:val="20"/>
                <w:szCs w:val="20"/>
              </w:rPr>
              <w:t>Quartierteam</w:t>
            </w:r>
          </w:p>
        </w:tc>
        <w:tc>
          <w:tcPr>
            <w:tcW w:w="3091" w:type="dxa"/>
            <w:vMerge/>
            <w:shd w:val="clear" w:color="auto" w:fill="auto"/>
          </w:tcPr>
          <w:p w14:paraId="28C45EEB" w14:textId="77777777" w:rsidR="00D96D11" w:rsidRPr="002B0622" w:rsidRDefault="00D96D11" w:rsidP="000B17B8">
            <w:pPr>
              <w:pStyle w:val="StadtZrichInhalt"/>
              <w:rPr>
                <w:b/>
                <w:sz w:val="20"/>
                <w:szCs w:val="20"/>
              </w:rPr>
            </w:pPr>
          </w:p>
        </w:tc>
      </w:tr>
      <w:tr w:rsidR="00D96D11" w14:paraId="3CA3A2C7" w14:textId="77777777" w:rsidTr="004704F3">
        <w:tc>
          <w:tcPr>
            <w:tcW w:w="3657" w:type="dxa"/>
            <w:shd w:val="clear" w:color="auto" w:fill="auto"/>
          </w:tcPr>
          <w:p w14:paraId="3A51B38D" w14:textId="77777777" w:rsidR="00D96D11" w:rsidRPr="002B0622" w:rsidRDefault="00D96D11" w:rsidP="000B17B8">
            <w:pPr>
              <w:pStyle w:val="StadtZrichInhalt"/>
              <w:rPr>
                <w:sz w:val="20"/>
                <w:szCs w:val="20"/>
              </w:rPr>
            </w:pPr>
            <w:r w:rsidRPr="002B0622">
              <w:rPr>
                <w:sz w:val="20"/>
                <w:szCs w:val="20"/>
              </w:rPr>
              <w:t xml:space="preserve">Persönliche Hilfe nach SHG </w:t>
            </w:r>
            <w:r w:rsidRPr="002B0622">
              <w:rPr>
                <w:b/>
                <w:sz w:val="20"/>
                <w:szCs w:val="20"/>
                <w:u w:val="single"/>
              </w:rPr>
              <w:t>mit</w:t>
            </w:r>
            <w:r w:rsidRPr="002B0622">
              <w:rPr>
                <w:sz w:val="20"/>
                <w:szCs w:val="20"/>
              </w:rPr>
              <w:t xml:space="preserve"> Existenzsicherung und Finanzfluss</w:t>
            </w:r>
          </w:p>
        </w:tc>
        <w:tc>
          <w:tcPr>
            <w:tcW w:w="863" w:type="dxa"/>
            <w:shd w:val="clear" w:color="auto" w:fill="auto"/>
            <w:vAlign w:val="center"/>
          </w:tcPr>
          <w:p w14:paraId="6B61F52C" w14:textId="77777777" w:rsidR="00D96D11" w:rsidRPr="002B0622" w:rsidRDefault="00D96D11" w:rsidP="000B17B8">
            <w:pPr>
              <w:pStyle w:val="StadtZrichInhalt"/>
              <w:rPr>
                <w:sz w:val="20"/>
                <w:szCs w:val="20"/>
              </w:rPr>
            </w:pPr>
            <w:r w:rsidRPr="002B0622">
              <w:rPr>
                <w:sz w:val="20"/>
                <w:szCs w:val="20"/>
              </w:rPr>
              <w:t>X</w:t>
            </w:r>
          </w:p>
        </w:tc>
        <w:tc>
          <w:tcPr>
            <w:tcW w:w="1461" w:type="dxa"/>
            <w:shd w:val="clear" w:color="auto" w:fill="auto"/>
            <w:vAlign w:val="center"/>
          </w:tcPr>
          <w:p w14:paraId="280787BB" w14:textId="77777777" w:rsidR="00D96D11" w:rsidRPr="002B0622" w:rsidRDefault="00D96D11" w:rsidP="000B17B8">
            <w:pPr>
              <w:pStyle w:val="StadtZrichInhalt"/>
              <w:rPr>
                <w:sz w:val="20"/>
                <w:szCs w:val="20"/>
              </w:rPr>
            </w:pPr>
            <w:r w:rsidRPr="002B0622">
              <w:rPr>
                <w:sz w:val="20"/>
                <w:szCs w:val="20"/>
              </w:rPr>
              <w:t>X</w:t>
            </w:r>
          </w:p>
        </w:tc>
        <w:tc>
          <w:tcPr>
            <w:tcW w:w="3091" w:type="dxa"/>
            <w:shd w:val="clear" w:color="auto" w:fill="auto"/>
          </w:tcPr>
          <w:p w14:paraId="43EED664" w14:textId="77777777" w:rsidR="00D96D11" w:rsidRPr="002B0622" w:rsidRDefault="00D96D11" w:rsidP="000B17B8">
            <w:pPr>
              <w:pStyle w:val="StadtZrichInhalt"/>
              <w:rPr>
                <w:sz w:val="20"/>
                <w:szCs w:val="20"/>
              </w:rPr>
            </w:pPr>
            <w:r w:rsidRPr="002B0622">
              <w:rPr>
                <w:sz w:val="20"/>
                <w:szCs w:val="20"/>
              </w:rPr>
              <w:t>Neuaufnahmen bleiben maximal 6 Monate im Intake, nachher Übergabe an QT</w:t>
            </w:r>
          </w:p>
        </w:tc>
      </w:tr>
      <w:tr w:rsidR="00D96D11" w14:paraId="67BAABB8" w14:textId="77777777" w:rsidTr="004704F3">
        <w:tc>
          <w:tcPr>
            <w:tcW w:w="3657" w:type="dxa"/>
            <w:shd w:val="clear" w:color="auto" w:fill="auto"/>
          </w:tcPr>
          <w:p w14:paraId="6CA88E12" w14:textId="77777777" w:rsidR="00D96D11" w:rsidRPr="002B0622" w:rsidRDefault="00D96D11" w:rsidP="000B17B8">
            <w:pPr>
              <w:pStyle w:val="StadtZrichInhalt"/>
              <w:rPr>
                <w:sz w:val="20"/>
                <w:szCs w:val="20"/>
              </w:rPr>
            </w:pPr>
            <w:r w:rsidRPr="002B0622">
              <w:rPr>
                <w:sz w:val="20"/>
                <w:szCs w:val="20"/>
              </w:rPr>
              <w:t xml:space="preserve">Persönliche Hilfe nach SHG </w:t>
            </w:r>
            <w:r w:rsidRPr="002B0622">
              <w:rPr>
                <w:b/>
                <w:sz w:val="20"/>
                <w:szCs w:val="20"/>
                <w:u w:val="single"/>
              </w:rPr>
              <w:t>ohne</w:t>
            </w:r>
            <w:r w:rsidRPr="002B0622">
              <w:rPr>
                <w:sz w:val="20"/>
                <w:szCs w:val="20"/>
              </w:rPr>
              <w:t xml:space="preserve"> Existenzsicherung und ohne Finanzfluss </w:t>
            </w:r>
          </w:p>
        </w:tc>
        <w:tc>
          <w:tcPr>
            <w:tcW w:w="863" w:type="dxa"/>
            <w:shd w:val="clear" w:color="auto" w:fill="auto"/>
            <w:vAlign w:val="center"/>
          </w:tcPr>
          <w:p w14:paraId="195F4A51" w14:textId="77777777" w:rsidR="00D96D11" w:rsidRPr="002B0622" w:rsidRDefault="00D96D11" w:rsidP="000B17B8">
            <w:pPr>
              <w:pStyle w:val="StadtZrichInhalt"/>
              <w:rPr>
                <w:sz w:val="20"/>
                <w:szCs w:val="20"/>
              </w:rPr>
            </w:pPr>
            <w:r w:rsidRPr="002B0622">
              <w:rPr>
                <w:sz w:val="20"/>
                <w:szCs w:val="20"/>
              </w:rPr>
              <w:t>X</w:t>
            </w:r>
          </w:p>
        </w:tc>
        <w:tc>
          <w:tcPr>
            <w:tcW w:w="1461" w:type="dxa"/>
            <w:shd w:val="clear" w:color="auto" w:fill="auto"/>
            <w:vAlign w:val="center"/>
          </w:tcPr>
          <w:p w14:paraId="77B2CFFA" w14:textId="77777777" w:rsidR="00D96D11" w:rsidRPr="002B0622" w:rsidRDefault="00D96D11" w:rsidP="000B17B8">
            <w:pPr>
              <w:pStyle w:val="StadtZrichInhalt"/>
              <w:rPr>
                <w:sz w:val="20"/>
                <w:szCs w:val="20"/>
              </w:rPr>
            </w:pPr>
          </w:p>
        </w:tc>
        <w:tc>
          <w:tcPr>
            <w:tcW w:w="3091" w:type="dxa"/>
            <w:shd w:val="clear" w:color="auto" w:fill="auto"/>
          </w:tcPr>
          <w:p w14:paraId="21E19FC2" w14:textId="77777777" w:rsidR="00D96D11" w:rsidRPr="002B0622" w:rsidRDefault="00AD3D93" w:rsidP="000B17B8">
            <w:pPr>
              <w:pStyle w:val="StadtZrichInhalt"/>
              <w:rPr>
                <w:sz w:val="20"/>
                <w:szCs w:val="20"/>
              </w:rPr>
            </w:pPr>
            <w:r w:rsidRPr="002B0622">
              <w:rPr>
                <w:sz w:val="20"/>
                <w:szCs w:val="20"/>
              </w:rPr>
              <w:t>Fälle bleiben für maximal 10 Beratungs</w:t>
            </w:r>
            <w:r w:rsidR="00D96D11" w:rsidRPr="002B0622">
              <w:rPr>
                <w:sz w:val="20"/>
                <w:szCs w:val="20"/>
              </w:rPr>
              <w:t>gespräche</w:t>
            </w:r>
            <w:r w:rsidR="0009599D" w:rsidRPr="002B0622">
              <w:rPr>
                <w:sz w:val="20"/>
                <w:szCs w:val="20"/>
              </w:rPr>
              <w:t xml:space="preserve"> im Intake (in der Regel innerh</w:t>
            </w:r>
            <w:r w:rsidR="00D96D11" w:rsidRPr="002B0622">
              <w:rPr>
                <w:sz w:val="20"/>
                <w:szCs w:val="20"/>
              </w:rPr>
              <w:t>a</w:t>
            </w:r>
            <w:r w:rsidR="0009599D" w:rsidRPr="002B0622">
              <w:rPr>
                <w:sz w:val="20"/>
                <w:szCs w:val="20"/>
              </w:rPr>
              <w:t>l</w:t>
            </w:r>
            <w:r w:rsidR="00D96D11" w:rsidRPr="002B0622">
              <w:rPr>
                <w:sz w:val="20"/>
                <w:szCs w:val="20"/>
              </w:rPr>
              <w:t>b von 6 Monaten)</w:t>
            </w:r>
            <w:r w:rsidR="0009599D" w:rsidRPr="002B0622">
              <w:rPr>
                <w:sz w:val="20"/>
                <w:szCs w:val="20"/>
              </w:rPr>
              <w:t>. Ohne Lösung nach dieser Zeit = Übergabe an QT oder Triage an Dritte.</w:t>
            </w:r>
          </w:p>
        </w:tc>
      </w:tr>
      <w:tr w:rsidR="00D96D11" w14:paraId="0BFD3FF3" w14:textId="77777777" w:rsidTr="004704F3">
        <w:tc>
          <w:tcPr>
            <w:tcW w:w="3657" w:type="dxa"/>
            <w:shd w:val="clear" w:color="auto" w:fill="auto"/>
          </w:tcPr>
          <w:p w14:paraId="7F5A8E4D" w14:textId="77777777" w:rsidR="00D96D11" w:rsidRPr="002B0622" w:rsidRDefault="00D96D11" w:rsidP="000B17B8">
            <w:pPr>
              <w:pStyle w:val="StadtZrichInhalt"/>
              <w:rPr>
                <w:sz w:val="20"/>
                <w:szCs w:val="20"/>
              </w:rPr>
            </w:pPr>
            <w:r w:rsidRPr="002B0622">
              <w:rPr>
                <w:sz w:val="20"/>
                <w:szCs w:val="20"/>
              </w:rPr>
              <w:t xml:space="preserve">Persönliche Hilfe nach SHG </w:t>
            </w:r>
            <w:r w:rsidRPr="002B0622">
              <w:rPr>
                <w:b/>
                <w:sz w:val="20"/>
                <w:szCs w:val="20"/>
                <w:u w:val="single"/>
              </w:rPr>
              <w:t>ohne</w:t>
            </w:r>
            <w:r w:rsidRPr="002B0622">
              <w:rPr>
                <w:sz w:val="20"/>
                <w:szCs w:val="20"/>
              </w:rPr>
              <w:t xml:space="preserve"> Existenzsicherung mit freiwilliger Einkommens- und Vermögensverwaltung </w:t>
            </w:r>
          </w:p>
          <w:p w14:paraId="501225B8" w14:textId="77777777" w:rsidR="00D96D11" w:rsidRPr="002B0622" w:rsidRDefault="00D96D11" w:rsidP="000B17B8">
            <w:pPr>
              <w:pStyle w:val="StadtZrichInhalt"/>
              <w:rPr>
                <w:sz w:val="20"/>
                <w:szCs w:val="20"/>
              </w:rPr>
            </w:pPr>
            <w:r w:rsidRPr="002B0622">
              <w:rPr>
                <w:sz w:val="20"/>
                <w:szCs w:val="20"/>
              </w:rPr>
              <w:t>= Vermittlungsfälle</w:t>
            </w:r>
          </w:p>
        </w:tc>
        <w:tc>
          <w:tcPr>
            <w:tcW w:w="863" w:type="dxa"/>
            <w:shd w:val="clear" w:color="auto" w:fill="auto"/>
            <w:vAlign w:val="center"/>
          </w:tcPr>
          <w:p w14:paraId="633DE686" w14:textId="77777777" w:rsidR="00D96D11" w:rsidRPr="002B0622" w:rsidRDefault="00D96D11" w:rsidP="000B17B8">
            <w:pPr>
              <w:pStyle w:val="StadtZrichInhalt"/>
              <w:rPr>
                <w:sz w:val="20"/>
                <w:szCs w:val="20"/>
              </w:rPr>
            </w:pPr>
          </w:p>
        </w:tc>
        <w:tc>
          <w:tcPr>
            <w:tcW w:w="1461" w:type="dxa"/>
            <w:shd w:val="clear" w:color="auto" w:fill="auto"/>
            <w:vAlign w:val="center"/>
          </w:tcPr>
          <w:p w14:paraId="58C184FC" w14:textId="77777777" w:rsidR="00D96D11" w:rsidRPr="002B0622" w:rsidRDefault="00D96D11" w:rsidP="000B17B8">
            <w:pPr>
              <w:pStyle w:val="StadtZrichInhalt"/>
              <w:rPr>
                <w:sz w:val="20"/>
                <w:szCs w:val="20"/>
              </w:rPr>
            </w:pPr>
            <w:r w:rsidRPr="002B0622">
              <w:rPr>
                <w:sz w:val="20"/>
                <w:szCs w:val="20"/>
              </w:rPr>
              <w:t>X</w:t>
            </w:r>
          </w:p>
        </w:tc>
        <w:tc>
          <w:tcPr>
            <w:tcW w:w="3091" w:type="dxa"/>
            <w:shd w:val="clear" w:color="auto" w:fill="auto"/>
          </w:tcPr>
          <w:p w14:paraId="13179D61" w14:textId="77777777" w:rsidR="00D96D11" w:rsidRPr="002B0622" w:rsidRDefault="0009599D" w:rsidP="000B17B8">
            <w:pPr>
              <w:pStyle w:val="StadtZrichInhalt"/>
              <w:rPr>
                <w:sz w:val="20"/>
                <w:szCs w:val="20"/>
              </w:rPr>
            </w:pPr>
            <w:r w:rsidRPr="002B0622">
              <w:rPr>
                <w:sz w:val="20"/>
                <w:szCs w:val="20"/>
              </w:rPr>
              <w:t>Falls Fälle an der Information oder im</w:t>
            </w:r>
            <w:r w:rsidR="00D96D11" w:rsidRPr="002B0622">
              <w:rPr>
                <w:sz w:val="20"/>
                <w:szCs w:val="20"/>
              </w:rPr>
              <w:t xml:space="preserve"> Intake</w:t>
            </w:r>
            <w:r w:rsidRPr="002B0622">
              <w:rPr>
                <w:sz w:val="20"/>
                <w:szCs w:val="20"/>
              </w:rPr>
              <w:t xml:space="preserve"> anlaufen =</w:t>
            </w:r>
            <w:r w:rsidR="00D96D11" w:rsidRPr="002B0622">
              <w:rPr>
                <w:sz w:val="20"/>
                <w:szCs w:val="20"/>
              </w:rPr>
              <w:t xml:space="preserve"> unmittelbar</w:t>
            </w:r>
            <w:r w:rsidRPr="002B0622">
              <w:rPr>
                <w:sz w:val="20"/>
                <w:szCs w:val="20"/>
              </w:rPr>
              <w:t>e Übergabe</w:t>
            </w:r>
            <w:r w:rsidR="00D96D11" w:rsidRPr="002B0622">
              <w:rPr>
                <w:sz w:val="20"/>
                <w:szCs w:val="20"/>
              </w:rPr>
              <w:t xml:space="preserve"> ans QT</w:t>
            </w:r>
          </w:p>
        </w:tc>
      </w:tr>
      <w:tr w:rsidR="00D96D11" w14:paraId="270E7AF7" w14:textId="77777777" w:rsidTr="004704F3">
        <w:tc>
          <w:tcPr>
            <w:tcW w:w="3657" w:type="dxa"/>
            <w:shd w:val="clear" w:color="auto" w:fill="auto"/>
          </w:tcPr>
          <w:p w14:paraId="0D8AF91D" w14:textId="77777777" w:rsidR="00D96D11" w:rsidRPr="002B0622" w:rsidRDefault="00D96D11" w:rsidP="000B17B8">
            <w:pPr>
              <w:pStyle w:val="StadtZrichInhalt"/>
              <w:rPr>
                <w:sz w:val="20"/>
                <w:szCs w:val="20"/>
              </w:rPr>
            </w:pPr>
            <w:r w:rsidRPr="002B0622">
              <w:rPr>
                <w:sz w:val="20"/>
                <w:szCs w:val="20"/>
              </w:rPr>
              <w:t xml:space="preserve">Beratungsleistungen nach KESR </w:t>
            </w:r>
          </w:p>
          <w:p w14:paraId="27838AFA" w14:textId="77777777" w:rsidR="00D96D11" w:rsidRPr="002B0622" w:rsidRDefault="00D96D11" w:rsidP="000B17B8">
            <w:pPr>
              <w:pStyle w:val="StadtZrichInhalt"/>
              <w:rPr>
                <w:sz w:val="20"/>
                <w:szCs w:val="20"/>
              </w:rPr>
            </w:pPr>
            <w:r w:rsidRPr="002B0622">
              <w:rPr>
                <w:sz w:val="20"/>
                <w:szCs w:val="20"/>
              </w:rPr>
              <w:t>= Mandate</w:t>
            </w:r>
            <w:r w:rsidR="003879AA" w:rsidRPr="002B0622">
              <w:rPr>
                <w:sz w:val="20"/>
                <w:szCs w:val="20"/>
              </w:rPr>
              <w:t xml:space="preserve"> Kindes- und</w:t>
            </w:r>
            <w:r w:rsidRPr="002B0622">
              <w:rPr>
                <w:sz w:val="20"/>
                <w:szCs w:val="20"/>
              </w:rPr>
              <w:t xml:space="preserve"> Erwachsenenschutz</w:t>
            </w:r>
            <w:r w:rsidR="003879AA" w:rsidRPr="002B0622">
              <w:rPr>
                <w:sz w:val="20"/>
                <w:szCs w:val="20"/>
              </w:rPr>
              <w:t xml:space="preserve"> sowie Abklärungen</w:t>
            </w:r>
          </w:p>
        </w:tc>
        <w:tc>
          <w:tcPr>
            <w:tcW w:w="863" w:type="dxa"/>
            <w:shd w:val="clear" w:color="auto" w:fill="auto"/>
            <w:vAlign w:val="center"/>
          </w:tcPr>
          <w:p w14:paraId="7C77708F" w14:textId="77777777" w:rsidR="00D96D11" w:rsidRPr="002B0622" w:rsidRDefault="00D96D11" w:rsidP="000B17B8">
            <w:pPr>
              <w:pStyle w:val="StadtZrichInhalt"/>
              <w:rPr>
                <w:sz w:val="20"/>
                <w:szCs w:val="20"/>
              </w:rPr>
            </w:pPr>
          </w:p>
        </w:tc>
        <w:tc>
          <w:tcPr>
            <w:tcW w:w="1461" w:type="dxa"/>
            <w:shd w:val="clear" w:color="auto" w:fill="auto"/>
            <w:vAlign w:val="center"/>
          </w:tcPr>
          <w:p w14:paraId="0D2612B1" w14:textId="77777777" w:rsidR="00D96D11" w:rsidRPr="002B0622" w:rsidRDefault="00D96D11" w:rsidP="000B17B8">
            <w:pPr>
              <w:pStyle w:val="StadtZrichInhalt"/>
              <w:rPr>
                <w:sz w:val="20"/>
                <w:szCs w:val="20"/>
              </w:rPr>
            </w:pPr>
            <w:r w:rsidRPr="002B0622">
              <w:rPr>
                <w:sz w:val="20"/>
                <w:szCs w:val="20"/>
              </w:rPr>
              <w:t>X</w:t>
            </w:r>
          </w:p>
        </w:tc>
        <w:tc>
          <w:tcPr>
            <w:tcW w:w="3091" w:type="dxa"/>
            <w:shd w:val="clear" w:color="auto" w:fill="auto"/>
          </w:tcPr>
          <w:p w14:paraId="08A7C3C8" w14:textId="77777777" w:rsidR="00D96D11" w:rsidRPr="002B0622" w:rsidRDefault="0009599D" w:rsidP="000B17B8">
            <w:pPr>
              <w:pStyle w:val="StadtZrichInhalt"/>
              <w:rPr>
                <w:sz w:val="20"/>
                <w:szCs w:val="20"/>
              </w:rPr>
            </w:pPr>
            <w:r w:rsidRPr="002B0622">
              <w:rPr>
                <w:sz w:val="20"/>
                <w:szCs w:val="20"/>
              </w:rPr>
              <w:t>Übergabe</w:t>
            </w:r>
            <w:r w:rsidR="00D96D11" w:rsidRPr="002B0622">
              <w:rPr>
                <w:sz w:val="20"/>
                <w:szCs w:val="20"/>
              </w:rPr>
              <w:t xml:space="preserve"> von KESB direkt ans QT</w:t>
            </w:r>
          </w:p>
        </w:tc>
      </w:tr>
      <w:tr w:rsidR="00D96D11" w14:paraId="3BCF4315" w14:textId="77777777" w:rsidTr="004704F3">
        <w:tc>
          <w:tcPr>
            <w:tcW w:w="3657" w:type="dxa"/>
            <w:shd w:val="clear" w:color="auto" w:fill="auto"/>
          </w:tcPr>
          <w:p w14:paraId="71902F1E" w14:textId="77777777" w:rsidR="00D96D11" w:rsidRPr="002B0622" w:rsidRDefault="00D96D11" w:rsidP="000B17B8">
            <w:pPr>
              <w:pStyle w:val="StadtZrichInhalt"/>
              <w:rPr>
                <w:sz w:val="20"/>
                <w:szCs w:val="20"/>
              </w:rPr>
            </w:pPr>
            <w:r w:rsidRPr="002B0622">
              <w:rPr>
                <w:sz w:val="20"/>
                <w:szCs w:val="20"/>
              </w:rPr>
              <w:t xml:space="preserve">Beratungsleistungen nach KJHG </w:t>
            </w:r>
          </w:p>
          <w:p w14:paraId="436C867D" w14:textId="77777777" w:rsidR="00D96D11" w:rsidRPr="002B0622" w:rsidRDefault="00D96D11" w:rsidP="000B17B8">
            <w:pPr>
              <w:pStyle w:val="StadtZrichInhalt"/>
              <w:rPr>
                <w:sz w:val="20"/>
                <w:szCs w:val="20"/>
              </w:rPr>
            </w:pPr>
            <w:r w:rsidRPr="002B0622">
              <w:rPr>
                <w:sz w:val="20"/>
                <w:szCs w:val="20"/>
              </w:rPr>
              <w:t xml:space="preserve">= Familienberatung </w:t>
            </w:r>
          </w:p>
          <w:p w14:paraId="3570352A" w14:textId="77777777" w:rsidR="00D96D11" w:rsidRPr="002B0622" w:rsidRDefault="00D96D11" w:rsidP="000B17B8">
            <w:pPr>
              <w:pStyle w:val="StadtZrichInhalt"/>
              <w:rPr>
                <w:sz w:val="20"/>
                <w:szCs w:val="20"/>
              </w:rPr>
            </w:pPr>
          </w:p>
        </w:tc>
        <w:tc>
          <w:tcPr>
            <w:tcW w:w="863" w:type="dxa"/>
            <w:shd w:val="clear" w:color="auto" w:fill="auto"/>
            <w:vAlign w:val="center"/>
          </w:tcPr>
          <w:p w14:paraId="2CB4583D" w14:textId="77777777" w:rsidR="00D96D11" w:rsidRPr="002B0622" w:rsidRDefault="00D96D11" w:rsidP="000B17B8">
            <w:pPr>
              <w:pStyle w:val="StadtZrichInhalt"/>
              <w:rPr>
                <w:sz w:val="20"/>
                <w:szCs w:val="20"/>
              </w:rPr>
            </w:pPr>
          </w:p>
        </w:tc>
        <w:tc>
          <w:tcPr>
            <w:tcW w:w="1461" w:type="dxa"/>
            <w:shd w:val="clear" w:color="auto" w:fill="auto"/>
            <w:vAlign w:val="center"/>
          </w:tcPr>
          <w:p w14:paraId="1DA9D6AE" w14:textId="77777777" w:rsidR="00D96D11" w:rsidRPr="002B0622" w:rsidRDefault="00D96D11" w:rsidP="000B17B8">
            <w:pPr>
              <w:pStyle w:val="StadtZrichInhalt"/>
              <w:rPr>
                <w:sz w:val="20"/>
                <w:szCs w:val="20"/>
              </w:rPr>
            </w:pPr>
            <w:r w:rsidRPr="002B0622">
              <w:rPr>
                <w:sz w:val="20"/>
                <w:szCs w:val="20"/>
              </w:rPr>
              <w:t>X</w:t>
            </w:r>
          </w:p>
        </w:tc>
        <w:tc>
          <w:tcPr>
            <w:tcW w:w="3091" w:type="dxa"/>
            <w:shd w:val="clear" w:color="auto" w:fill="auto"/>
          </w:tcPr>
          <w:p w14:paraId="179DA5BC" w14:textId="77777777" w:rsidR="0009599D" w:rsidRPr="002B0622" w:rsidRDefault="00BD1169" w:rsidP="000B17B8">
            <w:pPr>
              <w:pStyle w:val="StadtZrichInhalt"/>
              <w:rPr>
                <w:sz w:val="20"/>
                <w:szCs w:val="20"/>
              </w:rPr>
            </w:pPr>
            <w:r w:rsidRPr="002B0622">
              <w:rPr>
                <w:sz w:val="20"/>
                <w:szCs w:val="20"/>
              </w:rPr>
              <w:t>U</w:t>
            </w:r>
            <w:r w:rsidR="0009599D" w:rsidRPr="002B0622">
              <w:rPr>
                <w:sz w:val="20"/>
                <w:szCs w:val="20"/>
              </w:rPr>
              <w:t>nmittelbare Übergabe</w:t>
            </w:r>
            <w:r w:rsidR="003879AA" w:rsidRPr="002B0622">
              <w:rPr>
                <w:sz w:val="20"/>
                <w:szCs w:val="20"/>
              </w:rPr>
              <w:t xml:space="preserve"> der Beratungssuchenden</w:t>
            </w:r>
            <w:r w:rsidRPr="002B0622">
              <w:rPr>
                <w:sz w:val="20"/>
                <w:szCs w:val="20"/>
              </w:rPr>
              <w:t xml:space="preserve"> von der Information oder vom Orientierungsgespräch</w:t>
            </w:r>
            <w:r w:rsidR="0009599D" w:rsidRPr="002B0622">
              <w:rPr>
                <w:sz w:val="20"/>
                <w:szCs w:val="20"/>
              </w:rPr>
              <w:t xml:space="preserve"> ans QT:</w:t>
            </w:r>
          </w:p>
          <w:p w14:paraId="15EBCC94" w14:textId="77777777" w:rsidR="0009599D" w:rsidRPr="002B0622" w:rsidRDefault="0009599D" w:rsidP="000B17B8">
            <w:pPr>
              <w:pStyle w:val="StadtZrichInhalt"/>
              <w:rPr>
                <w:sz w:val="20"/>
                <w:szCs w:val="20"/>
              </w:rPr>
            </w:pPr>
          </w:p>
          <w:p w14:paraId="121414D9" w14:textId="77777777" w:rsidR="00D96D11" w:rsidRPr="002B0622" w:rsidRDefault="0009599D" w:rsidP="000B17B8">
            <w:pPr>
              <w:pStyle w:val="StadtZrichInhalt"/>
              <w:rPr>
                <w:sz w:val="20"/>
                <w:szCs w:val="20"/>
              </w:rPr>
            </w:pPr>
            <w:r w:rsidRPr="002B0622">
              <w:rPr>
                <w:sz w:val="20"/>
                <w:szCs w:val="20"/>
              </w:rPr>
              <w:t xml:space="preserve">Von der </w:t>
            </w:r>
            <w:r w:rsidRPr="002B0622">
              <w:rPr>
                <w:b/>
                <w:sz w:val="20"/>
                <w:szCs w:val="20"/>
                <w:u w:val="single"/>
              </w:rPr>
              <w:t>Information</w:t>
            </w:r>
            <w:r w:rsidRPr="002B0622">
              <w:rPr>
                <w:sz w:val="20"/>
                <w:szCs w:val="20"/>
              </w:rPr>
              <w:t xml:space="preserve"> mittels </w:t>
            </w:r>
            <w:r w:rsidR="00D96D11" w:rsidRPr="002B0622">
              <w:rPr>
                <w:sz w:val="20"/>
                <w:szCs w:val="20"/>
              </w:rPr>
              <w:t>direkte</w:t>
            </w:r>
            <w:r w:rsidRPr="002B0622">
              <w:rPr>
                <w:sz w:val="20"/>
                <w:szCs w:val="20"/>
              </w:rPr>
              <w:t>r</w:t>
            </w:r>
            <w:r w:rsidR="00D96D11" w:rsidRPr="002B0622">
              <w:rPr>
                <w:sz w:val="20"/>
                <w:szCs w:val="20"/>
              </w:rPr>
              <w:t xml:space="preserve"> </w:t>
            </w:r>
            <w:proofErr w:type="spellStart"/>
            <w:r w:rsidR="00D96D11" w:rsidRPr="002B0622">
              <w:rPr>
                <w:sz w:val="20"/>
                <w:szCs w:val="20"/>
              </w:rPr>
              <w:t>Einbuchung</w:t>
            </w:r>
            <w:proofErr w:type="spellEnd"/>
            <w:r w:rsidR="00D96D11" w:rsidRPr="002B0622">
              <w:rPr>
                <w:sz w:val="20"/>
                <w:szCs w:val="20"/>
              </w:rPr>
              <w:t xml:space="preserve"> von Online-Beratungsterminen</w:t>
            </w:r>
            <w:r w:rsidRPr="002B0622">
              <w:rPr>
                <w:sz w:val="20"/>
                <w:szCs w:val="20"/>
              </w:rPr>
              <w:t xml:space="preserve"> ohne weitere Informationen.</w:t>
            </w:r>
          </w:p>
          <w:p w14:paraId="27707C76" w14:textId="77777777" w:rsidR="0009599D" w:rsidRPr="002B0622" w:rsidRDefault="0009599D" w:rsidP="000B17B8">
            <w:pPr>
              <w:pStyle w:val="StadtZrichInhalt"/>
              <w:rPr>
                <w:sz w:val="20"/>
                <w:szCs w:val="20"/>
              </w:rPr>
            </w:pPr>
          </w:p>
          <w:p w14:paraId="2163741D" w14:textId="77777777" w:rsidR="0009599D" w:rsidRPr="002B0622" w:rsidRDefault="0009599D" w:rsidP="000B17B8">
            <w:pPr>
              <w:pStyle w:val="StadtZrichInhalt"/>
              <w:rPr>
                <w:sz w:val="20"/>
                <w:szCs w:val="20"/>
              </w:rPr>
            </w:pPr>
            <w:r w:rsidRPr="002B0622">
              <w:rPr>
                <w:sz w:val="20"/>
                <w:szCs w:val="20"/>
              </w:rPr>
              <w:lastRenderedPageBreak/>
              <w:t xml:space="preserve">Aus dem </w:t>
            </w:r>
            <w:r w:rsidRPr="002B0622">
              <w:rPr>
                <w:b/>
                <w:sz w:val="20"/>
                <w:szCs w:val="20"/>
                <w:u w:val="single"/>
              </w:rPr>
              <w:t>Orientierungs-gespräch</w:t>
            </w:r>
            <w:r w:rsidRPr="002B0622">
              <w:rPr>
                <w:sz w:val="20"/>
                <w:szCs w:val="20"/>
              </w:rPr>
              <w:t xml:space="preserve"> mittels direkter </w:t>
            </w:r>
            <w:proofErr w:type="spellStart"/>
            <w:r w:rsidRPr="002B0622">
              <w:rPr>
                <w:sz w:val="20"/>
                <w:szCs w:val="20"/>
              </w:rPr>
              <w:t>Einbuchung</w:t>
            </w:r>
            <w:proofErr w:type="spellEnd"/>
            <w:r w:rsidRPr="002B0622">
              <w:rPr>
                <w:sz w:val="20"/>
                <w:szCs w:val="20"/>
              </w:rPr>
              <w:t xml:space="preserve"> von Online-Beratungsterminen und Verweis auf Aktennotiz im Fallführungssystem</w:t>
            </w:r>
            <w:r w:rsidR="008D0534">
              <w:rPr>
                <w:sz w:val="20"/>
                <w:szCs w:val="20"/>
              </w:rPr>
              <w:t>.</w:t>
            </w:r>
          </w:p>
          <w:p w14:paraId="7F6A4DAE" w14:textId="77777777" w:rsidR="007B35AE" w:rsidRPr="002B0622" w:rsidRDefault="007B35AE" w:rsidP="000B17B8">
            <w:pPr>
              <w:pStyle w:val="StadtZrichInhalt"/>
              <w:rPr>
                <w:sz w:val="20"/>
                <w:szCs w:val="20"/>
              </w:rPr>
            </w:pPr>
          </w:p>
          <w:p w14:paraId="2C33018D" w14:textId="77777777" w:rsidR="007B35AE" w:rsidRPr="002B0622" w:rsidRDefault="007B35AE" w:rsidP="000B17B8">
            <w:pPr>
              <w:pStyle w:val="StadtZrichInhalt"/>
              <w:rPr>
                <w:sz w:val="20"/>
                <w:szCs w:val="20"/>
              </w:rPr>
            </w:pPr>
            <w:r w:rsidRPr="002B0622">
              <w:rPr>
                <w:sz w:val="20"/>
                <w:szCs w:val="20"/>
              </w:rPr>
              <w:t xml:space="preserve">Überweisungen von Fachstellen im Kinder- und Jugendbereich (SSA, SPD, KJPD, </w:t>
            </w:r>
            <w:proofErr w:type="spellStart"/>
            <w:r w:rsidRPr="002B0622">
              <w:rPr>
                <w:sz w:val="20"/>
                <w:szCs w:val="20"/>
              </w:rPr>
              <w:t>Schlupfhuus</w:t>
            </w:r>
            <w:proofErr w:type="spellEnd"/>
            <w:r w:rsidRPr="002B0622">
              <w:rPr>
                <w:sz w:val="20"/>
                <w:szCs w:val="20"/>
              </w:rPr>
              <w:t>, etc.) erfolgen direkt ins QT.</w:t>
            </w:r>
          </w:p>
        </w:tc>
      </w:tr>
    </w:tbl>
    <w:p w14:paraId="194D53B3" w14:textId="77777777" w:rsidR="00A027AD" w:rsidRPr="009B17F2" w:rsidRDefault="00A027AD" w:rsidP="000B17B8"/>
    <w:sectPr w:rsidR="00A027AD" w:rsidRPr="009B17F2" w:rsidSect="0015602C">
      <w:headerReference w:type="default" r:id="rId16"/>
      <w:footerReference w:type="default" r:id="rId17"/>
      <w:headerReference w:type="first" r:id="rId18"/>
      <w:footerReference w:type="first" r:id="rId19"/>
      <w:pgSz w:w="11906" w:h="16838" w:code="9"/>
      <w:pgMar w:top="1985" w:right="1134" w:bottom="1247" w:left="1701" w:header="567" w:footer="76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E2F60" w14:textId="77777777" w:rsidR="00997A63" w:rsidRDefault="00997A63">
      <w:r>
        <w:separator/>
      </w:r>
    </w:p>
  </w:endnote>
  <w:endnote w:type="continuationSeparator" w:id="0">
    <w:p w14:paraId="1B43CCD5" w14:textId="77777777" w:rsidR="00997A63" w:rsidRDefault="0099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1A59B" w14:textId="53AA5893" w:rsidR="0015602C" w:rsidRDefault="0015602C">
    <w:pPr>
      <w:pStyle w:val="Fuzeile"/>
    </w:pPr>
    <w:r>
      <w:rPr>
        <w:sz w:val="17"/>
      </w:rPr>
      <w:fldChar w:fldCharType="begin"/>
    </w:r>
    <w:r>
      <w:rPr>
        <w:sz w:val="17"/>
      </w:rPr>
      <w:instrText xml:space="preserve"> FILENAME  \* MERGEFORMAT </w:instrText>
    </w:r>
    <w:r>
      <w:rPr>
        <w:sz w:val="17"/>
      </w:rPr>
      <w:fldChar w:fldCharType="separate"/>
    </w:r>
    <w:r>
      <w:rPr>
        <w:noProof/>
        <w:sz w:val="17"/>
      </w:rPr>
      <w:t>HAW Aufnahmeprozess - Zuständigkeiten Intake und Quartierteam.doc</w:t>
    </w:r>
    <w:r>
      <w:rPr>
        <w:sz w:val="17"/>
      </w:rPr>
      <w:fldChar w:fldCharType="end"/>
    </w:r>
    <w:r>
      <w:rPr>
        <w:sz w:val="17"/>
      </w:rPr>
      <w:t>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D216CA" w14:paraId="4302CBAC" w14:textId="77777777">
      <w:trPr>
        <w:trHeight w:val="356"/>
      </w:trPr>
      <w:tc>
        <w:tcPr>
          <w:tcW w:w="5063" w:type="dxa"/>
        </w:tcPr>
        <w:p w14:paraId="1B157A04" w14:textId="5ADBFF2C" w:rsidR="00D216CA" w:rsidRDefault="00D216CA" w:rsidP="00756E54">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D979CD">
            <w:rPr>
              <w:noProof/>
              <w:sz w:val="17"/>
            </w:rPr>
            <w:t>HAW Aufnahmeprozess - Zuständigkeiten Intake und Quartierteam.doc</w:t>
          </w:r>
          <w:r>
            <w:rPr>
              <w:sz w:val="17"/>
            </w:rPr>
            <w:fldChar w:fldCharType="end"/>
          </w:r>
          <w:r w:rsidR="0015602C">
            <w:rPr>
              <w:sz w:val="17"/>
            </w:rPr>
            <w:t>x</w:t>
          </w:r>
        </w:p>
      </w:tc>
      <w:tc>
        <w:tcPr>
          <w:tcW w:w="1430" w:type="dxa"/>
        </w:tcPr>
        <w:p w14:paraId="21F6B389" w14:textId="4521342D" w:rsidR="00D216CA" w:rsidRDefault="00D216CA" w:rsidP="00B97D98">
          <w:pPr>
            <w:pStyle w:val="Fuzeile"/>
            <w:tabs>
              <w:tab w:val="clear" w:pos="4536"/>
              <w:tab w:val="clear" w:pos="9072"/>
              <w:tab w:val="right" w:pos="8504"/>
            </w:tabs>
            <w:jc w:val="center"/>
            <w:rPr>
              <w:sz w:val="17"/>
            </w:rPr>
          </w:pPr>
          <w:r>
            <w:rPr>
              <w:sz w:val="17"/>
            </w:rPr>
            <w:t>Version 1.</w:t>
          </w:r>
          <w:r w:rsidR="00856701">
            <w:rPr>
              <w:sz w:val="17"/>
            </w:rPr>
            <w:t>1</w:t>
          </w:r>
        </w:p>
      </w:tc>
      <w:tc>
        <w:tcPr>
          <w:tcW w:w="2640" w:type="dxa"/>
        </w:tcPr>
        <w:p w14:paraId="10525E92" w14:textId="7F1B960C" w:rsidR="00D216CA" w:rsidRDefault="00B91633">
          <w:pPr>
            <w:pStyle w:val="Fuzeile"/>
            <w:tabs>
              <w:tab w:val="clear" w:pos="4536"/>
              <w:tab w:val="clear" w:pos="9072"/>
              <w:tab w:val="right" w:pos="8504"/>
            </w:tabs>
            <w:jc w:val="center"/>
            <w:rPr>
              <w:sz w:val="17"/>
              <w:lang w:val="de-DE"/>
            </w:rPr>
          </w:pPr>
          <w:r>
            <w:rPr>
              <w:sz w:val="17"/>
              <w:lang w:val="de-DE"/>
            </w:rPr>
            <w:t>Verfasser</w:t>
          </w:r>
          <w:r w:rsidR="00D216CA">
            <w:rPr>
              <w:sz w:val="17"/>
              <w:lang w:val="de-DE"/>
            </w:rPr>
            <w:t>: FS WH</w:t>
          </w:r>
        </w:p>
      </w:tc>
    </w:tr>
    <w:tr w:rsidR="00D216CA" w14:paraId="58252B7A" w14:textId="77777777" w:rsidTr="001542D0">
      <w:trPr>
        <w:trHeight w:val="356"/>
      </w:trPr>
      <w:tc>
        <w:tcPr>
          <w:tcW w:w="9133" w:type="dxa"/>
          <w:gridSpan w:val="3"/>
        </w:tcPr>
        <w:p w14:paraId="5D4C6E02" w14:textId="77777777" w:rsidR="00D216CA" w:rsidRDefault="00D216CA" w:rsidP="00B73D14">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2501BE9D" w14:textId="77777777" w:rsidR="00D216CA" w:rsidRDefault="00D216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30E04" w14:textId="77777777" w:rsidR="00997A63" w:rsidRDefault="00997A63">
      <w:r>
        <w:separator/>
      </w:r>
    </w:p>
  </w:footnote>
  <w:footnote w:type="continuationSeparator" w:id="0">
    <w:p w14:paraId="3CFA3440" w14:textId="77777777" w:rsidR="00997A63" w:rsidRDefault="00997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D216CA" w14:paraId="7495E00F" w14:textId="77777777">
      <w:tc>
        <w:tcPr>
          <w:tcW w:w="7257" w:type="dxa"/>
          <w:gridSpan w:val="2"/>
        </w:tcPr>
        <w:p w14:paraId="438BB6C8" w14:textId="043BD2A7" w:rsidR="00D216CA" w:rsidRDefault="0001219D">
          <w:pPr>
            <w:pStyle w:val="Kopfzeile"/>
            <w:tabs>
              <w:tab w:val="clear" w:pos="4536"/>
              <w:tab w:val="clear" w:pos="9072"/>
            </w:tabs>
            <w:rPr>
              <w:szCs w:val="22"/>
            </w:rPr>
          </w:pPr>
          <w:bookmarkStart w:id="28" w:name="OLE_LINK1"/>
          <w:r>
            <w:rPr>
              <w:noProof/>
              <w:szCs w:val="22"/>
              <w:lang w:eastAsia="de-CH"/>
            </w:rPr>
            <w:drawing>
              <wp:inline distT="0" distB="0" distL="0" distR="0" wp14:anchorId="1EC66282" wp14:editId="7BE46677">
                <wp:extent cx="1352550" cy="276225"/>
                <wp:effectExtent l="0" t="0" r="0" b="0"/>
                <wp:docPr id="15"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61EFFB22" w14:textId="77777777" w:rsidR="00D216CA" w:rsidRDefault="00D216CA">
          <w:pPr>
            <w:pStyle w:val="Kopfzeile"/>
            <w:tabs>
              <w:tab w:val="clear" w:pos="4536"/>
              <w:tab w:val="clear" w:pos="9072"/>
            </w:tabs>
            <w:rPr>
              <w:szCs w:val="22"/>
            </w:rPr>
          </w:pPr>
        </w:p>
      </w:tc>
      <w:tc>
        <w:tcPr>
          <w:tcW w:w="2495" w:type="dxa"/>
        </w:tcPr>
        <w:p w14:paraId="4E823772" w14:textId="77777777" w:rsidR="00D216CA" w:rsidRDefault="00D216CA">
          <w:pPr>
            <w:pStyle w:val="Kopfzeile"/>
            <w:tabs>
              <w:tab w:val="clear" w:pos="4536"/>
              <w:tab w:val="clear" w:pos="9072"/>
            </w:tabs>
            <w:rPr>
              <w:sz w:val="17"/>
              <w:szCs w:val="17"/>
            </w:rPr>
          </w:pPr>
        </w:p>
      </w:tc>
    </w:tr>
    <w:tr w:rsidR="00D216CA" w14:paraId="1B2BBB0A" w14:textId="77777777">
      <w:trPr>
        <w:trHeight w:val="210"/>
      </w:trPr>
      <w:tc>
        <w:tcPr>
          <w:tcW w:w="680" w:type="dxa"/>
        </w:tcPr>
        <w:p w14:paraId="34C1A2E0" w14:textId="77777777" w:rsidR="00D216CA" w:rsidRDefault="00D216CA">
          <w:pPr>
            <w:pStyle w:val="Kopfzeile"/>
          </w:pPr>
        </w:p>
      </w:tc>
      <w:tc>
        <w:tcPr>
          <w:tcW w:w="9072" w:type="dxa"/>
          <w:gridSpan w:val="2"/>
        </w:tcPr>
        <w:p w14:paraId="039235EF" w14:textId="4469137B" w:rsidR="00D216CA" w:rsidRDefault="00D216CA">
          <w:pPr>
            <w:pStyle w:val="Kopfzeile"/>
          </w:pPr>
          <w:r>
            <w:fldChar w:fldCharType="begin"/>
          </w:r>
          <w:r>
            <w:instrText xml:space="preserve"> PAGE   \* MERGEFORMAT </w:instrText>
          </w:r>
          <w:r>
            <w:fldChar w:fldCharType="separate"/>
          </w:r>
          <w:r w:rsidR="00FF10AF">
            <w:rPr>
              <w:noProof/>
            </w:rPr>
            <w:t>5</w:t>
          </w:r>
          <w:r>
            <w:fldChar w:fldCharType="end"/>
          </w:r>
          <w:r>
            <w:t>/</w:t>
          </w:r>
          <w:fldSimple w:instr=" NUMPAGES   \* MERGEFORMAT ">
            <w:r w:rsidR="00FF10AF">
              <w:rPr>
                <w:noProof/>
              </w:rPr>
              <w:t>5</w:t>
            </w:r>
          </w:fldSimple>
        </w:p>
      </w:tc>
    </w:tr>
    <w:bookmarkEnd w:id="28"/>
  </w:tbl>
  <w:p w14:paraId="77B31E5C" w14:textId="77777777" w:rsidR="00D216CA" w:rsidRDefault="00D216CA">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D216CA" w14:paraId="12625B1C" w14:textId="77777777">
      <w:tc>
        <w:tcPr>
          <w:tcW w:w="7257" w:type="dxa"/>
        </w:tcPr>
        <w:p w14:paraId="06CC5254" w14:textId="49D41DB4" w:rsidR="00D216CA" w:rsidRDefault="0001219D">
          <w:pPr>
            <w:pStyle w:val="Kopfzeile"/>
            <w:tabs>
              <w:tab w:val="clear" w:pos="4536"/>
              <w:tab w:val="clear" w:pos="9072"/>
            </w:tabs>
            <w:rPr>
              <w:szCs w:val="22"/>
            </w:rPr>
          </w:pPr>
          <w:r>
            <w:rPr>
              <w:noProof/>
              <w:szCs w:val="22"/>
              <w:lang w:eastAsia="de-CH"/>
            </w:rPr>
            <w:drawing>
              <wp:inline distT="0" distB="0" distL="0" distR="0" wp14:anchorId="3BBDE5C6" wp14:editId="78B16DF4">
                <wp:extent cx="1352550" cy="276225"/>
                <wp:effectExtent l="0" t="0" r="0" b="0"/>
                <wp:docPr id="16"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677F1C02" w14:textId="77777777" w:rsidR="00D216CA" w:rsidRDefault="00D216CA">
          <w:pPr>
            <w:pStyle w:val="Kopfzeile"/>
            <w:tabs>
              <w:tab w:val="clear" w:pos="4536"/>
              <w:tab w:val="clear" w:pos="9072"/>
            </w:tabs>
            <w:rPr>
              <w:sz w:val="17"/>
              <w:szCs w:val="17"/>
            </w:rPr>
          </w:pPr>
        </w:p>
      </w:tc>
    </w:tr>
    <w:tr w:rsidR="00D216CA" w14:paraId="5418D78C" w14:textId="77777777">
      <w:tc>
        <w:tcPr>
          <w:tcW w:w="7257" w:type="dxa"/>
        </w:tcPr>
        <w:p w14:paraId="624E079A" w14:textId="77777777" w:rsidR="00D216CA" w:rsidRDefault="00D216CA">
          <w:pPr>
            <w:pStyle w:val="Kopfzeile"/>
            <w:tabs>
              <w:tab w:val="clear" w:pos="4536"/>
              <w:tab w:val="clear" w:pos="9072"/>
            </w:tabs>
            <w:rPr>
              <w:szCs w:val="22"/>
            </w:rPr>
          </w:pPr>
        </w:p>
      </w:tc>
      <w:tc>
        <w:tcPr>
          <w:tcW w:w="2495" w:type="dxa"/>
        </w:tcPr>
        <w:p w14:paraId="66869541" w14:textId="77777777" w:rsidR="00D216CA" w:rsidRDefault="00D216CA">
          <w:pPr>
            <w:pStyle w:val="Kopfzeile"/>
            <w:tabs>
              <w:tab w:val="clear" w:pos="4536"/>
              <w:tab w:val="clear" w:pos="9072"/>
            </w:tabs>
            <w:rPr>
              <w:noProof/>
              <w:sz w:val="17"/>
              <w:szCs w:val="17"/>
              <w:lang w:val="de-DE"/>
            </w:rPr>
          </w:pPr>
        </w:p>
      </w:tc>
    </w:tr>
  </w:tbl>
  <w:p w14:paraId="5811F624" w14:textId="77777777" w:rsidR="00D216CA" w:rsidRDefault="00D216CA">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243"/>
    <w:multiLevelType w:val="hybridMultilevel"/>
    <w:tmpl w:val="7422AA26"/>
    <w:lvl w:ilvl="0" w:tplc="E4D8F56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2216EC"/>
    <w:multiLevelType w:val="multilevel"/>
    <w:tmpl w:val="7DF0FE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DA931CF"/>
    <w:multiLevelType w:val="hybridMultilevel"/>
    <w:tmpl w:val="3EDAAD78"/>
    <w:lvl w:ilvl="0" w:tplc="E4D8F56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3A272B"/>
    <w:multiLevelType w:val="hybridMultilevel"/>
    <w:tmpl w:val="CA3C0EFC"/>
    <w:lvl w:ilvl="0" w:tplc="556A309E">
      <w:start w:val="1"/>
      <w:numFmt w:val="bullet"/>
      <w:lvlText w:val="–"/>
      <w:lvlJc w:val="left"/>
      <w:pPr>
        <w:tabs>
          <w:tab w:val="num" w:pos="720"/>
        </w:tabs>
        <w:ind w:left="720" w:hanging="360"/>
      </w:pPr>
      <w:rPr>
        <w:rFonts w:ascii="Times New Roman" w:hAnsi="Times New Roman" w:hint="default"/>
      </w:rPr>
    </w:lvl>
    <w:lvl w:ilvl="1" w:tplc="65B2E7CC" w:tentative="1">
      <w:start w:val="1"/>
      <w:numFmt w:val="bullet"/>
      <w:lvlText w:val="–"/>
      <w:lvlJc w:val="left"/>
      <w:pPr>
        <w:tabs>
          <w:tab w:val="num" w:pos="1440"/>
        </w:tabs>
        <w:ind w:left="1440" w:hanging="360"/>
      </w:pPr>
      <w:rPr>
        <w:rFonts w:ascii="Times New Roman" w:hAnsi="Times New Roman" w:hint="default"/>
      </w:rPr>
    </w:lvl>
    <w:lvl w:ilvl="2" w:tplc="3036DA1E" w:tentative="1">
      <w:start w:val="1"/>
      <w:numFmt w:val="bullet"/>
      <w:lvlText w:val="–"/>
      <w:lvlJc w:val="left"/>
      <w:pPr>
        <w:tabs>
          <w:tab w:val="num" w:pos="2160"/>
        </w:tabs>
        <w:ind w:left="2160" w:hanging="360"/>
      </w:pPr>
      <w:rPr>
        <w:rFonts w:ascii="Times New Roman" w:hAnsi="Times New Roman" w:hint="default"/>
      </w:rPr>
    </w:lvl>
    <w:lvl w:ilvl="3" w:tplc="5DD8A62C" w:tentative="1">
      <w:start w:val="1"/>
      <w:numFmt w:val="bullet"/>
      <w:lvlText w:val="–"/>
      <w:lvlJc w:val="left"/>
      <w:pPr>
        <w:tabs>
          <w:tab w:val="num" w:pos="2880"/>
        </w:tabs>
        <w:ind w:left="2880" w:hanging="360"/>
      </w:pPr>
      <w:rPr>
        <w:rFonts w:ascii="Times New Roman" w:hAnsi="Times New Roman" w:hint="default"/>
      </w:rPr>
    </w:lvl>
    <w:lvl w:ilvl="4" w:tplc="56BAA986" w:tentative="1">
      <w:start w:val="1"/>
      <w:numFmt w:val="bullet"/>
      <w:lvlText w:val="–"/>
      <w:lvlJc w:val="left"/>
      <w:pPr>
        <w:tabs>
          <w:tab w:val="num" w:pos="3600"/>
        </w:tabs>
        <w:ind w:left="3600" w:hanging="360"/>
      </w:pPr>
      <w:rPr>
        <w:rFonts w:ascii="Times New Roman" w:hAnsi="Times New Roman" w:hint="default"/>
      </w:rPr>
    </w:lvl>
    <w:lvl w:ilvl="5" w:tplc="21C25F60" w:tentative="1">
      <w:start w:val="1"/>
      <w:numFmt w:val="bullet"/>
      <w:lvlText w:val="–"/>
      <w:lvlJc w:val="left"/>
      <w:pPr>
        <w:tabs>
          <w:tab w:val="num" w:pos="4320"/>
        </w:tabs>
        <w:ind w:left="4320" w:hanging="360"/>
      </w:pPr>
      <w:rPr>
        <w:rFonts w:ascii="Times New Roman" w:hAnsi="Times New Roman" w:hint="default"/>
      </w:rPr>
    </w:lvl>
    <w:lvl w:ilvl="6" w:tplc="84728E3C" w:tentative="1">
      <w:start w:val="1"/>
      <w:numFmt w:val="bullet"/>
      <w:lvlText w:val="–"/>
      <w:lvlJc w:val="left"/>
      <w:pPr>
        <w:tabs>
          <w:tab w:val="num" w:pos="5040"/>
        </w:tabs>
        <w:ind w:left="5040" w:hanging="360"/>
      </w:pPr>
      <w:rPr>
        <w:rFonts w:ascii="Times New Roman" w:hAnsi="Times New Roman" w:hint="default"/>
      </w:rPr>
    </w:lvl>
    <w:lvl w:ilvl="7" w:tplc="39B8B510" w:tentative="1">
      <w:start w:val="1"/>
      <w:numFmt w:val="bullet"/>
      <w:lvlText w:val="–"/>
      <w:lvlJc w:val="left"/>
      <w:pPr>
        <w:tabs>
          <w:tab w:val="num" w:pos="5760"/>
        </w:tabs>
        <w:ind w:left="5760" w:hanging="360"/>
      </w:pPr>
      <w:rPr>
        <w:rFonts w:ascii="Times New Roman" w:hAnsi="Times New Roman" w:hint="default"/>
      </w:rPr>
    </w:lvl>
    <w:lvl w:ilvl="8" w:tplc="D5E2E7D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B7206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8A1FC4"/>
    <w:multiLevelType w:val="hybridMultilevel"/>
    <w:tmpl w:val="A4BE8CA8"/>
    <w:lvl w:ilvl="0" w:tplc="83D89E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3924AC"/>
    <w:multiLevelType w:val="multilevel"/>
    <w:tmpl w:val="13FAB86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35983DE6"/>
    <w:multiLevelType w:val="hybridMultilevel"/>
    <w:tmpl w:val="DF0C5168"/>
    <w:lvl w:ilvl="0" w:tplc="81C4A7E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8106C28"/>
    <w:multiLevelType w:val="hybridMultilevel"/>
    <w:tmpl w:val="67B2ACAC"/>
    <w:lvl w:ilvl="0" w:tplc="E4D8F566">
      <w:start w:val="2"/>
      <w:numFmt w:val="bullet"/>
      <w:lvlText w:val="-"/>
      <w:lvlJc w:val="left"/>
      <w:pPr>
        <w:ind w:left="720" w:hanging="360"/>
      </w:pPr>
      <w:rPr>
        <w:rFonts w:ascii="Arial" w:eastAsia="Times New Roman" w:hAnsi="Arial" w:cs="Arial" w:hint="default"/>
      </w:rPr>
    </w:lvl>
    <w:lvl w:ilvl="1" w:tplc="C85CF83C">
      <w:numFmt w:val="bullet"/>
      <w:lvlText w:val=""/>
      <w:lvlJc w:val="left"/>
      <w:pPr>
        <w:ind w:left="1440" w:hanging="360"/>
      </w:pPr>
      <w:rPr>
        <w:rFonts w:ascii="Symbol" w:eastAsia="Times New Roman" w:hAnsi="Symbol" w:cs="Courier New" w:hint="default"/>
        <w:color w:val="000000"/>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BB45EF"/>
    <w:multiLevelType w:val="hybridMultilevel"/>
    <w:tmpl w:val="488CA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122161"/>
    <w:multiLevelType w:val="hybridMultilevel"/>
    <w:tmpl w:val="DEE0DC02"/>
    <w:lvl w:ilvl="0" w:tplc="C6D8D2A6">
      <w:start w:val="4"/>
      <w:numFmt w:val="bullet"/>
      <w:lvlText w:val="-"/>
      <w:lvlJc w:val="left"/>
      <w:pPr>
        <w:ind w:left="717" w:hanging="360"/>
      </w:pPr>
      <w:rPr>
        <w:rFonts w:ascii="Arial" w:eastAsia="Times New Roman" w:hAnsi="Arial" w:cs="Arial" w:hint="default"/>
      </w:rPr>
    </w:lvl>
    <w:lvl w:ilvl="1" w:tplc="08070003" w:tentative="1">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14" w15:restartNumberingAfterBreak="0">
    <w:nsid w:val="44BB0B89"/>
    <w:multiLevelType w:val="hybridMultilevel"/>
    <w:tmpl w:val="50D0AE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202559"/>
    <w:multiLevelType w:val="hybridMultilevel"/>
    <w:tmpl w:val="24E839F4"/>
    <w:lvl w:ilvl="0" w:tplc="E4D8F56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D764FD"/>
    <w:multiLevelType w:val="hybridMultilevel"/>
    <w:tmpl w:val="D6D078BE"/>
    <w:lvl w:ilvl="0" w:tplc="43384F90">
      <w:start w:val="50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C76061"/>
    <w:multiLevelType w:val="multilevel"/>
    <w:tmpl w:val="6FA46B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AE56F7"/>
    <w:multiLevelType w:val="hybridMultilevel"/>
    <w:tmpl w:val="FF60BBB4"/>
    <w:lvl w:ilvl="0" w:tplc="CCC4064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C7E6A99"/>
    <w:multiLevelType w:val="hybridMultilevel"/>
    <w:tmpl w:val="FD5667AE"/>
    <w:lvl w:ilvl="0" w:tplc="DE6687F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15"/>
  </w:num>
  <w:num w:numId="5">
    <w:abstractNumId w:val="21"/>
  </w:num>
  <w:num w:numId="6">
    <w:abstractNumId w:val="5"/>
  </w:num>
  <w:num w:numId="7">
    <w:abstractNumId w:val="1"/>
  </w:num>
  <w:num w:numId="8">
    <w:abstractNumId w:val="0"/>
  </w:num>
  <w:num w:numId="9">
    <w:abstractNumId w:val="11"/>
  </w:num>
  <w:num w:numId="10">
    <w:abstractNumId w:val="14"/>
  </w:num>
  <w:num w:numId="11">
    <w:abstractNumId w:val="12"/>
  </w:num>
  <w:num w:numId="12">
    <w:abstractNumId w:val="16"/>
  </w:num>
  <w:num w:numId="13">
    <w:abstractNumId w:val="1"/>
  </w:num>
  <w:num w:numId="14">
    <w:abstractNumId w:val="20"/>
  </w:num>
  <w:num w:numId="15">
    <w:abstractNumId w:val="2"/>
  </w:num>
  <w:num w:numId="16">
    <w:abstractNumId w:val="1"/>
    <w:lvlOverride w:ilvl="0">
      <w:startOverride w:val="2"/>
    </w:lvlOverride>
    <w:lvlOverride w:ilvl="1">
      <w:startOverride w:val="2"/>
    </w:lvlOverride>
    <w:lvlOverride w:ilvl="2">
      <w:startOverride w:val="1"/>
    </w:lvlOverride>
  </w:num>
  <w:num w:numId="17">
    <w:abstractNumId w:val="3"/>
  </w:num>
  <w:num w:numId="18">
    <w:abstractNumId w:val="17"/>
  </w:num>
  <w:num w:numId="19">
    <w:abstractNumId w:val="13"/>
  </w:num>
  <w:num w:numId="20">
    <w:abstractNumId w:val="1"/>
  </w:num>
  <w:num w:numId="21">
    <w:abstractNumId w:val="1"/>
  </w:num>
  <w:num w:numId="22">
    <w:abstractNumId w:val="18"/>
  </w:num>
  <w:num w:numId="23">
    <w:abstractNumId w:val="8"/>
  </w:num>
  <w:num w:numId="24">
    <w:abstractNumId w:val="19"/>
  </w:num>
  <w:num w:numId="25">
    <w:abstractNumId w:val="10"/>
  </w:num>
  <w:num w:numId="26">
    <w:abstractNumId w:val="9"/>
  </w:num>
  <w:num w:numId="27">
    <w:abstractNumId w:val="9"/>
    <w:lvlOverride w:ilvl="0">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78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6B064D"/>
    <w:rsid w:val="0000013A"/>
    <w:rsid w:val="00002986"/>
    <w:rsid w:val="000037B1"/>
    <w:rsid w:val="0001219D"/>
    <w:rsid w:val="00013B3A"/>
    <w:rsid w:val="00016A38"/>
    <w:rsid w:val="00021AC7"/>
    <w:rsid w:val="000311DE"/>
    <w:rsid w:val="000322C0"/>
    <w:rsid w:val="00033796"/>
    <w:rsid w:val="00034D5E"/>
    <w:rsid w:val="000407F9"/>
    <w:rsid w:val="0005715F"/>
    <w:rsid w:val="0006648E"/>
    <w:rsid w:val="00071323"/>
    <w:rsid w:val="000807EE"/>
    <w:rsid w:val="0009599D"/>
    <w:rsid w:val="000A2C6E"/>
    <w:rsid w:val="000A5AC2"/>
    <w:rsid w:val="000B0EDC"/>
    <w:rsid w:val="000B17B8"/>
    <w:rsid w:val="000B1D88"/>
    <w:rsid w:val="000B1E18"/>
    <w:rsid w:val="000C3944"/>
    <w:rsid w:val="000D604B"/>
    <w:rsid w:val="000E043A"/>
    <w:rsid w:val="000E390B"/>
    <w:rsid w:val="000E51CE"/>
    <w:rsid w:val="001066E7"/>
    <w:rsid w:val="00117A0D"/>
    <w:rsid w:val="001206AD"/>
    <w:rsid w:val="0012409F"/>
    <w:rsid w:val="0012556C"/>
    <w:rsid w:val="001350B6"/>
    <w:rsid w:val="00136EBD"/>
    <w:rsid w:val="00144922"/>
    <w:rsid w:val="0014504D"/>
    <w:rsid w:val="001542D0"/>
    <w:rsid w:val="0015602C"/>
    <w:rsid w:val="001613D8"/>
    <w:rsid w:val="00163B35"/>
    <w:rsid w:val="00165607"/>
    <w:rsid w:val="001761F0"/>
    <w:rsid w:val="00177F82"/>
    <w:rsid w:val="00182981"/>
    <w:rsid w:val="0018298F"/>
    <w:rsid w:val="001876A2"/>
    <w:rsid w:val="00187978"/>
    <w:rsid w:val="0019051F"/>
    <w:rsid w:val="00191787"/>
    <w:rsid w:val="00193F22"/>
    <w:rsid w:val="001A3978"/>
    <w:rsid w:val="001A4AEF"/>
    <w:rsid w:val="001B19E0"/>
    <w:rsid w:val="001C3C8C"/>
    <w:rsid w:val="001C7CB0"/>
    <w:rsid w:val="001D4737"/>
    <w:rsid w:val="001D7886"/>
    <w:rsid w:val="001E7C86"/>
    <w:rsid w:val="001F1B83"/>
    <w:rsid w:val="0020484D"/>
    <w:rsid w:val="002160C0"/>
    <w:rsid w:val="00226F44"/>
    <w:rsid w:val="00231639"/>
    <w:rsid w:val="00231F07"/>
    <w:rsid w:val="00232F10"/>
    <w:rsid w:val="0024106A"/>
    <w:rsid w:val="00242A34"/>
    <w:rsid w:val="002453DE"/>
    <w:rsid w:val="00245862"/>
    <w:rsid w:val="00265E19"/>
    <w:rsid w:val="002679D8"/>
    <w:rsid w:val="00270C57"/>
    <w:rsid w:val="002752FC"/>
    <w:rsid w:val="00281A2B"/>
    <w:rsid w:val="00286C20"/>
    <w:rsid w:val="002A15F2"/>
    <w:rsid w:val="002A6ECC"/>
    <w:rsid w:val="002B0622"/>
    <w:rsid w:val="002B184F"/>
    <w:rsid w:val="002B5987"/>
    <w:rsid w:val="002C0743"/>
    <w:rsid w:val="002C3616"/>
    <w:rsid w:val="002C3D79"/>
    <w:rsid w:val="002C7D70"/>
    <w:rsid w:val="002D5DB5"/>
    <w:rsid w:val="002E079D"/>
    <w:rsid w:val="002E797F"/>
    <w:rsid w:val="002F041B"/>
    <w:rsid w:val="002F1DC1"/>
    <w:rsid w:val="002F6535"/>
    <w:rsid w:val="002F6B13"/>
    <w:rsid w:val="00310E28"/>
    <w:rsid w:val="0032432B"/>
    <w:rsid w:val="0032716F"/>
    <w:rsid w:val="00337F77"/>
    <w:rsid w:val="003475CE"/>
    <w:rsid w:val="00352FE7"/>
    <w:rsid w:val="003615E2"/>
    <w:rsid w:val="00362AA5"/>
    <w:rsid w:val="00380B40"/>
    <w:rsid w:val="003851D5"/>
    <w:rsid w:val="003879AA"/>
    <w:rsid w:val="003B396B"/>
    <w:rsid w:val="003C6101"/>
    <w:rsid w:val="003D49B5"/>
    <w:rsid w:val="003D6006"/>
    <w:rsid w:val="003D7E7C"/>
    <w:rsid w:val="003F00A7"/>
    <w:rsid w:val="00401EE1"/>
    <w:rsid w:val="00403DA4"/>
    <w:rsid w:val="00404124"/>
    <w:rsid w:val="0046162E"/>
    <w:rsid w:val="004704F3"/>
    <w:rsid w:val="0047599D"/>
    <w:rsid w:val="004825E0"/>
    <w:rsid w:val="00483B78"/>
    <w:rsid w:val="00486058"/>
    <w:rsid w:val="0048652B"/>
    <w:rsid w:val="004919C0"/>
    <w:rsid w:val="00493313"/>
    <w:rsid w:val="00495DFE"/>
    <w:rsid w:val="004A6C7C"/>
    <w:rsid w:val="004B11F4"/>
    <w:rsid w:val="004B4BDE"/>
    <w:rsid w:val="004C0F78"/>
    <w:rsid w:val="004C66E2"/>
    <w:rsid w:val="004D1D97"/>
    <w:rsid w:val="004D3770"/>
    <w:rsid w:val="004D6E25"/>
    <w:rsid w:val="00505148"/>
    <w:rsid w:val="00506128"/>
    <w:rsid w:val="0050712E"/>
    <w:rsid w:val="005123D4"/>
    <w:rsid w:val="00514461"/>
    <w:rsid w:val="005159A5"/>
    <w:rsid w:val="005270A3"/>
    <w:rsid w:val="005315B3"/>
    <w:rsid w:val="00534DB7"/>
    <w:rsid w:val="00543E07"/>
    <w:rsid w:val="0054769E"/>
    <w:rsid w:val="005479A4"/>
    <w:rsid w:val="005517A4"/>
    <w:rsid w:val="00551D94"/>
    <w:rsid w:val="00555D7D"/>
    <w:rsid w:val="0056325A"/>
    <w:rsid w:val="00563343"/>
    <w:rsid w:val="0057075A"/>
    <w:rsid w:val="00572B2C"/>
    <w:rsid w:val="00577834"/>
    <w:rsid w:val="00583707"/>
    <w:rsid w:val="00592382"/>
    <w:rsid w:val="00593B3A"/>
    <w:rsid w:val="0059532A"/>
    <w:rsid w:val="00596443"/>
    <w:rsid w:val="005B0FAF"/>
    <w:rsid w:val="005B3A1C"/>
    <w:rsid w:val="005B4F27"/>
    <w:rsid w:val="005C7665"/>
    <w:rsid w:val="005E377A"/>
    <w:rsid w:val="005F3E3C"/>
    <w:rsid w:val="005F5DEB"/>
    <w:rsid w:val="005F616B"/>
    <w:rsid w:val="00602026"/>
    <w:rsid w:val="00605F11"/>
    <w:rsid w:val="00620C12"/>
    <w:rsid w:val="00621696"/>
    <w:rsid w:val="0063043C"/>
    <w:rsid w:val="0064198B"/>
    <w:rsid w:val="00647DA1"/>
    <w:rsid w:val="00663C24"/>
    <w:rsid w:val="00684A4E"/>
    <w:rsid w:val="00684FAB"/>
    <w:rsid w:val="00696D37"/>
    <w:rsid w:val="006B064D"/>
    <w:rsid w:val="006B2686"/>
    <w:rsid w:val="006B5B38"/>
    <w:rsid w:val="006C01A4"/>
    <w:rsid w:val="006C1AA2"/>
    <w:rsid w:val="006C2173"/>
    <w:rsid w:val="006D0BF8"/>
    <w:rsid w:val="006E07B3"/>
    <w:rsid w:val="006F534F"/>
    <w:rsid w:val="007139A9"/>
    <w:rsid w:val="0072467D"/>
    <w:rsid w:val="00736F85"/>
    <w:rsid w:val="0074168A"/>
    <w:rsid w:val="007457A4"/>
    <w:rsid w:val="00756E54"/>
    <w:rsid w:val="00781A79"/>
    <w:rsid w:val="007B1A0C"/>
    <w:rsid w:val="007B35AE"/>
    <w:rsid w:val="007B5216"/>
    <w:rsid w:val="007B75DC"/>
    <w:rsid w:val="007D4730"/>
    <w:rsid w:val="007D6C25"/>
    <w:rsid w:val="007E736A"/>
    <w:rsid w:val="00803ECD"/>
    <w:rsid w:val="00816351"/>
    <w:rsid w:val="00817E84"/>
    <w:rsid w:val="00832055"/>
    <w:rsid w:val="00840303"/>
    <w:rsid w:val="00850650"/>
    <w:rsid w:val="008537EE"/>
    <w:rsid w:val="00856701"/>
    <w:rsid w:val="00865B8A"/>
    <w:rsid w:val="00887DE1"/>
    <w:rsid w:val="008903D0"/>
    <w:rsid w:val="008A792B"/>
    <w:rsid w:val="008B722C"/>
    <w:rsid w:val="008C6224"/>
    <w:rsid w:val="008D0534"/>
    <w:rsid w:val="008D52E9"/>
    <w:rsid w:val="008E3CC6"/>
    <w:rsid w:val="008E4467"/>
    <w:rsid w:val="008E5CBC"/>
    <w:rsid w:val="008E7540"/>
    <w:rsid w:val="009112F6"/>
    <w:rsid w:val="00916640"/>
    <w:rsid w:val="00926717"/>
    <w:rsid w:val="009320BB"/>
    <w:rsid w:val="00936839"/>
    <w:rsid w:val="00945CAD"/>
    <w:rsid w:val="00946CF8"/>
    <w:rsid w:val="00952CD8"/>
    <w:rsid w:val="00962934"/>
    <w:rsid w:val="00981007"/>
    <w:rsid w:val="00997A0C"/>
    <w:rsid w:val="00997A63"/>
    <w:rsid w:val="009B17F2"/>
    <w:rsid w:val="009C79FE"/>
    <w:rsid w:val="009D0F72"/>
    <w:rsid w:val="009D201B"/>
    <w:rsid w:val="009D23D2"/>
    <w:rsid w:val="009D3C5A"/>
    <w:rsid w:val="009D6383"/>
    <w:rsid w:val="009D7ED7"/>
    <w:rsid w:val="009E69F4"/>
    <w:rsid w:val="009E7627"/>
    <w:rsid w:val="00A027AD"/>
    <w:rsid w:val="00A06463"/>
    <w:rsid w:val="00A07F03"/>
    <w:rsid w:val="00A239C4"/>
    <w:rsid w:val="00A26DCD"/>
    <w:rsid w:val="00A40B86"/>
    <w:rsid w:val="00A47B44"/>
    <w:rsid w:val="00A52072"/>
    <w:rsid w:val="00A535CA"/>
    <w:rsid w:val="00A53DD6"/>
    <w:rsid w:val="00A620CC"/>
    <w:rsid w:val="00A742F6"/>
    <w:rsid w:val="00A93ABB"/>
    <w:rsid w:val="00AA2DF6"/>
    <w:rsid w:val="00AA41B6"/>
    <w:rsid w:val="00AB5C5D"/>
    <w:rsid w:val="00AC20A7"/>
    <w:rsid w:val="00AD26F5"/>
    <w:rsid w:val="00AD3D93"/>
    <w:rsid w:val="00AD65D8"/>
    <w:rsid w:val="00B111C1"/>
    <w:rsid w:val="00B12311"/>
    <w:rsid w:val="00B23B95"/>
    <w:rsid w:val="00B50E62"/>
    <w:rsid w:val="00B60FF5"/>
    <w:rsid w:val="00B619D8"/>
    <w:rsid w:val="00B70BDD"/>
    <w:rsid w:val="00B71EDC"/>
    <w:rsid w:val="00B73A96"/>
    <w:rsid w:val="00B73D14"/>
    <w:rsid w:val="00B818A4"/>
    <w:rsid w:val="00B82407"/>
    <w:rsid w:val="00B8352C"/>
    <w:rsid w:val="00B91633"/>
    <w:rsid w:val="00B969AF"/>
    <w:rsid w:val="00B97D98"/>
    <w:rsid w:val="00BA10B2"/>
    <w:rsid w:val="00BA2D06"/>
    <w:rsid w:val="00BB3C51"/>
    <w:rsid w:val="00BC4650"/>
    <w:rsid w:val="00BC63A2"/>
    <w:rsid w:val="00BD070C"/>
    <w:rsid w:val="00BD1169"/>
    <w:rsid w:val="00BE34AD"/>
    <w:rsid w:val="00BF1CD2"/>
    <w:rsid w:val="00C037C5"/>
    <w:rsid w:val="00C13288"/>
    <w:rsid w:val="00C136C0"/>
    <w:rsid w:val="00C1528F"/>
    <w:rsid w:val="00C157FB"/>
    <w:rsid w:val="00C2705F"/>
    <w:rsid w:val="00C3642B"/>
    <w:rsid w:val="00C4072D"/>
    <w:rsid w:val="00C40947"/>
    <w:rsid w:val="00C57CC9"/>
    <w:rsid w:val="00C66B82"/>
    <w:rsid w:val="00C76214"/>
    <w:rsid w:val="00C862B0"/>
    <w:rsid w:val="00C87A43"/>
    <w:rsid w:val="00C92B29"/>
    <w:rsid w:val="00C94590"/>
    <w:rsid w:val="00CA0AF0"/>
    <w:rsid w:val="00CA23DA"/>
    <w:rsid w:val="00CA481A"/>
    <w:rsid w:val="00CA69B8"/>
    <w:rsid w:val="00CC4240"/>
    <w:rsid w:val="00CD15E3"/>
    <w:rsid w:val="00CD5530"/>
    <w:rsid w:val="00CE3454"/>
    <w:rsid w:val="00CF5C9C"/>
    <w:rsid w:val="00CF6486"/>
    <w:rsid w:val="00D00919"/>
    <w:rsid w:val="00D037AC"/>
    <w:rsid w:val="00D06D70"/>
    <w:rsid w:val="00D216CA"/>
    <w:rsid w:val="00D31DCA"/>
    <w:rsid w:val="00D359F8"/>
    <w:rsid w:val="00D43A13"/>
    <w:rsid w:val="00D45278"/>
    <w:rsid w:val="00D531D0"/>
    <w:rsid w:val="00D676EB"/>
    <w:rsid w:val="00D67A89"/>
    <w:rsid w:val="00D721B9"/>
    <w:rsid w:val="00D81C8D"/>
    <w:rsid w:val="00D82A95"/>
    <w:rsid w:val="00D853A0"/>
    <w:rsid w:val="00D92FFE"/>
    <w:rsid w:val="00D9526C"/>
    <w:rsid w:val="00D96D11"/>
    <w:rsid w:val="00D96DFF"/>
    <w:rsid w:val="00D97410"/>
    <w:rsid w:val="00D979CD"/>
    <w:rsid w:val="00DA79F0"/>
    <w:rsid w:val="00DB38FD"/>
    <w:rsid w:val="00DC0635"/>
    <w:rsid w:val="00DC468A"/>
    <w:rsid w:val="00DD1594"/>
    <w:rsid w:val="00DD1A6C"/>
    <w:rsid w:val="00DD25DA"/>
    <w:rsid w:val="00DD79ED"/>
    <w:rsid w:val="00DE25D2"/>
    <w:rsid w:val="00E01D18"/>
    <w:rsid w:val="00E03B30"/>
    <w:rsid w:val="00E210EE"/>
    <w:rsid w:val="00E2674B"/>
    <w:rsid w:val="00E30C25"/>
    <w:rsid w:val="00E419C6"/>
    <w:rsid w:val="00E4546C"/>
    <w:rsid w:val="00E474D0"/>
    <w:rsid w:val="00E52D72"/>
    <w:rsid w:val="00E540F1"/>
    <w:rsid w:val="00E749F6"/>
    <w:rsid w:val="00E9025E"/>
    <w:rsid w:val="00EA16CB"/>
    <w:rsid w:val="00EA5C44"/>
    <w:rsid w:val="00EB5ABC"/>
    <w:rsid w:val="00EC0DD1"/>
    <w:rsid w:val="00EC3627"/>
    <w:rsid w:val="00EF26F1"/>
    <w:rsid w:val="00F02FCA"/>
    <w:rsid w:val="00F04E41"/>
    <w:rsid w:val="00F0508E"/>
    <w:rsid w:val="00F16D34"/>
    <w:rsid w:val="00F308FD"/>
    <w:rsid w:val="00F325B9"/>
    <w:rsid w:val="00F370CE"/>
    <w:rsid w:val="00F41387"/>
    <w:rsid w:val="00F44C21"/>
    <w:rsid w:val="00F537B9"/>
    <w:rsid w:val="00F57056"/>
    <w:rsid w:val="00F943C0"/>
    <w:rsid w:val="00FA6035"/>
    <w:rsid w:val="00FA648F"/>
    <w:rsid w:val="00FB59EF"/>
    <w:rsid w:val="00FD5DE5"/>
    <w:rsid w:val="00FF10AF"/>
    <w:rsid w:val="00FF1F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14:docId w14:val="400883C8"/>
  <w15:chartTrackingRefBased/>
  <w15:docId w15:val="{5209B1AC-347E-48AA-93B0-BC5B0FD7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autoRedefine/>
    <w:qFormat/>
    <w:rsid w:val="00997A0C"/>
    <w:pPr>
      <w:numPr>
        <w:numId w:val="26"/>
      </w:numPr>
      <w:shd w:val="clear" w:color="auto" w:fill="99CCFF"/>
      <w:spacing w:before="240" w:after="120"/>
      <w:ind w:left="431" w:hanging="431"/>
      <w:outlineLvl w:val="0"/>
    </w:pPr>
    <w:rPr>
      <w:rFonts w:cs="Times New Roman"/>
      <w:b/>
      <w:szCs w:val="24"/>
    </w:rPr>
  </w:style>
  <w:style w:type="paragraph" w:styleId="berschrift2">
    <w:name w:val="heading 2"/>
    <w:basedOn w:val="berschrift1"/>
    <w:next w:val="Absatz0"/>
    <w:link w:val="berschrift2Zchn"/>
    <w:qFormat/>
    <w:pPr>
      <w:numPr>
        <w:ilvl w:val="1"/>
      </w:numPr>
      <w:outlineLvl w:val="1"/>
    </w:pPr>
  </w:style>
  <w:style w:type="paragraph" w:styleId="berschrift3">
    <w:name w:val="heading 3"/>
    <w:basedOn w:val="berschrift2"/>
    <w:next w:val="Absatz0"/>
    <w:qFormat/>
    <w:pPr>
      <w:numPr>
        <w:ilvl w:val="2"/>
      </w:numPr>
      <w:outlineLvl w:val="2"/>
    </w:pPr>
    <w:rPr>
      <w:b w:val="0"/>
    </w:rPr>
  </w:style>
  <w:style w:type="paragraph" w:styleId="berschrift4">
    <w:name w:val="heading 4"/>
    <w:basedOn w:val="berschrift3"/>
    <w:next w:val="Absatz1"/>
    <w:autoRedefine/>
    <w:qFormat/>
    <w:rsid w:val="00997A0C"/>
    <w:pPr>
      <w:numPr>
        <w:ilvl w:val="3"/>
      </w:numPr>
      <w:ind w:left="709" w:hanging="709"/>
      <w:outlineLvl w:val="3"/>
    </w:pPr>
    <w:rPr>
      <w:b/>
    </w:rPr>
  </w:style>
  <w:style w:type="paragraph" w:styleId="berschrift5">
    <w:name w:val="heading 5"/>
    <w:basedOn w:val="berschrift4"/>
    <w:next w:val="Absatz1"/>
    <w:qFormat/>
    <w:pPr>
      <w:numPr>
        <w:ilvl w:val="4"/>
      </w:numPr>
      <w:outlineLvl w:val="4"/>
    </w:pPr>
  </w:style>
  <w:style w:type="paragraph" w:styleId="berschrift6">
    <w:name w:val="heading 6"/>
    <w:basedOn w:val="berschrift5"/>
    <w:next w:val="Absatz1"/>
    <w:qFormat/>
    <w:pPr>
      <w:numPr>
        <w:ilvl w:val="5"/>
      </w:numPr>
      <w:outlineLvl w:val="5"/>
    </w:pPr>
  </w:style>
  <w:style w:type="paragraph" w:styleId="berschrift7">
    <w:name w:val="heading 7"/>
    <w:basedOn w:val="berschrift6"/>
    <w:next w:val="Absatz1"/>
    <w:qFormat/>
    <w:pPr>
      <w:numPr>
        <w:ilvl w:val="6"/>
      </w:numPr>
      <w:outlineLvl w:val="6"/>
    </w:pPr>
  </w:style>
  <w:style w:type="paragraph" w:styleId="berschrift8">
    <w:name w:val="heading 8"/>
    <w:basedOn w:val="berschrift7"/>
    <w:next w:val="Absatz1"/>
    <w:qFormat/>
    <w:pPr>
      <w:numPr>
        <w:ilvl w:val="7"/>
      </w:numPr>
      <w:outlineLvl w:val="7"/>
    </w:pPr>
  </w:style>
  <w:style w:type="paragraph" w:styleId="berschrift9">
    <w:name w:val="heading 9"/>
    <w:basedOn w:val="berschrift8"/>
    <w:next w:val="Absatz1"/>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spacing w:before="40" w:after="60"/>
    </w:pPr>
    <w:rPr>
      <w:rFonts w:ascii="Arial (W1)" w:hAnsi="Arial (W1)"/>
      <w:b/>
      <w:sz w:val="24"/>
      <w:szCs w:val="24"/>
    </w:rPr>
  </w:style>
  <w:style w:type="character" w:styleId="Seitenzahl">
    <w:name w:val="page number"/>
    <w:basedOn w:val="Absatz-Standardschriftart"/>
  </w:style>
  <w:style w:type="paragraph" w:styleId="Funotentext">
    <w:name w:val="footnote text"/>
    <w:basedOn w:val="Standard"/>
    <w:semiHidden/>
    <w:rPr>
      <w:sz w:val="20"/>
    </w:rPr>
  </w:style>
  <w:style w:type="character" w:styleId="Funotenzeichen">
    <w:name w:val="footnote reference"/>
    <w:semiHidden/>
    <w:rPr>
      <w:vertAlign w:val="superscript"/>
    </w:rPr>
  </w:style>
  <w:style w:type="character" w:styleId="Hyperlink">
    <w:name w:val="Hyperlink"/>
    <w:uiPriority w:val="99"/>
    <w:rsid w:val="000E390B"/>
    <w:rPr>
      <w:color w:val="0000FF"/>
      <w:u w:val="single"/>
    </w:rPr>
  </w:style>
  <w:style w:type="character" w:customStyle="1" w:styleId="BesuchterHyperlink">
    <w:name w:val="BesuchterHyperlink"/>
    <w:rsid w:val="000E390B"/>
    <w:rPr>
      <w:color w:val="606420"/>
      <w:u w:val="single"/>
    </w:rPr>
  </w:style>
  <w:style w:type="paragraph" w:styleId="Sprechblasentext">
    <w:name w:val="Balloon Text"/>
    <w:basedOn w:val="Standard"/>
    <w:link w:val="SprechblasentextZchn"/>
    <w:rsid w:val="00F537B9"/>
    <w:rPr>
      <w:rFonts w:ascii="Segoe UI" w:hAnsi="Segoe UI" w:cs="Segoe UI"/>
      <w:sz w:val="18"/>
      <w:szCs w:val="18"/>
    </w:rPr>
  </w:style>
  <w:style w:type="character" w:customStyle="1" w:styleId="SprechblasentextZchn">
    <w:name w:val="Sprechblasentext Zchn"/>
    <w:link w:val="Sprechblasentext"/>
    <w:rsid w:val="00F537B9"/>
    <w:rPr>
      <w:rFonts w:ascii="Segoe UI" w:hAnsi="Segoe UI" w:cs="Segoe UI"/>
      <w:sz w:val="18"/>
      <w:szCs w:val="18"/>
      <w:lang w:eastAsia="de-DE"/>
    </w:rPr>
  </w:style>
  <w:style w:type="table" w:styleId="Tabellenraster">
    <w:name w:val="Table Grid"/>
    <w:basedOn w:val="NormaleTabelle"/>
    <w:rsid w:val="00AA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rsid w:val="005517A4"/>
    <w:rPr>
      <w:sz w:val="16"/>
      <w:szCs w:val="16"/>
    </w:rPr>
  </w:style>
  <w:style w:type="paragraph" w:styleId="Kommentartext">
    <w:name w:val="annotation text"/>
    <w:basedOn w:val="Standard"/>
    <w:link w:val="KommentartextZchn"/>
    <w:rsid w:val="005517A4"/>
    <w:rPr>
      <w:sz w:val="20"/>
    </w:rPr>
  </w:style>
  <w:style w:type="character" w:customStyle="1" w:styleId="KommentartextZchn">
    <w:name w:val="Kommentartext Zchn"/>
    <w:link w:val="Kommentartext"/>
    <w:rsid w:val="005517A4"/>
    <w:rPr>
      <w:rFonts w:ascii="Arial" w:hAnsi="Arial" w:cs="Arial"/>
      <w:lang w:eastAsia="de-DE"/>
    </w:rPr>
  </w:style>
  <w:style w:type="paragraph" w:styleId="Kommentarthema">
    <w:name w:val="annotation subject"/>
    <w:basedOn w:val="Kommentartext"/>
    <w:next w:val="Kommentartext"/>
    <w:link w:val="KommentarthemaZchn"/>
    <w:rsid w:val="005517A4"/>
    <w:rPr>
      <w:b/>
      <w:bCs/>
    </w:rPr>
  </w:style>
  <w:style w:type="character" w:customStyle="1" w:styleId="KommentarthemaZchn">
    <w:name w:val="Kommentarthema Zchn"/>
    <w:link w:val="Kommentarthema"/>
    <w:rsid w:val="005517A4"/>
    <w:rPr>
      <w:rFonts w:ascii="Arial" w:hAnsi="Arial" w:cs="Arial"/>
      <w:b/>
      <w:bCs/>
      <w:lang w:eastAsia="de-DE"/>
    </w:rPr>
  </w:style>
  <w:style w:type="character" w:customStyle="1" w:styleId="Absatz0Zchn">
    <w:name w:val="Absatz 0 Zchn"/>
    <w:link w:val="Absatz0"/>
    <w:rsid w:val="007E736A"/>
    <w:rPr>
      <w:rFonts w:ascii="Arial" w:hAnsi="Arial" w:cs="Arial"/>
      <w:sz w:val="22"/>
      <w:lang w:eastAsia="de-DE"/>
    </w:rPr>
  </w:style>
  <w:style w:type="character" w:customStyle="1" w:styleId="berschrift2Zchn">
    <w:name w:val="Überschrift 2 Zchn"/>
    <w:link w:val="berschrift2"/>
    <w:rsid w:val="004A6C7C"/>
    <w:rPr>
      <w:rFonts w:ascii="Arial" w:hAnsi="Arial"/>
      <w:b/>
      <w:sz w:val="22"/>
      <w:szCs w:val="24"/>
      <w:shd w:val="clear" w:color="auto" w:fill="99CCFF"/>
      <w:lang w:eastAsia="de-DE"/>
    </w:rPr>
  </w:style>
  <w:style w:type="paragraph" w:styleId="berarbeitung">
    <w:name w:val="Revision"/>
    <w:hidden/>
    <w:uiPriority w:val="99"/>
    <w:semiHidden/>
    <w:rsid w:val="00D92FFE"/>
    <w:rPr>
      <w:rFonts w:ascii="Arial" w:hAnsi="Arial" w:cs="Arial"/>
      <w:sz w:val="22"/>
      <w:lang w:eastAsia="de-DE"/>
    </w:rPr>
  </w:style>
  <w:style w:type="paragraph" w:customStyle="1" w:styleId="StadtZrichInhalt">
    <w:name w:val="Stadt Zürich Inhalt"/>
    <w:basedOn w:val="Standard"/>
    <w:rsid w:val="00D96D11"/>
    <w:pPr>
      <w:spacing w:line="260" w:lineRule="atLeast"/>
    </w:pPr>
    <w:rPr>
      <w:rFonts w:cs="Times New Roman"/>
      <w:szCs w:val="24"/>
      <w:lang w:eastAsia="de-CH"/>
    </w:rPr>
  </w:style>
  <w:style w:type="paragraph" w:styleId="Listenabsatz">
    <w:name w:val="List Paragraph"/>
    <w:basedOn w:val="Standard"/>
    <w:uiPriority w:val="34"/>
    <w:qFormat/>
    <w:rsid w:val="00191787"/>
    <w:pPr>
      <w:ind w:left="720"/>
      <w:contextualSpacing/>
    </w:pPr>
  </w:style>
  <w:style w:type="paragraph" w:styleId="Inhaltsverzeichnisberschrift">
    <w:name w:val="TOC Heading"/>
    <w:basedOn w:val="berschrift1"/>
    <w:next w:val="Standard"/>
    <w:uiPriority w:val="39"/>
    <w:unhideWhenUsed/>
    <w:qFormat/>
    <w:rsid w:val="00242A34"/>
    <w:pPr>
      <w:keepNext/>
      <w:keepLines/>
      <w:numPr>
        <w:numId w:val="0"/>
      </w:numPr>
      <w:shd w:val="clear" w:color="auto" w:fill="auto"/>
      <w:spacing w:after="0" w:line="259" w:lineRule="auto"/>
      <w:outlineLvl w:val="9"/>
    </w:pPr>
    <w:rPr>
      <w:rFonts w:ascii="Calibri Light" w:hAnsi="Calibri Light"/>
      <w:b w:val="0"/>
      <w:color w:val="2E74B5"/>
      <w:sz w:val="32"/>
      <w:szCs w:val="32"/>
      <w:lang w:eastAsia="de-CH"/>
    </w:rPr>
  </w:style>
  <w:style w:type="paragraph" w:styleId="Verzeichnis4">
    <w:name w:val="toc 4"/>
    <w:basedOn w:val="Standard"/>
    <w:next w:val="Standard"/>
    <w:autoRedefine/>
    <w:uiPriority w:val="39"/>
    <w:rsid w:val="00551D94"/>
    <w:pPr>
      <w:tabs>
        <w:tab w:val="right" w:leader="dot" w:pos="9071"/>
      </w:tabs>
      <w:spacing w:before="60" w:after="60"/>
      <w:ind w:left="1843" w:hanging="709"/>
      <w:contextualSpacing/>
    </w:pPr>
  </w:style>
  <w:style w:type="paragraph" w:customStyle="1" w:styleId="Inhalt">
    <w:name w:val="Inhalt"/>
    <w:basedOn w:val="berschrift1"/>
    <w:link w:val="InhaltZchn"/>
    <w:qFormat/>
    <w:rsid w:val="00696D37"/>
    <w:pPr>
      <w:numPr>
        <w:numId w:val="0"/>
      </w:numPr>
    </w:pPr>
  </w:style>
  <w:style w:type="character" w:customStyle="1" w:styleId="berschrift1Zchn">
    <w:name w:val="Überschrift 1 Zchn"/>
    <w:link w:val="berschrift1"/>
    <w:rsid w:val="00997A0C"/>
    <w:rPr>
      <w:rFonts w:ascii="Arial" w:hAnsi="Arial"/>
      <w:b/>
      <w:sz w:val="22"/>
      <w:szCs w:val="24"/>
      <w:shd w:val="clear" w:color="auto" w:fill="99CCFF"/>
      <w:lang w:eastAsia="de-DE"/>
    </w:rPr>
  </w:style>
  <w:style w:type="character" w:customStyle="1" w:styleId="InhaltZchn">
    <w:name w:val="Inhalt Zchn"/>
    <w:basedOn w:val="berschrift1Zchn"/>
    <w:link w:val="Inhalt"/>
    <w:rsid w:val="00696D37"/>
    <w:rPr>
      <w:rFonts w:ascii="Arial" w:hAnsi="Arial"/>
      <w:b/>
      <w:sz w:val="22"/>
      <w:szCs w:val="24"/>
      <w:shd w:val="clear" w:color="auto" w:fill="99CCFF"/>
      <w:lang w:eastAsia="de-DE"/>
    </w:rPr>
  </w:style>
  <w:style w:type="character" w:styleId="BesuchterLink">
    <w:name w:val="FollowedHyperlink"/>
    <w:basedOn w:val="Absatz-Standardschriftart"/>
    <w:rsid w:val="00232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od.intranet.stzh.ch/regelwerk/leistungen/aufnahmeprozes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od.intranet.stzh.ch/zusammenarbeit/zustaendigkeit-und-zusammenarbe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ozeloixps.global.szh.loc/ix-SOZ_ELO_DM01/plugin/de.elo.ix.plugin.proxy/web/pages/startup.jsp?useSSO=true&amp;guid=(473B88E1-2FA5-2769-C3C4-7E73CB6DD183)"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d.intranet.stzh.ch/SODRegelwerk/Documents/Regelwerk/HAW%20Aufnahmeprozess%20-%20Grundlage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s\Zw\2000\moduls\ZW200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WorkflowChangePath"><![CDATA[52675646-02d6-422a-bf6f-0a8dd6281eff,6;52675646-02d6-422a-bf6f-0a8dd6281eff,8;52675646-02d6-422a-bf6f-0a8dd6281eff,10;0d2b39e8-dd18-4502-a924-40335b5a9ad4,12;1dbebda2-0151-441b-bad0-3a4bc52a6e32,23;7dbe9e3d-1110-41fa-836b-195a3e49061c,6;7dbe9e3d-1110-41fa-836b-195a3e49061c,8;7dbe9e3d-1110-41fa-836b-195a3e49061c,10;]]></LongProp>
</LongProperties>
</file>

<file path=customXml/item5.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860D272-FDDE-4D10-A02A-77CF60BC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28F98A-CAA9-4F45-B015-75D73F07A2B0}">
  <ds:schemaRefs>
    <ds:schemaRef ds:uri="http://schemas.microsoft.com/sharepoint/v3"/>
    <ds:schemaRef ds:uri="http://purl.org/dc/terms/"/>
    <ds:schemaRef ds:uri="001edaa9-679f-44c4-8577-c8b09c58a93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16e5f25-af73-4405-bde3-e67fc44b13fc"/>
    <ds:schemaRef ds:uri="http://www.w3.org/XML/1998/namespace"/>
    <ds:schemaRef ds:uri="http://purl.org/dc/dcmitype/"/>
  </ds:schemaRefs>
</ds:datastoreItem>
</file>

<file path=customXml/itemProps3.xml><?xml version="1.0" encoding="utf-8"?>
<ds:datastoreItem xmlns:ds="http://schemas.openxmlformats.org/officeDocument/2006/customXml" ds:itemID="{D6BFBA17-2C2F-4D51-99B9-120CC114F1F7}">
  <ds:schemaRefs>
    <ds:schemaRef ds:uri="http://schemas.microsoft.com/sharepoint/v3/contenttype/forms"/>
  </ds:schemaRefs>
</ds:datastoreItem>
</file>

<file path=customXml/itemProps4.xml><?xml version="1.0" encoding="utf-8"?>
<ds:datastoreItem xmlns:ds="http://schemas.openxmlformats.org/officeDocument/2006/customXml" ds:itemID="{E63A3E7E-EE79-47C9-B706-B2589906C43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214A55B4-9C99-4CEE-93F1-29600520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ZW2006.dot</Template>
  <TotalTime>0</TotalTime>
  <Pages>5</Pages>
  <Words>1231</Words>
  <Characters>9524</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HAW Dokumentenstandard</vt:lpstr>
    </vt:vector>
  </TitlesOfParts>
  <Company>EHP</Company>
  <LinksUpToDate>false</LinksUpToDate>
  <CharactersWithSpaces>10734</CharactersWithSpaces>
  <SharedDoc>false</SharedDoc>
  <HLinks>
    <vt:vector size="96" baseType="variant">
      <vt:variant>
        <vt:i4>1507384</vt:i4>
      </vt:variant>
      <vt:variant>
        <vt:i4>86</vt:i4>
      </vt:variant>
      <vt:variant>
        <vt:i4>0</vt:i4>
      </vt:variant>
      <vt:variant>
        <vt:i4>5</vt:i4>
      </vt:variant>
      <vt:variant>
        <vt:lpwstr/>
      </vt:variant>
      <vt:variant>
        <vt:lpwstr>_Toc16616394</vt:lpwstr>
      </vt:variant>
      <vt:variant>
        <vt:i4>1048632</vt:i4>
      </vt:variant>
      <vt:variant>
        <vt:i4>80</vt:i4>
      </vt:variant>
      <vt:variant>
        <vt:i4>0</vt:i4>
      </vt:variant>
      <vt:variant>
        <vt:i4>5</vt:i4>
      </vt:variant>
      <vt:variant>
        <vt:lpwstr/>
      </vt:variant>
      <vt:variant>
        <vt:lpwstr>_Toc16616393</vt:lpwstr>
      </vt:variant>
      <vt:variant>
        <vt:i4>1114168</vt:i4>
      </vt:variant>
      <vt:variant>
        <vt:i4>74</vt:i4>
      </vt:variant>
      <vt:variant>
        <vt:i4>0</vt:i4>
      </vt:variant>
      <vt:variant>
        <vt:i4>5</vt:i4>
      </vt:variant>
      <vt:variant>
        <vt:lpwstr/>
      </vt:variant>
      <vt:variant>
        <vt:lpwstr>_Toc16616392</vt:lpwstr>
      </vt:variant>
      <vt:variant>
        <vt:i4>1179704</vt:i4>
      </vt:variant>
      <vt:variant>
        <vt:i4>68</vt:i4>
      </vt:variant>
      <vt:variant>
        <vt:i4>0</vt:i4>
      </vt:variant>
      <vt:variant>
        <vt:i4>5</vt:i4>
      </vt:variant>
      <vt:variant>
        <vt:lpwstr/>
      </vt:variant>
      <vt:variant>
        <vt:lpwstr>_Toc16616391</vt:lpwstr>
      </vt:variant>
      <vt:variant>
        <vt:i4>1245240</vt:i4>
      </vt:variant>
      <vt:variant>
        <vt:i4>62</vt:i4>
      </vt:variant>
      <vt:variant>
        <vt:i4>0</vt:i4>
      </vt:variant>
      <vt:variant>
        <vt:i4>5</vt:i4>
      </vt:variant>
      <vt:variant>
        <vt:lpwstr/>
      </vt:variant>
      <vt:variant>
        <vt:lpwstr>_Toc16616390</vt:lpwstr>
      </vt:variant>
      <vt:variant>
        <vt:i4>1703993</vt:i4>
      </vt:variant>
      <vt:variant>
        <vt:i4>56</vt:i4>
      </vt:variant>
      <vt:variant>
        <vt:i4>0</vt:i4>
      </vt:variant>
      <vt:variant>
        <vt:i4>5</vt:i4>
      </vt:variant>
      <vt:variant>
        <vt:lpwstr/>
      </vt:variant>
      <vt:variant>
        <vt:lpwstr>_Toc16616389</vt:lpwstr>
      </vt:variant>
      <vt:variant>
        <vt:i4>1769529</vt:i4>
      </vt:variant>
      <vt:variant>
        <vt:i4>50</vt:i4>
      </vt:variant>
      <vt:variant>
        <vt:i4>0</vt:i4>
      </vt:variant>
      <vt:variant>
        <vt:i4>5</vt:i4>
      </vt:variant>
      <vt:variant>
        <vt:lpwstr/>
      </vt:variant>
      <vt:variant>
        <vt:lpwstr>_Toc16616388</vt:lpwstr>
      </vt:variant>
      <vt:variant>
        <vt:i4>1310777</vt:i4>
      </vt:variant>
      <vt:variant>
        <vt:i4>44</vt:i4>
      </vt:variant>
      <vt:variant>
        <vt:i4>0</vt:i4>
      </vt:variant>
      <vt:variant>
        <vt:i4>5</vt:i4>
      </vt:variant>
      <vt:variant>
        <vt:lpwstr/>
      </vt:variant>
      <vt:variant>
        <vt:lpwstr>_Toc16616387</vt:lpwstr>
      </vt:variant>
      <vt:variant>
        <vt:i4>1376313</vt:i4>
      </vt:variant>
      <vt:variant>
        <vt:i4>38</vt:i4>
      </vt:variant>
      <vt:variant>
        <vt:i4>0</vt:i4>
      </vt:variant>
      <vt:variant>
        <vt:i4>5</vt:i4>
      </vt:variant>
      <vt:variant>
        <vt:lpwstr/>
      </vt:variant>
      <vt:variant>
        <vt:lpwstr>_Toc16616386</vt:lpwstr>
      </vt:variant>
      <vt:variant>
        <vt:i4>1441849</vt:i4>
      </vt:variant>
      <vt:variant>
        <vt:i4>32</vt:i4>
      </vt:variant>
      <vt:variant>
        <vt:i4>0</vt:i4>
      </vt:variant>
      <vt:variant>
        <vt:i4>5</vt:i4>
      </vt:variant>
      <vt:variant>
        <vt:lpwstr/>
      </vt:variant>
      <vt:variant>
        <vt:lpwstr>_Toc16616385</vt:lpwstr>
      </vt:variant>
      <vt:variant>
        <vt:i4>1507385</vt:i4>
      </vt:variant>
      <vt:variant>
        <vt:i4>26</vt:i4>
      </vt:variant>
      <vt:variant>
        <vt:i4>0</vt:i4>
      </vt:variant>
      <vt:variant>
        <vt:i4>5</vt:i4>
      </vt:variant>
      <vt:variant>
        <vt:lpwstr/>
      </vt:variant>
      <vt:variant>
        <vt:lpwstr>_Toc16616384</vt:lpwstr>
      </vt:variant>
      <vt:variant>
        <vt:i4>1048633</vt:i4>
      </vt:variant>
      <vt:variant>
        <vt:i4>20</vt:i4>
      </vt:variant>
      <vt:variant>
        <vt:i4>0</vt:i4>
      </vt:variant>
      <vt:variant>
        <vt:i4>5</vt:i4>
      </vt:variant>
      <vt:variant>
        <vt:lpwstr/>
      </vt:variant>
      <vt:variant>
        <vt:lpwstr>_Toc16616383</vt:lpwstr>
      </vt:variant>
      <vt:variant>
        <vt:i4>1114169</vt:i4>
      </vt:variant>
      <vt:variant>
        <vt:i4>14</vt:i4>
      </vt:variant>
      <vt:variant>
        <vt:i4>0</vt:i4>
      </vt:variant>
      <vt:variant>
        <vt:i4>5</vt:i4>
      </vt:variant>
      <vt:variant>
        <vt:lpwstr/>
      </vt:variant>
      <vt:variant>
        <vt:lpwstr>_Toc16616382</vt:lpwstr>
      </vt:variant>
      <vt:variant>
        <vt:i4>1179705</vt:i4>
      </vt:variant>
      <vt:variant>
        <vt:i4>8</vt:i4>
      </vt:variant>
      <vt:variant>
        <vt:i4>0</vt:i4>
      </vt:variant>
      <vt:variant>
        <vt:i4>5</vt:i4>
      </vt:variant>
      <vt:variant>
        <vt:lpwstr/>
      </vt:variant>
      <vt:variant>
        <vt:lpwstr>_Toc16616381</vt:lpwstr>
      </vt:variant>
      <vt:variant>
        <vt:i4>1638478</vt:i4>
      </vt:variant>
      <vt:variant>
        <vt:i4>3</vt:i4>
      </vt:variant>
      <vt:variant>
        <vt:i4>0</vt:i4>
      </vt:variant>
      <vt:variant>
        <vt:i4>5</vt:i4>
      </vt:variant>
      <vt:variant>
        <vt:lpwstr>http://sod.intranet.stzh.ch/regelwerk/leistungen/aufnahmeprozess</vt:lpwstr>
      </vt:variant>
      <vt:variant>
        <vt:lpwstr/>
      </vt:variant>
      <vt:variant>
        <vt:i4>5767241</vt:i4>
      </vt:variant>
      <vt:variant>
        <vt:i4>0</vt:i4>
      </vt:variant>
      <vt:variant>
        <vt:i4>0</vt:i4>
      </vt:variant>
      <vt:variant>
        <vt:i4>5</vt:i4>
      </vt:variant>
      <vt:variant>
        <vt:lpwstr>http://sod.intranet.stzh.ch/zusammenarbeit/zustaendigkeit-und-zusammenarbeit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Dokumentenstandard</dc:title>
  <dc:subject/>
  <dc:creator>Lisa Moser</dc:creator>
  <cp:keywords/>
  <cp:lastModifiedBy>Roxana Frey (sozrnr)</cp:lastModifiedBy>
  <cp:revision>9</cp:revision>
  <cp:lastPrinted>2019-08-13T12:45:00Z</cp:lastPrinted>
  <dcterms:created xsi:type="dcterms:W3CDTF">2023-03-01T15:19:00Z</dcterms:created>
  <dcterms:modified xsi:type="dcterms:W3CDTF">2023-05-12T06:44:00Z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Bemerkungen">
    <vt:lpwstr/>
  </property>
  <property fmtid="{D5CDD505-2E9C-101B-9397-08002B2CF9AE}" pid="4" name="ContentTypeId">
    <vt:lpwstr>0x0101009DDE5957AA4A7F45815733FEB45F178D</vt:lpwstr>
  </property>
  <property fmtid="{D5CDD505-2E9C-101B-9397-08002B2CF9AE}" pid="5" name="Dokumentennummer">
    <vt:lpwstr/>
  </property>
  <property fmtid="{D5CDD505-2E9C-101B-9397-08002B2CF9AE}" pid="6" name="Zielgruppen">
    <vt:lpwstr/>
  </property>
  <property fmtid="{D5CDD505-2E9C-101B-9397-08002B2CF9AE}" pid="7" name="Gültig ab">
    <vt:lpwstr>2007-10-11T13:32:22Z</vt:lpwstr>
  </property>
  <property fmtid="{D5CDD505-2E9C-101B-9397-08002B2CF9AE}" pid="8" name="Zurdnung Thema">
    <vt:lpwstr>37;#Qualitätsmanagement</vt:lpwstr>
  </property>
  <property fmtid="{D5CDD505-2E9C-101B-9397-08002B2CF9AE}" pid="9" name="SKOS-Kapitel">
    <vt:lpwstr/>
  </property>
  <property fmtid="{D5CDD505-2E9C-101B-9397-08002B2CF9AE}" pid="10" name="Spezialdienste">
    <vt:lpwstr/>
  </property>
  <property fmtid="{D5CDD505-2E9C-101B-9397-08002B2CF9AE}" pid="11" name="Zielgruppe">
    <vt:lpwstr/>
  </property>
  <property fmtid="{D5CDD505-2E9C-101B-9397-08002B2CF9AE}" pid="12" name="Order">
    <vt:lpwstr>5900.00000000000</vt:lpwstr>
  </property>
  <property fmtid="{D5CDD505-2E9C-101B-9397-08002B2CF9AE}" pid="13" name="Document Owner">
    <vt:lpwstr/>
  </property>
  <property fmtid="{D5CDD505-2E9C-101B-9397-08002B2CF9AE}" pid="14" name="SKOS Kapitel">
    <vt:lpwstr/>
  </property>
  <property fmtid="{D5CDD505-2E9C-101B-9397-08002B2CF9AE}" pid="15" name="ContentType">
    <vt:lpwstr>SOD Handlungsanweisung (HAW)</vt:lpwstr>
  </property>
  <property fmtid="{D5CDD505-2E9C-101B-9397-08002B2CF9AE}" pid="16" name="Überarbeitungsdatum">
    <vt:lpwstr>2012-03-02T00:00:00Z</vt:lpwstr>
  </property>
  <property fmtid="{D5CDD505-2E9C-101B-9397-08002B2CF9AE}" pid="17" name="Thema">
    <vt:lpwstr/>
  </property>
  <property fmtid="{D5CDD505-2E9C-101B-9397-08002B2CF9AE}" pid="18" name="Zielgruppe(n)">
    <vt:lpwstr/>
  </property>
  <property fmtid="{D5CDD505-2E9C-101B-9397-08002B2CF9AE}" pid="19" name="Gültig von">
    <vt:lpwstr>2007-10-11T00:00:00Z</vt:lpwstr>
  </property>
  <property fmtid="{D5CDD505-2E9C-101B-9397-08002B2CF9AE}" pid="20" name="Kurzbeschreibung Dokument">
    <vt:lpwstr>&lt;div&gt;&lt;/div&gt;</vt:lpwstr>
  </property>
  <property fmtid="{D5CDD505-2E9C-101B-9397-08002B2CF9AE}" pid="21" name="Inhaltliche Verknüpfungen">
    <vt:lpwstr/>
  </property>
  <property fmtid="{D5CDD505-2E9C-101B-9397-08002B2CF9AE}" pid="22" name="display_urn:schemas-microsoft-com:office:office#Editor">
    <vt:lpwstr>Hohermuth Ivo (SD)</vt:lpwstr>
  </property>
  <property fmtid="{D5CDD505-2E9C-101B-9397-08002B2CF9AE}" pid="23" name="TemplateUrl">
    <vt:lpwstr/>
  </property>
  <property fmtid="{D5CDD505-2E9C-101B-9397-08002B2CF9AE}" pid="24" name="xd_ProgID">
    <vt:lpwstr/>
  </property>
  <property fmtid="{D5CDD505-2E9C-101B-9397-08002B2CF9AE}" pid="25" name="display_urn:schemas-microsoft-com:office:office#Author">
    <vt:lpwstr>Hohermuth Ivo (SD)</vt:lpwstr>
  </property>
  <property fmtid="{D5CDD505-2E9C-101B-9397-08002B2CF9AE}" pid="26" name="_dlc_DocId">
    <vt:lpwstr>SDSOD-119-15</vt:lpwstr>
  </property>
  <property fmtid="{D5CDD505-2E9C-101B-9397-08002B2CF9AE}" pid="27" name="_dlc_DocIdItemGuid">
    <vt:lpwstr>0106b364-6b78-42bb-ba8b-909b854dba19</vt:lpwstr>
  </property>
  <property fmtid="{D5CDD505-2E9C-101B-9397-08002B2CF9AE}" pid="28" name="_dlc_DocIdUrl">
    <vt:lpwstr>http://portal.sd.intra.stzh.ch/sod/regelwerk/_layouts/DocIdRedir.aspx?ID=SDSOD-119-15, SDSOD-119-15</vt:lpwstr>
  </property>
  <property fmtid="{D5CDD505-2E9C-101B-9397-08002B2CF9AE}" pid="29" name="WorkflowChangePath">
    <vt:lpwstr>52675646-02d6-422a-bf6f-0a8dd6281eff,6;52675646-02d6-422a-bf6f-0a8dd6281eff,8;52675646-02d6-422a-bf6f-0a8dd6281eff,10;0d2b39e8-dd18-4502-a924-40335b5a9ad4,12;1dbebda2-0151-441b-bad0-3a4bc52a6e32,23;7dbe9e3d-1110-41fa-836b-195a3e49061c,6;7dbe9e3d-1110-41fa</vt:lpwstr>
  </property>
  <property fmtid="{D5CDD505-2E9C-101B-9397-08002B2CF9AE}" pid="30" name="Fachkonzept">
    <vt:lpwstr>11</vt:lpwstr>
  </property>
  <property fmtid="{D5CDD505-2E9C-101B-9397-08002B2CF9AE}" pid="31" name="Fachressorts">
    <vt:lpwstr>1;#Erwachsenenschutz;#10;#Führung und Organisation;#2;#Kinder- und Jugendhilfe;#3;#Soziale Integration;#4;#Soziale Stadtentwicklung;#8;#Support Prozesse;#5;#Wirtschaftliche Hilfe;#7;#Zentrale Dienste / Kommunikation</vt:lpwstr>
  </property>
  <property fmtid="{D5CDD505-2E9C-101B-9397-08002B2CF9AE}" pid="32" name="Dokumentenart0">
    <vt:lpwstr>2</vt:lpwstr>
  </property>
  <property fmtid="{D5CDD505-2E9C-101B-9397-08002B2CF9AE}" pid="33" name="Dokumentenstatus">
    <vt:lpwstr>3</vt:lpwstr>
  </property>
  <property fmtid="{D5CDD505-2E9C-101B-9397-08002B2CF9AE}" pid="34" name="Verantwortliche/r Autor/in">
    <vt:lpwstr>22;#i:0#.w|global\sozmul</vt:lpwstr>
  </property>
  <property fmtid="{D5CDD505-2E9C-101B-9397-08002B2CF9AE}" pid="35" name="Federführende/s Fachressort/Einheit">
    <vt:lpwstr>11</vt:lpwstr>
  </property>
  <property fmtid="{D5CDD505-2E9C-101B-9397-08002B2CF9AE}" pid="36" name="Version des Dokuments">
    <vt:lpwstr/>
  </property>
  <property fmtid="{D5CDD505-2E9C-101B-9397-08002B2CF9AE}" pid="37" name="display_urn:schemas-microsoft-com:office:office#Verantwortliche_x002F_r_x0020_Autor_x002F_in">
    <vt:lpwstr>Müller Sandra (SD)</vt:lpwstr>
  </property>
  <property fmtid="{D5CDD505-2E9C-101B-9397-08002B2CF9AE}" pid="38" name="Zu konsultierende/-s Fachressort/-s">
    <vt:lpwstr>1;#;#10;#;#2;#;#3;#;#4;#;#8;#;#5;#</vt:lpwstr>
  </property>
  <property fmtid="{D5CDD505-2E9C-101B-9397-08002B2CF9AE}" pid="39" name="Dokumentenart1">
    <vt:lpwstr>SOD Handlungsanweisung (HAW)</vt:lpwstr>
  </property>
  <property fmtid="{D5CDD505-2E9C-101B-9397-08002B2CF9AE}" pid="40" name="Kontaktperson für SOD KOM">
    <vt:lpwstr>6;#i:0#.w|global\sozhhi</vt:lpwstr>
  </property>
  <property fmtid="{D5CDD505-2E9C-101B-9397-08002B2CF9AE}" pid="41" name="display_urn:schemas-microsoft-com:office:office#Kontaktperson_x0020_f_x00fc_r_x0020_SOD_x0020_KOM">
    <vt:lpwstr>Hohermuth Ivo (SD)</vt:lpwstr>
  </property>
  <property fmtid="{D5CDD505-2E9C-101B-9397-08002B2CF9AE}" pid="42" name="Thematische Zuordnung Fachressort(s)">
    <vt:lpwstr>1;#;#10;#;#2;#;#3;#;#4;#;#8;#;#5;#;#7;#</vt:lpwstr>
  </property>
  <property fmtid="{D5CDD505-2E9C-101B-9397-08002B2CF9AE}" pid="43" name="Herausgabe bei Informationszugangsgesuchen">
    <vt:lpwstr>kann herausgegeben werden</vt:lpwstr>
  </property>
  <property fmtid="{D5CDD505-2E9C-101B-9397-08002B2CF9AE}" pid="44" name="Gesetzliche Grundlage">
    <vt:lpwstr/>
  </property>
  <property fmtid="{D5CDD505-2E9C-101B-9397-08002B2CF9AE}" pid="45" name="Gültig bis">
    <vt:lpwstr/>
  </property>
  <property fmtid="{D5CDD505-2E9C-101B-9397-08002B2CF9AE}" pid="46" name="Leistung">
    <vt:lpwstr/>
  </property>
  <property fmtid="{D5CDD505-2E9C-101B-9397-08002B2CF9AE}" pid="47" name="IntraZueriMandant">
    <vt:lpwstr>1;#SOD|d2ca4cc4-367d-4a9a-a3b2-38906409b4ae</vt:lpwstr>
  </property>
</Properties>
</file>