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6935C6" w14:paraId="3095FC11" w14:textId="77777777">
        <w:trPr>
          <w:trHeight w:val="1000"/>
        </w:trPr>
        <w:tc>
          <w:tcPr>
            <w:tcW w:w="2223" w:type="dxa"/>
            <w:tcBorders>
              <w:top w:val="single" w:sz="4" w:space="0" w:color="808080"/>
              <w:left w:val="single" w:sz="4" w:space="0" w:color="808080"/>
              <w:bottom w:val="single" w:sz="6" w:space="0" w:color="808080"/>
              <w:right w:val="single" w:sz="6" w:space="0" w:color="808080"/>
            </w:tcBorders>
            <w:shd w:val="clear" w:color="auto" w:fill="F3F3F3"/>
          </w:tcPr>
          <w:p w14:paraId="3095FC0B" w14:textId="77777777" w:rsidR="006935C6" w:rsidRDefault="006935C6">
            <w:pPr>
              <w:pStyle w:val="WeisungKopfteil"/>
              <w:spacing w:before="120" w:after="0"/>
              <w:rPr>
                <w:sz w:val="22"/>
              </w:rPr>
            </w:pPr>
            <w:r>
              <w:rPr>
                <w:sz w:val="22"/>
              </w:rPr>
              <w:t xml:space="preserve">Zuordnung: </w:t>
            </w:r>
          </w:p>
          <w:p w14:paraId="3095FC0C" w14:textId="7A772D1F" w:rsidR="006935C6" w:rsidRPr="00720C32" w:rsidRDefault="006935C6" w:rsidP="005679DD">
            <w:pPr>
              <w:pStyle w:val="KeinLeerraum"/>
              <w:spacing w:before="120"/>
              <w:rPr>
                <w:b/>
                <w:bCs/>
              </w:rPr>
            </w:pPr>
            <w:r w:rsidRPr="00796153">
              <w:t>SKOS</w:t>
            </w:r>
            <w:r w:rsidR="009D318D" w:rsidRPr="00796153">
              <w:rPr>
                <w:bCs/>
              </w:rPr>
              <w:t xml:space="preserve"> C</w:t>
            </w:r>
            <w:r w:rsidRPr="006C09D7">
              <w:t xml:space="preserve"> </w:t>
            </w:r>
          </w:p>
        </w:tc>
        <w:tc>
          <w:tcPr>
            <w:tcW w:w="4453" w:type="dxa"/>
            <w:tcBorders>
              <w:top w:val="single" w:sz="4" w:space="0" w:color="808080"/>
              <w:left w:val="single" w:sz="6" w:space="0" w:color="808080"/>
              <w:bottom w:val="single" w:sz="6" w:space="0" w:color="808080"/>
              <w:right w:val="single" w:sz="6" w:space="0" w:color="808080"/>
            </w:tcBorders>
            <w:shd w:val="clear" w:color="auto" w:fill="F3F3F3"/>
          </w:tcPr>
          <w:p w14:paraId="3095FC0D" w14:textId="77777777" w:rsidR="006935C6" w:rsidRPr="009C666B" w:rsidRDefault="006935C6">
            <w:pPr>
              <w:pStyle w:val="WeisungKopfteil"/>
              <w:spacing w:before="120" w:after="0"/>
              <w:jc w:val="center"/>
            </w:pPr>
            <w:r w:rsidRPr="009C666B">
              <w:t xml:space="preserve">Handlungsanweisung der </w:t>
            </w:r>
            <w:r w:rsidR="00060EFA">
              <w:t>Direktorin</w:t>
            </w:r>
            <w:r w:rsidRPr="009C666B">
              <w:br/>
            </w:r>
          </w:p>
        </w:tc>
        <w:tc>
          <w:tcPr>
            <w:tcW w:w="2414" w:type="dxa"/>
            <w:tcBorders>
              <w:top w:val="single" w:sz="4" w:space="0" w:color="808080"/>
              <w:left w:val="single" w:sz="6" w:space="0" w:color="808080"/>
              <w:bottom w:val="single" w:sz="6" w:space="0" w:color="808080"/>
              <w:right w:val="single" w:sz="4" w:space="0" w:color="808080"/>
            </w:tcBorders>
            <w:shd w:val="clear" w:color="auto" w:fill="F3F3F3"/>
          </w:tcPr>
          <w:p w14:paraId="3095FC0E" w14:textId="77777777" w:rsidR="006935C6" w:rsidRDefault="006935C6">
            <w:pPr>
              <w:pStyle w:val="WeisungKopfteil"/>
              <w:spacing w:before="120" w:after="0"/>
              <w:jc w:val="right"/>
              <w:rPr>
                <w:sz w:val="22"/>
              </w:rPr>
            </w:pPr>
            <w:r>
              <w:rPr>
                <w:sz w:val="22"/>
              </w:rPr>
              <w:t>Gültig ab</w:t>
            </w:r>
          </w:p>
          <w:p w14:paraId="3095FC0F" w14:textId="52288270" w:rsidR="006130DC" w:rsidRPr="00796153" w:rsidRDefault="00D407B1" w:rsidP="006130DC">
            <w:pPr>
              <w:pStyle w:val="WeisungKopfteil"/>
              <w:spacing w:before="120" w:after="0"/>
              <w:jc w:val="right"/>
              <w:rPr>
                <w:b w:val="0"/>
                <w:sz w:val="20"/>
                <w:szCs w:val="20"/>
              </w:rPr>
            </w:pPr>
            <w:r w:rsidRPr="00204029">
              <w:rPr>
                <w:b w:val="0"/>
                <w:sz w:val="20"/>
                <w:szCs w:val="20"/>
                <w:highlight w:val="yellow"/>
              </w:rPr>
              <w:t>01.0</w:t>
            </w:r>
            <w:r w:rsidR="00796153" w:rsidRPr="00204029">
              <w:rPr>
                <w:b w:val="0"/>
                <w:sz w:val="20"/>
                <w:szCs w:val="20"/>
                <w:highlight w:val="yellow"/>
              </w:rPr>
              <w:t>2</w:t>
            </w:r>
            <w:r w:rsidRPr="00204029">
              <w:rPr>
                <w:b w:val="0"/>
                <w:sz w:val="20"/>
                <w:szCs w:val="20"/>
                <w:highlight w:val="yellow"/>
              </w:rPr>
              <w:t>.20</w:t>
            </w:r>
            <w:r w:rsidR="001102B8" w:rsidRPr="00204029">
              <w:rPr>
                <w:b w:val="0"/>
                <w:sz w:val="20"/>
                <w:szCs w:val="20"/>
                <w:highlight w:val="yellow"/>
              </w:rPr>
              <w:t>2</w:t>
            </w:r>
            <w:r w:rsidR="00796153" w:rsidRPr="00204029">
              <w:rPr>
                <w:b w:val="0"/>
                <w:sz w:val="20"/>
                <w:szCs w:val="20"/>
                <w:highlight w:val="yellow"/>
              </w:rPr>
              <w:t>2</w:t>
            </w:r>
          </w:p>
          <w:p w14:paraId="3095FC10" w14:textId="56A9C4EA" w:rsidR="006935C6" w:rsidRDefault="006935C6" w:rsidP="0018697B">
            <w:pPr>
              <w:pStyle w:val="WeisungKopfteil"/>
              <w:spacing w:before="0" w:after="120"/>
              <w:jc w:val="right"/>
              <w:rPr>
                <w:b w:val="0"/>
                <w:bCs/>
                <w:sz w:val="20"/>
              </w:rPr>
            </w:pPr>
            <w:r w:rsidRPr="0018697B">
              <w:rPr>
                <w:b w:val="0"/>
                <w:bCs/>
                <w:sz w:val="20"/>
                <w:szCs w:val="20"/>
              </w:rPr>
              <w:t xml:space="preserve">ersetzt </w:t>
            </w:r>
            <w:r w:rsidR="001102B8" w:rsidRPr="0018697B">
              <w:rPr>
                <w:b w:val="0"/>
                <w:bCs/>
                <w:sz w:val="20"/>
                <w:szCs w:val="20"/>
              </w:rPr>
              <w:t>01</w:t>
            </w:r>
            <w:r w:rsidR="00D407B1" w:rsidRPr="0018697B">
              <w:rPr>
                <w:b w:val="0"/>
                <w:bCs/>
                <w:sz w:val="20"/>
                <w:szCs w:val="20"/>
              </w:rPr>
              <w:t>.0</w:t>
            </w:r>
            <w:r w:rsidR="009D318D" w:rsidRPr="0018697B">
              <w:rPr>
                <w:b w:val="0"/>
                <w:bCs/>
                <w:sz w:val="20"/>
                <w:szCs w:val="20"/>
              </w:rPr>
              <w:t>7</w:t>
            </w:r>
            <w:r w:rsidR="00891C25" w:rsidRPr="0018697B">
              <w:rPr>
                <w:b w:val="0"/>
                <w:bCs/>
                <w:sz w:val="20"/>
                <w:szCs w:val="20"/>
              </w:rPr>
              <w:t>.20</w:t>
            </w:r>
            <w:r w:rsidR="009D318D" w:rsidRPr="0018697B">
              <w:rPr>
                <w:b w:val="0"/>
                <w:bCs/>
                <w:sz w:val="20"/>
                <w:szCs w:val="20"/>
              </w:rPr>
              <w:t>20</w:t>
            </w:r>
          </w:p>
        </w:tc>
      </w:tr>
      <w:tr w:rsidR="006935C6" w14:paraId="3095FC13"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3095FC12" w14:textId="77777777" w:rsidR="006935C6" w:rsidRDefault="003D66A6" w:rsidP="00265641">
            <w:pPr>
              <w:pStyle w:val="WeisungKopfteil"/>
              <w:spacing w:before="120" w:after="120"/>
              <w:rPr>
                <w:bCs/>
              </w:rPr>
            </w:pPr>
            <w:r w:rsidRPr="0018697B">
              <w:rPr>
                <w:bCs/>
              </w:rPr>
              <w:t xml:space="preserve">Befristete </w:t>
            </w:r>
            <w:r w:rsidR="006935C6" w:rsidRPr="0018697B">
              <w:rPr>
                <w:bCs/>
              </w:rPr>
              <w:t>N</w:t>
            </w:r>
            <w:r w:rsidR="00705FC6" w:rsidRPr="0018697B">
              <w:rPr>
                <w:bCs/>
              </w:rPr>
              <w:t>ot</w:t>
            </w:r>
            <w:r w:rsidR="007B6E37" w:rsidRPr="0018697B">
              <w:rPr>
                <w:bCs/>
              </w:rPr>
              <w:t>unterbringung</w:t>
            </w:r>
            <w:r w:rsidR="006935C6" w:rsidRPr="0018697B">
              <w:rPr>
                <w:bCs/>
              </w:rPr>
              <w:t xml:space="preserve"> in Hotel</w:t>
            </w:r>
            <w:r w:rsidR="00705FC6" w:rsidRPr="0018697B">
              <w:rPr>
                <w:bCs/>
              </w:rPr>
              <w:t>s</w:t>
            </w:r>
            <w:r w:rsidR="006935C6" w:rsidRPr="0018697B">
              <w:rPr>
                <w:bCs/>
              </w:rPr>
              <w:t xml:space="preserve"> </w:t>
            </w:r>
            <w:r w:rsidR="001A5D5E" w:rsidRPr="0018697B">
              <w:rPr>
                <w:bCs/>
              </w:rPr>
              <w:t>und</w:t>
            </w:r>
            <w:r w:rsidR="006935C6" w:rsidRPr="0018697B">
              <w:rPr>
                <w:bCs/>
              </w:rPr>
              <w:t xml:space="preserve"> </w:t>
            </w:r>
            <w:r w:rsidR="00F050BC" w:rsidRPr="0018697B">
              <w:rPr>
                <w:bCs/>
              </w:rPr>
              <w:t>hotelähnlichen</w:t>
            </w:r>
            <w:r w:rsidR="00835816" w:rsidRPr="0018697B">
              <w:rPr>
                <w:bCs/>
              </w:rPr>
              <w:t xml:space="preserve"> Angeboten</w:t>
            </w:r>
          </w:p>
        </w:tc>
      </w:tr>
    </w:tbl>
    <w:p w14:paraId="3095FC14" w14:textId="77777777" w:rsidR="003F053B" w:rsidRDefault="003F053B" w:rsidP="003F053B">
      <w:pPr>
        <w:rPr>
          <w:sz w:val="16"/>
          <w:szCs w:val="16"/>
        </w:rPr>
      </w:pPr>
    </w:p>
    <w:p w14:paraId="3095FC15" w14:textId="77777777" w:rsidR="003C0C86" w:rsidRPr="003F053B" w:rsidRDefault="003C0C86" w:rsidP="003F053B">
      <w:pPr>
        <w:rPr>
          <w:sz w:val="16"/>
          <w:szCs w:val="16"/>
        </w:rPr>
      </w:pPr>
    </w:p>
    <w:p w14:paraId="3095FC16" w14:textId="77777777" w:rsidR="006935C6" w:rsidRDefault="009C666B" w:rsidP="00A936FD">
      <w:pPr>
        <w:pStyle w:val="berschrift1"/>
      </w:pPr>
      <w:bookmarkStart w:id="0" w:name="_Toc39831342"/>
      <w:r>
        <w:t>Grundsatz</w:t>
      </w:r>
      <w:bookmarkEnd w:id="0"/>
    </w:p>
    <w:p w14:paraId="3095FC17" w14:textId="77777777" w:rsidR="00375B10" w:rsidRPr="0018697B" w:rsidRDefault="00D429C8" w:rsidP="00D429C8">
      <w:pPr>
        <w:pStyle w:val="berschrift"/>
        <w:spacing w:before="80" w:after="80"/>
        <w:rPr>
          <w:b w:val="0"/>
        </w:rPr>
      </w:pPr>
      <w:r w:rsidRPr="0018697B">
        <w:rPr>
          <w:b w:val="0"/>
        </w:rPr>
        <w:t xml:space="preserve">Die Stadt Zürich verfügt über ein breites Angebot an Notunterkünften (Notschlafstellen, </w:t>
      </w:r>
      <w:r w:rsidR="00992232" w:rsidRPr="0018697B">
        <w:rPr>
          <w:b w:val="0"/>
        </w:rPr>
        <w:t xml:space="preserve">Notunterkunft für Familien, </w:t>
      </w:r>
      <w:r w:rsidR="00514769" w:rsidRPr="0018697B">
        <w:rPr>
          <w:b w:val="0"/>
        </w:rPr>
        <w:t xml:space="preserve">Übergangswohnen für </w:t>
      </w:r>
      <w:r w:rsidR="004A7710" w:rsidRPr="0018697B">
        <w:rPr>
          <w:b w:val="0"/>
        </w:rPr>
        <w:t>Einzelpersonen/Paare</w:t>
      </w:r>
      <w:r w:rsidR="008E3B53" w:rsidRPr="0018697B">
        <w:rPr>
          <w:b w:val="0"/>
        </w:rPr>
        <w:t>/Familien</w:t>
      </w:r>
      <w:r w:rsidR="00992232" w:rsidRPr="0018697B">
        <w:rPr>
          <w:b w:val="0"/>
        </w:rPr>
        <w:t>).</w:t>
      </w:r>
      <w:r w:rsidRPr="0018697B">
        <w:rPr>
          <w:b w:val="0"/>
        </w:rPr>
        <w:t xml:space="preserve"> </w:t>
      </w:r>
      <w:r w:rsidR="004B13CA" w:rsidRPr="0018697B">
        <w:rPr>
          <w:b w:val="0"/>
        </w:rPr>
        <w:t xml:space="preserve">Bei Obdachlosigkeit erfolgt </w:t>
      </w:r>
      <w:r w:rsidR="00835816" w:rsidRPr="0018697B">
        <w:rPr>
          <w:b w:val="0"/>
        </w:rPr>
        <w:t xml:space="preserve">grundsätzlich </w:t>
      </w:r>
      <w:r w:rsidR="004B13CA" w:rsidRPr="0018697B">
        <w:rPr>
          <w:b w:val="0"/>
        </w:rPr>
        <w:t xml:space="preserve">eine Unterbringung in Angeboten von SEB Wohnen + Obdach sowie von privaten Anbietern. </w:t>
      </w:r>
    </w:p>
    <w:p w14:paraId="3095FC18" w14:textId="77777777" w:rsidR="007C04D7" w:rsidRPr="0018697B" w:rsidRDefault="00D429C8" w:rsidP="00D429C8">
      <w:pPr>
        <w:pStyle w:val="berschrift"/>
        <w:spacing w:before="80" w:after="80"/>
        <w:rPr>
          <w:b w:val="0"/>
        </w:rPr>
      </w:pPr>
      <w:r w:rsidRPr="0018697B">
        <w:rPr>
          <w:b w:val="0"/>
        </w:rPr>
        <w:t xml:space="preserve">In Einzelfällen sind </w:t>
      </w:r>
      <w:r w:rsidR="00D407B1" w:rsidRPr="0018697B">
        <w:rPr>
          <w:b w:val="0"/>
        </w:rPr>
        <w:t xml:space="preserve">Unterbringungen in Notunterkünften </w:t>
      </w:r>
      <w:r w:rsidRPr="0018697B">
        <w:rPr>
          <w:b w:val="0"/>
        </w:rPr>
        <w:t xml:space="preserve">aufgrund der individuellen Lebenslagen </w:t>
      </w:r>
      <w:r w:rsidR="00D407B1" w:rsidRPr="0018697B">
        <w:rPr>
          <w:b w:val="0"/>
        </w:rPr>
        <w:t>der</w:t>
      </w:r>
      <w:r w:rsidRPr="0018697B">
        <w:rPr>
          <w:b w:val="0"/>
        </w:rPr>
        <w:t xml:space="preserve"> Sozialhilfebeziehenden</w:t>
      </w:r>
      <w:r w:rsidR="00D407B1" w:rsidRPr="0018697B">
        <w:rPr>
          <w:b w:val="0"/>
        </w:rPr>
        <w:t xml:space="preserve"> (z.B. </w:t>
      </w:r>
      <w:r w:rsidR="00375B10" w:rsidRPr="0018697B">
        <w:rPr>
          <w:b w:val="0"/>
        </w:rPr>
        <w:t xml:space="preserve">aufgrund von </w:t>
      </w:r>
      <w:r w:rsidR="00D407B1" w:rsidRPr="0018697B">
        <w:rPr>
          <w:b w:val="0"/>
        </w:rPr>
        <w:t>A</w:t>
      </w:r>
      <w:r w:rsidR="00375B10" w:rsidRPr="0018697B">
        <w:rPr>
          <w:b w:val="0"/>
        </w:rPr>
        <w:t>lter oder Krankheit</w:t>
      </w:r>
      <w:r w:rsidR="00835816" w:rsidRPr="0018697B">
        <w:rPr>
          <w:b w:val="0"/>
        </w:rPr>
        <w:t>)</w:t>
      </w:r>
      <w:r w:rsidR="00195E90" w:rsidRPr="0018697B">
        <w:rPr>
          <w:b w:val="0"/>
        </w:rPr>
        <w:t xml:space="preserve"> </w:t>
      </w:r>
      <w:r w:rsidR="005968A3" w:rsidRPr="0018697B">
        <w:rPr>
          <w:b w:val="0"/>
        </w:rPr>
        <w:t>der Situation nicht angemessen</w:t>
      </w:r>
      <w:r w:rsidR="00B57311" w:rsidRPr="0018697B">
        <w:rPr>
          <w:b w:val="0"/>
        </w:rPr>
        <w:t xml:space="preserve"> </w:t>
      </w:r>
      <w:r w:rsidR="006F09EB" w:rsidRPr="0018697B">
        <w:rPr>
          <w:b w:val="0"/>
        </w:rPr>
        <w:t xml:space="preserve">oder </w:t>
      </w:r>
      <w:r w:rsidR="00835816" w:rsidRPr="0018697B">
        <w:rPr>
          <w:b w:val="0"/>
        </w:rPr>
        <w:t xml:space="preserve">eine solche </w:t>
      </w:r>
      <w:r w:rsidR="006F09EB" w:rsidRPr="0018697B">
        <w:rPr>
          <w:b w:val="0"/>
        </w:rPr>
        <w:t>kurzfristig nicht verfügbar</w:t>
      </w:r>
      <w:r w:rsidR="00D407B1" w:rsidRPr="0018697B">
        <w:rPr>
          <w:b w:val="0"/>
        </w:rPr>
        <w:t xml:space="preserve">. </w:t>
      </w:r>
      <w:r w:rsidR="00A20913" w:rsidRPr="0018697B">
        <w:rPr>
          <w:b w:val="0"/>
        </w:rPr>
        <w:t>Eine</w:t>
      </w:r>
      <w:r w:rsidR="008F0D04" w:rsidRPr="0018697B">
        <w:rPr>
          <w:b w:val="0"/>
        </w:rPr>
        <w:t xml:space="preserve"> </w:t>
      </w:r>
      <w:r w:rsidR="005968A3" w:rsidRPr="0018697B">
        <w:rPr>
          <w:b w:val="0"/>
        </w:rPr>
        <w:t>Unterbringung in</w:t>
      </w:r>
      <w:r w:rsidR="00835816" w:rsidRPr="0018697B">
        <w:rPr>
          <w:b w:val="0"/>
        </w:rPr>
        <w:t xml:space="preserve"> Hotels oder hotelähnlichen Angeboten</w:t>
      </w:r>
      <w:r w:rsidR="00170ABA" w:rsidRPr="0018697B">
        <w:rPr>
          <w:b w:val="0"/>
        </w:rPr>
        <w:t xml:space="preserve"> </w:t>
      </w:r>
      <w:r w:rsidR="00A20913" w:rsidRPr="0018697B">
        <w:rPr>
          <w:b w:val="0"/>
        </w:rPr>
        <w:t xml:space="preserve">kann in </w:t>
      </w:r>
      <w:r w:rsidR="005968A3" w:rsidRPr="0018697B">
        <w:rPr>
          <w:b w:val="0"/>
        </w:rPr>
        <w:t xml:space="preserve">solchen Einzelfällen </w:t>
      </w:r>
      <w:r w:rsidR="00A20913" w:rsidRPr="0018697B">
        <w:rPr>
          <w:b w:val="0"/>
        </w:rPr>
        <w:t>Notsituationen überbrücken</w:t>
      </w:r>
      <w:r w:rsidR="005968A3" w:rsidRPr="0018697B">
        <w:rPr>
          <w:b w:val="0"/>
        </w:rPr>
        <w:t xml:space="preserve"> </w:t>
      </w:r>
      <w:r w:rsidR="004827A6" w:rsidRPr="0018697B">
        <w:rPr>
          <w:b w:val="0"/>
        </w:rPr>
        <w:t>und Obdachlosigkeit verhindern</w:t>
      </w:r>
      <w:r w:rsidR="008F0D04" w:rsidRPr="0018697B">
        <w:rPr>
          <w:b w:val="0"/>
        </w:rPr>
        <w:t xml:space="preserve">. </w:t>
      </w:r>
    </w:p>
    <w:p w14:paraId="3095FC19" w14:textId="77777777" w:rsidR="007C04D7" w:rsidRPr="0018697B" w:rsidRDefault="007C04D7" w:rsidP="00D429C8">
      <w:pPr>
        <w:pStyle w:val="berschrift"/>
        <w:spacing w:before="80" w:after="80"/>
        <w:rPr>
          <w:b w:val="0"/>
        </w:rPr>
      </w:pPr>
      <w:r w:rsidRPr="0018697B">
        <w:rPr>
          <w:b w:val="0"/>
        </w:rPr>
        <w:t>Über Notsituationen hinaus sind Unterbringungen in hotelähnlichen Angeboten, die lediglich befristete Mietverträge ausstellen, zu vermeiden.</w:t>
      </w:r>
    </w:p>
    <w:p w14:paraId="3095FC1A" w14:textId="509B9DAB" w:rsidR="00375B10" w:rsidRDefault="000D306E" w:rsidP="00D429C8">
      <w:pPr>
        <w:pStyle w:val="berschrift"/>
        <w:spacing w:before="80" w:after="80"/>
        <w:rPr>
          <w:b w:val="0"/>
        </w:rPr>
      </w:pPr>
      <w:r w:rsidRPr="0018697B">
        <w:rPr>
          <w:b w:val="0"/>
        </w:rPr>
        <w:t>Für Einzelpersonen bis 25-jährig sind Unterbringungen in Hotels oder hotelähnlichen Angeboten</w:t>
      </w:r>
      <w:r w:rsidR="00E57EA7">
        <w:rPr>
          <w:b w:val="0"/>
        </w:rPr>
        <w:t xml:space="preserve"> grundsätzlich</w:t>
      </w:r>
      <w:r w:rsidRPr="0018697B">
        <w:rPr>
          <w:b w:val="0"/>
        </w:rPr>
        <w:t xml:space="preserve"> zu vermeiden. </w:t>
      </w:r>
      <w:r w:rsidR="00585238">
        <w:rPr>
          <w:b w:val="0"/>
        </w:rPr>
        <w:t xml:space="preserve"> </w:t>
      </w:r>
    </w:p>
    <w:p w14:paraId="3095FC1B" w14:textId="77777777" w:rsidR="00F050BC" w:rsidRDefault="00F050BC" w:rsidP="00E0597D"/>
    <w:p w14:paraId="3095FC1C" w14:textId="77777777" w:rsidR="00F050BC" w:rsidRPr="0018697B" w:rsidRDefault="00835816" w:rsidP="00A936FD">
      <w:pPr>
        <w:pStyle w:val="berschrift1"/>
      </w:pPr>
      <w:bookmarkStart w:id="1" w:name="_Toc39831343"/>
      <w:r w:rsidRPr="00835816">
        <w:t xml:space="preserve">Begriffsklärung </w:t>
      </w:r>
      <w:r w:rsidRPr="0018697B">
        <w:t>und Geltungsbereich</w:t>
      </w:r>
      <w:bookmarkEnd w:id="1"/>
      <w:r w:rsidRPr="0018697B">
        <w:t xml:space="preserve"> </w:t>
      </w:r>
    </w:p>
    <w:p w14:paraId="3095FC1D" w14:textId="77777777" w:rsidR="004827A6" w:rsidRPr="0018697B" w:rsidRDefault="009313A1" w:rsidP="00D44B02">
      <w:pPr>
        <w:spacing w:after="120"/>
      </w:pPr>
      <w:r w:rsidRPr="0018697B">
        <w:t xml:space="preserve">In </w:t>
      </w:r>
      <w:r w:rsidR="00835816" w:rsidRPr="0018697B">
        <w:t>de</w:t>
      </w:r>
      <w:r w:rsidR="00B57311" w:rsidRPr="0018697B">
        <w:t>n</w:t>
      </w:r>
      <w:r w:rsidR="00835816" w:rsidRPr="0018697B">
        <w:t xml:space="preserve"> Geltungsbe</w:t>
      </w:r>
      <w:r w:rsidR="008F0D04" w:rsidRPr="0018697B">
        <w:t>reich dieser HAW fallen Hotels</w:t>
      </w:r>
      <w:r w:rsidR="00B57311" w:rsidRPr="0018697B">
        <w:t xml:space="preserve"> und Pensionen</w:t>
      </w:r>
      <w:r w:rsidR="00B672B4" w:rsidRPr="0018697B">
        <w:t xml:space="preserve"> sowie </w:t>
      </w:r>
      <w:r w:rsidR="008F0D04" w:rsidRPr="0018697B">
        <w:t xml:space="preserve">Aparthotels, </w:t>
      </w:r>
      <w:r w:rsidR="00835816" w:rsidRPr="0018697B">
        <w:t>Hotel Apartments</w:t>
      </w:r>
      <w:r w:rsidR="008F0D04" w:rsidRPr="0018697B">
        <w:t xml:space="preserve">, </w:t>
      </w:r>
      <w:r w:rsidR="00644D02" w:rsidRPr="0018697B">
        <w:t>möb</w:t>
      </w:r>
      <w:r w:rsidR="00B672B4" w:rsidRPr="0018697B">
        <w:t>lierte Apartments auf Zeit und</w:t>
      </w:r>
      <w:r w:rsidR="008F0D04" w:rsidRPr="0018697B">
        <w:t xml:space="preserve"> </w:t>
      </w:r>
      <w:proofErr w:type="spellStart"/>
      <w:r w:rsidR="008F0D04" w:rsidRPr="0018697B">
        <w:t>Serviced</w:t>
      </w:r>
      <w:proofErr w:type="spellEnd"/>
      <w:r w:rsidR="008F0D04" w:rsidRPr="0018697B">
        <w:t xml:space="preserve"> Apartments</w:t>
      </w:r>
      <w:r w:rsidR="00835816" w:rsidRPr="0018697B">
        <w:t xml:space="preserve"> mit </w:t>
      </w:r>
      <w:r w:rsidR="00835816" w:rsidRPr="0018697B">
        <w:rPr>
          <w:b/>
        </w:rPr>
        <w:t>befristete</w:t>
      </w:r>
      <w:r w:rsidRPr="0018697B">
        <w:rPr>
          <w:b/>
        </w:rPr>
        <w:t>n</w:t>
      </w:r>
      <w:r w:rsidR="00835816" w:rsidRPr="0018697B">
        <w:t xml:space="preserve"> Beherbergungs- oder Mietverträge</w:t>
      </w:r>
      <w:r w:rsidRPr="0018697B">
        <w:t>n</w:t>
      </w:r>
      <w:r w:rsidR="000D58B6" w:rsidRPr="0018697B">
        <w:rPr>
          <w:rStyle w:val="Funotenzeichen"/>
        </w:rPr>
        <w:footnoteReference w:id="1"/>
      </w:r>
      <w:r w:rsidR="00835816" w:rsidRPr="0018697B">
        <w:t xml:space="preserve">. </w:t>
      </w:r>
    </w:p>
    <w:p w14:paraId="3095FC1E" w14:textId="77777777" w:rsidR="004827A6" w:rsidRPr="0018697B" w:rsidRDefault="004827A6" w:rsidP="00D44B02">
      <w:pPr>
        <w:spacing w:after="120"/>
      </w:pPr>
      <w:r w:rsidRPr="0018697B">
        <w:t xml:space="preserve">Hotels und hotelähnliche Angebote charakterisieren sich durch folgende Merkmale: </w:t>
      </w:r>
    </w:p>
    <w:p w14:paraId="3095FC1F" w14:textId="77777777" w:rsidR="008F0D04" w:rsidRPr="0018697B" w:rsidRDefault="004827A6" w:rsidP="008F0D04">
      <w:pPr>
        <w:numPr>
          <w:ilvl w:val="0"/>
          <w:numId w:val="14"/>
        </w:numPr>
      </w:pPr>
      <w:r w:rsidRPr="0018697B">
        <w:t>(</w:t>
      </w:r>
      <w:r w:rsidR="008F0D04" w:rsidRPr="0018697B">
        <w:t>Online</w:t>
      </w:r>
      <w:r w:rsidRPr="0018697B">
        <w:t xml:space="preserve">-)Buchung </w:t>
      </w:r>
      <w:r w:rsidR="008F0D04" w:rsidRPr="0018697B">
        <w:t>ohne Bewerbungsverfahren möglich</w:t>
      </w:r>
    </w:p>
    <w:p w14:paraId="3095FC20" w14:textId="77777777" w:rsidR="008F0D04" w:rsidRPr="0018697B" w:rsidRDefault="004827A6" w:rsidP="008F0D04">
      <w:pPr>
        <w:numPr>
          <w:ilvl w:val="0"/>
          <w:numId w:val="14"/>
        </w:numPr>
      </w:pPr>
      <w:r w:rsidRPr="0018697B">
        <w:rPr>
          <w:b/>
          <w:szCs w:val="22"/>
        </w:rPr>
        <w:t>B</w:t>
      </w:r>
      <w:r w:rsidR="008F0D04" w:rsidRPr="0018697B">
        <w:rPr>
          <w:b/>
          <w:szCs w:val="22"/>
        </w:rPr>
        <w:t>efristete</w:t>
      </w:r>
      <w:r w:rsidR="008F0D04" w:rsidRPr="0018697B">
        <w:rPr>
          <w:b/>
        </w:rPr>
        <w:t xml:space="preserve"> </w:t>
      </w:r>
      <w:r w:rsidR="008F0D04" w:rsidRPr="0018697B">
        <w:t xml:space="preserve">formlose Unterbringung oder </w:t>
      </w:r>
      <w:r w:rsidR="008F0D04" w:rsidRPr="0018697B">
        <w:rPr>
          <w:b/>
        </w:rPr>
        <w:t xml:space="preserve">befristete </w:t>
      </w:r>
      <w:r w:rsidR="008F0D04" w:rsidRPr="0018697B">
        <w:t>Unterbringung mit B</w:t>
      </w:r>
      <w:r w:rsidRPr="0018697B">
        <w:t>eherbergungsvertrag (selten mit</w:t>
      </w:r>
      <w:r w:rsidR="008F0D04" w:rsidRPr="0018697B">
        <w:t xml:space="preserve"> Mietvertrag)</w:t>
      </w:r>
    </w:p>
    <w:p w14:paraId="3095FC21" w14:textId="77777777" w:rsidR="008F0D04" w:rsidRPr="0018697B" w:rsidRDefault="008F0D04" w:rsidP="008F0D04">
      <w:pPr>
        <w:numPr>
          <w:ilvl w:val="0"/>
          <w:numId w:val="14"/>
        </w:numPr>
      </w:pPr>
      <w:r w:rsidRPr="0018697B">
        <w:t xml:space="preserve">Serviceleistungen (z.B. Reinigung, Bett- und </w:t>
      </w:r>
      <w:proofErr w:type="spellStart"/>
      <w:r w:rsidRPr="0018697B">
        <w:t>Frottiertücherwäsche</w:t>
      </w:r>
      <w:proofErr w:type="spellEnd"/>
      <w:r w:rsidR="00BD1A7A" w:rsidRPr="0018697B">
        <w:t xml:space="preserve">, </w:t>
      </w:r>
      <w:r w:rsidR="00972D85" w:rsidRPr="0018697B">
        <w:t>Entsorgung,</w:t>
      </w:r>
      <w:r w:rsidR="007B6E37" w:rsidRPr="0018697B">
        <w:t xml:space="preserve"> </w:t>
      </w:r>
      <w:r w:rsidR="00BD1A7A" w:rsidRPr="0018697B">
        <w:t>Mahlzeiten</w:t>
      </w:r>
      <w:r w:rsidRPr="0018697B">
        <w:t xml:space="preserve">) sind </w:t>
      </w:r>
      <w:r w:rsidR="004827A6" w:rsidRPr="0018697B">
        <w:t xml:space="preserve">im Preis </w:t>
      </w:r>
      <w:r w:rsidRPr="0018697B">
        <w:t>inbegriffen</w:t>
      </w:r>
    </w:p>
    <w:p w14:paraId="3095FC22" w14:textId="77777777" w:rsidR="008F0D04" w:rsidRPr="0018697B" w:rsidRDefault="00BD1A7A" w:rsidP="008F0D04">
      <w:pPr>
        <w:numPr>
          <w:ilvl w:val="0"/>
          <w:numId w:val="14"/>
        </w:numPr>
      </w:pPr>
      <w:r w:rsidRPr="0018697B">
        <w:t>Energieverbrauch (Strom, Heizung) ist</w:t>
      </w:r>
      <w:r w:rsidR="008F0D04" w:rsidRPr="0018697B">
        <w:t xml:space="preserve"> </w:t>
      </w:r>
      <w:r w:rsidR="004827A6" w:rsidRPr="0018697B">
        <w:t xml:space="preserve">im Preis </w:t>
      </w:r>
      <w:r w:rsidR="008F0D04" w:rsidRPr="0018697B">
        <w:t>inbegriffen</w:t>
      </w:r>
    </w:p>
    <w:p w14:paraId="3095FC23" w14:textId="77777777" w:rsidR="008F0D04" w:rsidRPr="0018697B" w:rsidRDefault="008F0D04" w:rsidP="00D44B02">
      <w:pPr>
        <w:spacing w:after="120"/>
      </w:pPr>
    </w:p>
    <w:p w14:paraId="3095FC24" w14:textId="44FDBF17" w:rsidR="00672040" w:rsidRDefault="00F570C8" w:rsidP="004827A6">
      <w:pPr>
        <w:spacing w:after="120"/>
        <w:rPr>
          <w:szCs w:val="22"/>
        </w:rPr>
      </w:pPr>
      <w:r w:rsidRPr="0018697B">
        <w:t>N</w:t>
      </w:r>
      <w:r w:rsidR="00130E68" w:rsidRPr="0018697B">
        <w:t xml:space="preserve">icht </w:t>
      </w:r>
      <w:r w:rsidR="003A1CF0" w:rsidRPr="0018697B">
        <w:t>in den Geltungsberei</w:t>
      </w:r>
      <w:r w:rsidR="009313A1" w:rsidRPr="0018697B">
        <w:t>ch dieser</w:t>
      </w:r>
      <w:r w:rsidRPr="0018697B">
        <w:t xml:space="preserve"> HAW</w:t>
      </w:r>
      <w:r w:rsidR="00130E68" w:rsidRPr="0018697B">
        <w:t xml:space="preserve"> </w:t>
      </w:r>
      <w:r w:rsidR="00644D02" w:rsidRPr="0018697B">
        <w:t xml:space="preserve">fallen </w:t>
      </w:r>
      <w:r w:rsidRPr="0018697B">
        <w:t xml:space="preserve">Aparthotels, Hotel Apartments, möblierte Apartments sowie </w:t>
      </w:r>
      <w:proofErr w:type="spellStart"/>
      <w:r w:rsidRPr="0018697B">
        <w:t>Serviced</w:t>
      </w:r>
      <w:proofErr w:type="spellEnd"/>
      <w:r w:rsidRPr="0018697B">
        <w:t xml:space="preserve"> Apartments</w:t>
      </w:r>
      <w:r w:rsidR="00880928" w:rsidRPr="0018697B">
        <w:t xml:space="preserve">, bei denen ein unbefristeter </w:t>
      </w:r>
      <w:r w:rsidR="004827A6" w:rsidRPr="0018697B">
        <w:t xml:space="preserve">Beherbergungs- oder Mietvertrag </w:t>
      </w:r>
      <w:r w:rsidR="00834E8F" w:rsidRPr="0018697B">
        <w:t>und damit ein reguläres Mietverhältnis vorliegt, welches die mietrechtlichen Schutzbestimmungen für die Klient</w:t>
      </w:r>
      <w:r w:rsidR="0066631D" w:rsidRPr="0018697B">
        <w:t>i</w:t>
      </w:r>
      <w:r w:rsidR="00834E8F" w:rsidRPr="0018697B">
        <w:t xml:space="preserve">nnen </w:t>
      </w:r>
      <w:r w:rsidR="00C9767D">
        <w:t xml:space="preserve">und Klienten </w:t>
      </w:r>
      <w:r w:rsidR="00834E8F" w:rsidRPr="0018697B">
        <w:t>sichert</w:t>
      </w:r>
      <w:r w:rsidR="00DF04C4" w:rsidRPr="0018697B">
        <w:t xml:space="preserve">. </w:t>
      </w:r>
      <w:r w:rsidR="004827A6" w:rsidRPr="0018697B">
        <w:t xml:space="preserve">Für Wohnformen, die nicht </w:t>
      </w:r>
      <w:r w:rsidRPr="0018697B">
        <w:t>unter diese HAW</w:t>
      </w:r>
      <w:r w:rsidR="00B57311" w:rsidRPr="0018697B">
        <w:t xml:space="preserve"> </w:t>
      </w:r>
      <w:r w:rsidR="004827A6" w:rsidRPr="0018697B">
        <w:t xml:space="preserve">fallen, </w:t>
      </w:r>
      <w:r w:rsidR="00880928" w:rsidRPr="0018697B">
        <w:t xml:space="preserve">gilt die </w:t>
      </w:r>
      <w:hyperlink r:id="rId12" w:history="1">
        <w:r w:rsidR="00880928" w:rsidRPr="009B216B">
          <w:rPr>
            <w:rStyle w:val="Hyperlink"/>
            <w:szCs w:val="22"/>
          </w:rPr>
          <w:t>HAW</w:t>
        </w:r>
        <w:r w:rsidR="009B216B" w:rsidRPr="009B216B">
          <w:rPr>
            <w:rStyle w:val="Hyperlink"/>
            <w:szCs w:val="22"/>
          </w:rPr>
          <w:t xml:space="preserve"> Wohnkosten: Vorgaben der Sozialbehörde zum regulären Mietzins und Kompetenzen</w:t>
        </w:r>
      </w:hyperlink>
      <w:r w:rsidR="00880928" w:rsidRPr="0018697B">
        <w:rPr>
          <w:szCs w:val="22"/>
        </w:rPr>
        <w:t xml:space="preserve">. </w:t>
      </w:r>
    </w:p>
    <w:p w14:paraId="3095FC25" w14:textId="77777777" w:rsidR="00F570C8" w:rsidRDefault="00F570C8" w:rsidP="004827A6">
      <w:pPr>
        <w:spacing w:after="120"/>
        <w:rPr>
          <w:szCs w:val="22"/>
        </w:rPr>
      </w:pPr>
      <w:r w:rsidRPr="0018697B">
        <w:lastRenderedPageBreak/>
        <w:t>Ebenfalls nicht in den Geltungsbereich dieser HAW fallen Angebote in</w:t>
      </w:r>
      <w:r w:rsidRPr="0018697B">
        <w:rPr>
          <w:b/>
        </w:rPr>
        <w:t xml:space="preserve"> Privatwohnungen</w:t>
      </w:r>
      <w:r w:rsidRPr="0018697B">
        <w:t xml:space="preserve">, wie z.B. </w:t>
      </w:r>
      <w:proofErr w:type="spellStart"/>
      <w:r w:rsidRPr="0018697B">
        <w:t>Airbnb</w:t>
      </w:r>
      <w:proofErr w:type="spellEnd"/>
      <w:r w:rsidRPr="0018697B">
        <w:t xml:space="preserve"> oder B&amp;B. Sie sind als Unterbringungsform grundsätzlich zu vermeiden oder mittels Untermietvertrag in ein reguläres Mietverhältnis umzuwandeln.</w:t>
      </w:r>
    </w:p>
    <w:p w14:paraId="3095FC26" w14:textId="77777777" w:rsidR="004827A6" w:rsidRPr="0018697B" w:rsidRDefault="004827A6" w:rsidP="004827A6">
      <w:pPr>
        <w:pStyle w:val="berschrift1"/>
      </w:pPr>
      <w:bookmarkStart w:id="2" w:name="_Toc39831344"/>
      <w:r w:rsidRPr="0018697B">
        <w:t>Rahmenverträge</w:t>
      </w:r>
      <w:bookmarkEnd w:id="2"/>
      <w:r w:rsidRPr="0018697B">
        <w:t xml:space="preserve"> </w:t>
      </w:r>
    </w:p>
    <w:p w14:paraId="3095FC27" w14:textId="77777777" w:rsidR="00D56376" w:rsidRPr="0018697B" w:rsidRDefault="00011DFD" w:rsidP="00011DFD">
      <w:pPr>
        <w:pStyle w:val="berschrift"/>
        <w:spacing w:before="80" w:after="80"/>
        <w:rPr>
          <w:b w:val="0"/>
        </w:rPr>
      </w:pPr>
      <w:r w:rsidRPr="00D06AF4">
        <w:rPr>
          <w:b w:val="0"/>
        </w:rPr>
        <w:t>Hotel</w:t>
      </w:r>
      <w:r w:rsidR="005E6639">
        <w:rPr>
          <w:b w:val="0"/>
        </w:rPr>
        <w:t>s</w:t>
      </w:r>
      <w:r w:rsidRPr="00D06AF4">
        <w:rPr>
          <w:b w:val="0"/>
        </w:rPr>
        <w:t xml:space="preserve"> </w:t>
      </w:r>
      <w:r w:rsidR="005E6639" w:rsidRPr="0018697B">
        <w:rPr>
          <w:b w:val="0"/>
        </w:rPr>
        <w:t xml:space="preserve">und hotelähnliche Angebote </w:t>
      </w:r>
      <w:r w:rsidRPr="0018697B">
        <w:t>mit Rahmenvertrag</w:t>
      </w:r>
      <w:r w:rsidRPr="0018697B">
        <w:rPr>
          <w:b w:val="0"/>
        </w:rPr>
        <w:t xml:space="preserve">: </w:t>
      </w:r>
      <w:r w:rsidR="00672040" w:rsidRPr="0018697B">
        <w:rPr>
          <w:b w:val="0"/>
        </w:rPr>
        <w:t xml:space="preserve">Ist eine </w:t>
      </w:r>
      <w:r w:rsidR="00F570C8" w:rsidRPr="0018697B">
        <w:rPr>
          <w:b w:val="0"/>
        </w:rPr>
        <w:t xml:space="preserve">befristete </w:t>
      </w:r>
      <w:r w:rsidR="00672040" w:rsidRPr="0018697B">
        <w:rPr>
          <w:b w:val="0"/>
        </w:rPr>
        <w:t>Hotelunterbringung indiziert, so ist vorzugsweise in einem Hotel unter</w:t>
      </w:r>
      <w:r w:rsidR="00780559" w:rsidRPr="0018697B">
        <w:rPr>
          <w:b w:val="0"/>
        </w:rPr>
        <w:t>zu</w:t>
      </w:r>
      <w:r w:rsidR="00672040" w:rsidRPr="0018697B">
        <w:rPr>
          <w:b w:val="0"/>
        </w:rPr>
        <w:t>bringen, mit welchem die SOD einen Rahmen</w:t>
      </w:r>
      <w:r w:rsidR="0062784A" w:rsidRPr="0018697B">
        <w:rPr>
          <w:b w:val="0"/>
        </w:rPr>
        <w:t>vertrag abgeschlossen haben</w:t>
      </w:r>
      <w:r w:rsidR="00AA59F0" w:rsidRPr="0018697B">
        <w:rPr>
          <w:b w:val="0"/>
        </w:rPr>
        <w:t>. Die vereinbarten Konditionen sind im Vertrags</w:t>
      </w:r>
      <w:r w:rsidR="009313A1" w:rsidRPr="0018697B">
        <w:rPr>
          <w:b w:val="0"/>
        </w:rPr>
        <w:t>-</w:t>
      </w:r>
      <w:r w:rsidR="00AA59F0" w:rsidRPr="0018697B">
        <w:rPr>
          <w:b w:val="0"/>
        </w:rPr>
        <w:t>center Externe Leistungen publiziert.</w:t>
      </w:r>
    </w:p>
    <w:p w14:paraId="3095FC28" w14:textId="77777777" w:rsidR="00195E90" w:rsidRPr="0018697B" w:rsidRDefault="00011DFD" w:rsidP="00011DFD">
      <w:pPr>
        <w:pStyle w:val="berschrift"/>
        <w:spacing w:before="80" w:after="80"/>
        <w:rPr>
          <w:b w:val="0"/>
        </w:rPr>
      </w:pPr>
      <w:r w:rsidRPr="0018697B">
        <w:rPr>
          <w:b w:val="0"/>
        </w:rPr>
        <w:t>Hotel</w:t>
      </w:r>
      <w:r w:rsidR="00D56376" w:rsidRPr="0018697B">
        <w:rPr>
          <w:b w:val="0"/>
        </w:rPr>
        <w:t xml:space="preserve"> </w:t>
      </w:r>
      <w:r w:rsidR="005E6639" w:rsidRPr="0018697B">
        <w:rPr>
          <w:b w:val="0"/>
        </w:rPr>
        <w:t xml:space="preserve">und hotelähnliche Angebote </w:t>
      </w:r>
      <w:r w:rsidR="00D56376" w:rsidRPr="0018697B">
        <w:t>ohne Rahmenvertrag</w:t>
      </w:r>
      <w:r w:rsidR="00D56376" w:rsidRPr="0018697B">
        <w:rPr>
          <w:b w:val="0"/>
        </w:rPr>
        <w:t xml:space="preserve">: </w:t>
      </w:r>
      <w:r w:rsidR="00025DBD" w:rsidRPr="0018697B">
        <w:rPr>
          <w:b w:val="0"/>
        </w:rPr>
        <w:t>Können die</w:t>
      </w:r>
      <w:r w:rsidR="0062784A" w:rsidRPr="0018697B">
        <w:rPr>
          <w:b w:val="0"/>
        </w:rPr>
        <w:t xml:space="preserve"> Hotel</w:t>
      </w:r>
      <w:r w:rsidR="00025DBD" w:rsidRPr="0018697B">
        <w:rPr>
          <w:b w:val="0"/>
        </w:rPr>
        <w:t>s</w:t>
      </w:r>
      <w:r w:rsidR="005E6639" w:rsidRPr="0018697B">
        <w:rPr>
          <w:b w:val="0"/>
        </w:rPr>
        <w:t xml:space="preserve"> oder hotelähnlichen Angebote</w:t>
      </w:r>
      <w:r w:rsidR="0062784A" w:rsidRPr="0018697B">
        <w:rPr>
          <w:b w:val="0"/>
        </w:rPr>
        <w:t xml:space="preserve"> mit Rahmenvertrag </w:t>
      </w:r>
      <w:r w:rsidR="00025DBD" w:rsidRPr="0018697B">
        <w:rPr>
          <w:b w:val="0"/>
        </w:rPr>
        <w:t>k</w:t>
      </w:r>
      <w:r w:rsidR="0062784A" w:rsidRPr="0018697B">
        <w:rPr>
          <w:b w:val="0"/>
        </w:rPr>
        <w:t xml:space="preserve">ein adäquates Angebot unterbreiten, </w:t>
      </w:r>
      <w:r w:rsidR="00780559" w:rsidRPr="0018697B">
        <w:rPr>
          <w:b w:val="0"/>
        </w:rPr>
        <w:t>kann</w:t>
      </w:r>
      <w:r w:rsidR="005E6639" w:rsidRPr="0018697B">
        <w:rPr>
          <w:b w:val="0"/>
        </w:rPr>
        <w:t xml:space="preserve"> </w:t>
      </w:r>
      <w:r w:rsidR="003028A1" w:rsidRPr="0018697B">
        <w:rPr>
          <w:b w:val="0"/>
        </w:rPr>
        <w:t xml:space="preserve">auf </w:t>
      </w:r>
      <w:r w:rsidR="005E6639" w:rsidRPr="0018697B">
        <w:rPr>
          <w:b w:val="0"/>
        </w:rPr>
        <w:t xml:space="preserve">solche </w:t>
      </w:r>
      <w:r w:rsidR="0062784A" w:rsidRPr="0018697B">
        <w:rPr>
          <w:b w:val="0"/>
        </w:rPr>
        <w:t>ohne Rahmenver</w:t>
      </w:r>
      <w:r w:rsidR="00F0149F" w:rsidRPr="0018697B">
        <w:rPr>
          <w:b w:val="0"/>
        </w:rPr>
        <w:t xml:space="preserve">trag </w:t>
      </w:r>
      <w:r w:rsidR="00780559" w:rsidRPr="0018697B">
        <w:rPr>
          <w:b w:val="0"/>
        </w:rPr>
        <w:t>ausgewichen</w:t>
      </w:r>
      <w:r w:rsidR="0062784A" w:rsidRPr="0018697B">
        <w:rPr>
          <w:b w:val="0"/>
        </w:rPr>
        <w:t xml:space="preserve"> werden. Dabei </w:t>
      </w:r>
      <w:r w:rsidRPr="0018697B">
        <w:rPr>
          <w:b w:val="0"/>
        </w:rPr>
        <w:t>gelten folgende Bedingungen</w:t>
      </w:r>
      <w:r w:rsidR="0062784A" w:rsidRPr="0018697B">
        <w:rPr>
          <w:b w:val="0"/>
        </w:rPr>
        <w:t>:</w:t>
      </w:r>
    </w:p>
    <w:p w14:paraId="3095FC29" w14:textId="77777777" w:rsidR="00FB47B5" w:rsidRPr="0018697B" w:rsidRDefault="005E6639" w:rsidP="00EA7738">
      <w:pPr>
        <w:pStyle w:val="TabelleAufzhlung"/>
        <w:numPr>
          <w:ilvl w:val="0"/>
          <w:numId w:val="14"/>
        </w:numPr>
        <w:spacing w:after="0"/>
      </w:pPr>
      <w:r w:rsidRPr="0018697B">
        <w:t xml:space="preserve">Der Standort </w:t>
      </w:r>
      <w:r w:rsidR="00FB47B5" w:rsidRPr="0018697B">
        <w:t>befindet sich in der Stadt Zürich.</w:t>
      </w:r>
    </w:p>
    <w:p w14:paraId="3095FC2A" w14:textId="77777777" w:rsidR="00EA7738" w:rsidRPr="0018697B" w:rsidRDefault="0062784A" w:rsidP="00EA7738">
      <w:pPr>
        <w:pStyle w:val="TabelleAufzhlung"/>
        <w:numPr>
          <w:ilvl w:val="0"/>
          <w:numId w:val="14"/>
        </w:numPr>
        <w:spacing w:after="0"/>
      </w:pPr>
      <w:r w:rsidRPr="0018697B">
        <w:t xml:space="preserve">Die Unterbringung </w:t>
      </w:r>
      <w:r w:rsidR="00FB47B5" w:rsidRPr="0018697B">
        <w:t>ist</w:t>
      </w:r>
      <w:r w:rsidRPr="0018697B">
        <w:t xml:space="preserve"> </w:t>
      </w:r>
      <w:r w:rsidR="00C251DC" w:rsidRPr="0018697B">
        <w:t>kostengünstig</w:t>
      </w:r>
      <w:r w:rsidRPr="0018697B">
        <w:t>.</w:t>
      </w:r>
    </w:p>
    <w:p w14:paraId="3095FC2B" w14:textId="77777777" w:rsidR="00EA7738" w:rsidRPr="0018697B" w:rsidRDefault="00AA59F0" w:rsidP="00EA7738">
      <w:pPr>
        <w:pStyle w:val="TabelleAufzhlung"/>
        <w:numPr>
          <w:ilvl w:val="0"/>
          <w:numId w:val="14"/>
        </w:numPr>
        <w:spacing w:after="0"/>
      </w:pPr>
      <w:r w:rsidRPr="0018697B">
        <w:t>Die Kostengutsprach</w:t>
      </w:r>
      <w:r w:rsidR="00FB47B5" w:rsidRPr="0018697B">
        <w:t>e der Soziale</w:t>
      </w:r>
      <w:r w:rsidR="003F053B" w:rsidRPr="0018697B">
        <w:t>n</w:t>
      </w:r>
      <w:r w:rsidR="00FB47B5" w:rsidRPr="0018697B">
        <w:t xml:space="preserve"> Dienste wird als Zahlungsgarantie akzeptiert</w:t>
      </w:r>
      <w:r w:rsidR="00EA7738" w:rsidRPr="0018697B">
        <w:t>; die Rechnungsstellung erfolgt an die SOD.</w:t>
      </w:r>
    </w:p>
    <w:p w14:paraId="3095FC2C" w14:textId="0614D59C" w:rsidR="00FB47B5" w:rsidRPr="0018697B" w:rsidRDefault="00C50457" w:rsidP="00EA7738">
      <w:pPr>
        <w:pStyle w:val="TabelleAufzhlung"/>
        <w:numPr>
          <w:ilvl w:val="0"/>
          <w:numId w:val="14"/>
        </w:numPr>
        <w:spacing w:after="0"/>
      </w:pPr>
      <w:r w:rsidRPr="0018697B">
        <w:t>Leistungen, die über die Unterbringung hinausgehen,</w:t>
      </w:r>
      <w:r w:rsidR="003028A1" w:rsidRPr="0018697B">
        <w:t xml:space="preserve"> werden den </w:t>
      </w:r>
      <w:r w:rsidR="009313A1" w:rsidRPr="0018697B">
        <w:t>Klient</w:t>
      </w:r>
      <w:r w:rsidR="00875EAF">
        <w:t>innen und Klienten</w:t>
      </w:r>
      <w:r w:rsidR="009313A1" w:rsidRPr="0018697B">
        <w:t xml:space="preserve"> </w:t>
      </w:r>
      <w:r w:rsidR="006C269F" w:rsidRPr="0018697B">
        <w:t>separat in Rechnung gestellt</w:t>
      </w:r>
      <w:r w:rsidR="00644D02" w:rsidRPr="0018697B">
        <w:t xml:space="preserve"> (vgl. Punkt 5</w:t>
      </w:r>
      <w:r w:rsidR="00C251DC" w:rsidRPr="0018697B">
        <w:t>)</w:t>
      </w:r>
      <w:r w:rsidR="006C269F" w:rsidRPr="0018697B">
        <w:t>.</w:t>
      </w:r>
    </w:p>
    <w:p w14:paraId="3095FC2D" w14:textId="77777777" w:rsidR="006C269F" w:rsidRDefault="006C269F" w:rsidP="006C269F">
      <w:pPr>
        <w:pStyle w:val="TabelleAufzhlung"/>
        <w:numPr>
          <w:ilvl w:val="0"/>
          <w:numId w:val="0"/>
        </w:numPr>
        <w:spacing w:after="0"/>
        <w:ind w:left="170" w:hanging="170"/>
      </w:pPr>
    </w:p>
    <w:p w14:paraId="3095FC2E" w14:textId="77777777" w:rsidR="00E36715" w:rsidRPr="0018697B" w:rsidRDefault="000064B9" w:rsidP="00E36715">
      <w:pPr>
        <w:pStyle w:val="berschrift1"/>
        <w:ind w:left="431" w:hanging="431"/>
      </w:pPr>
      <w:bookmarkStart w:id="3" w:name="_Toc39831345"/>
      <w:r w:rsidRPr="0018697B">
        <w:t>Unterbringungskosten</w:t>
      </w:r>
      <w:bookmarkEnd w:id="3"/>
      <w:r w:rsidR="0041369F" w:rsidRPr="0018697B">
        <w:t xml:space="preserve"> </w:t>
      </w:r>
    </w:p>
    <w:p w14:paraId="3095FC2F" w14:textId="68912E32" w:rsidR="00972D85" w:rsidRPr="0018697B" w:rsidRDefault="005E6639" w:rsidP="005E6639">
      <w:pPr>
        <w:spacing w:after="120"/>
      </w:pPr>
      <w:r w:rsidRPr="0018697B">
        <w:t xml:space="preserve">Unterbringungskosten für Hotels und hotelähnliche Angebote </w:t>
      </w:r>
      <w:r w:rsidR="00F96533" w:rsidRPr="0018697B">
        <w:t>im Geltungsbereich dieser HAW (</w:t>
      </w:r>
      <w:r w:rsidR="00F570C8" w:rsidRPr="0018697B">
        <w:t>bei befristeten Aufenthalten</w:t>
      </w:r>
      <w:r w:rsidR="00F96533" w:rsidRPr="0018697B">
        <w:t>)</w:t>
      </w:r>
      <w:r w:rsidR="00F570C8" w:rsidRPr="0018697B">
        <w:t xml:space="preserve"> </w:t>
      </w:r>
      <w:r w:rsidRPr="0018697B">
        <w:t xml:space="preserve">sind auf der </w:t>
      </w:r>
      <w:r w:rsidR="003D66A6" w:rsidRPr="0018697B">
        <w:t xml:space="preserve">LA 135 „Notunterbringung in Hotels“ </w:t>
      </w:r>
      <w:r w:rsidRPr="0018697B">
        <w:t xml:space="preserve">zu </w:t>
      </w:r>
      <w:r w:rsidR="003028A1" w:rsidRPr="0018697B">
        <w:t>ver</w:t>
      </w:r>
      <w:r w:rsidRPr="0018697B">
        <w:t>bu</w:t>
      </w:r>
      <w:r w:rsidR="00BD1A7A" w:rsidRPr="0018697B">
        <w:t>chen</w:t>
      </w:r>
      <w:r w:rsidR="00F96533" w:rsidRPr="0018697B">
        <w:t>. B</w:t>
      </w:r>
      <w:r w:rsidR="003A1CF0" w:rsidRPr="0018697B">
        <w:t>ei regulären unbefristeten Mietverhältnissen</w:t>
      </w:r>
      <w:r w:rsidR="00F570C8" w:rsidRPr="0018697B">
        <w:t xml:space="preserve"> gilt die </w:t>
      </w:r>
      <w:hyperlink r:id="rId13" w:history="1">
        <w:r w:rsidR="009B216B" w:rsidRPr="009B216B">
          <w:rPr>
            <w:rStyle w:val="Hyperlink"/>
            <w:szCs w:val="22"/>
          </w:rPr>
          <w:t>HAW Wohnkosten: Vorgaben der Sozialbehörde zum regulären Mietzins und Kompetenzen</w:t>
        </w:r>
      </w:hyperlink>
      <w:r w:rsidR="00F570C8" w:rsidRPr="0018697B">
        <w:rPr>
          <w:rStyle w:val="Hyperlink"/>
          <w:szCs w:val="22"/>
        </w:rPr>
        <w:t xml:space="preserve"> </w:t>
      </w:r>
      <w:r w:rsidR="00F570C8" w:rsidRPr="0018697B">
        <w:t xml:space="preserve">und die Kosten werden unter der LA </w:t>
      </w:r>
      <w:r w:rsidR="000905A9" w:rsidRPr="0018697B">
        <w:t>130</w:t>
      </w:r>
      <w:r w:rsidR="00F570C8" w:rsidRPr="0018697B">
        <w:t xml:space="preserve"> </w:t>
      </w:r>
      <w:r w:rsidR="00F96533" w:rsidRPr="0018697B">
        <w:t>"</w:t>
      </w:r>
      <w:r w:rsidR="00B1736E" w:rsidRPr="0018697B">
        <w:t>Miete inkl. Nebenkosten</w:t>
      </w:r>
      <w:r w:rsidR="00F96533" w:rsidRPr="0018697B">
        <w:t xml:space="preserve">" </w:t>
      </w:r>
      <w:r w:rsidR="00F570C8" w:rsidRPr="0018697B">
        <w:t xml:space="preserve">verbucht. </w:t>
      </w:r>
    </w:p>
    <w:p w14:paraId="3095FC30" w14:textId="77777777" w:rsidR="000A519B" w:rsidRPr="000A519B" w:rsidRDefault="000A519B" w:rsidP="000A519B"/>
    <w:p w14:paraId="3095FC31" w14:textId="77777777" w:rsidR="00350714" w:rsidRPr="003028A1" w:rsidRDefault="00350714" w:rsidP="00350714">
      <w:pPr>
        <w:rPr>
          <w:i/>
        </w:rPr>
      </w:pPr>
      <w:r w:rsidRPr="003028A1">
        <w:rPr>
          <w:i/>
        </w:rPr>
        <w:t>Abgestufte Kompetenz</w:t>
      </w:r>
    </w:p>
    <w:tbl>
      <w:tblPr>
        <w:tblW w:w="0" w:type="auto"/>
        <w:tblInd w:w="108" w:type="dxa"/>
        <w:tblBorders>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9"/>
        <w:gridCol w:w="1023"/>
        <w:gridCol w:w="1023"/>
        <w:gridCol w:w="4813"/>
      </w:tblGrid>
      <w:tr w:rsidR="00F25CE6" w:rsidRPr="003028A1" w14:paraId="3095FC34" w14:textId="77777777" w:rsidTr="00F25CE6">
        <w:tc>
          <w:tcPr>
            <w:tcW w:w="2099" w:type="dxa"/>
            <w:tcBorders>
              <w:top w:val="nil"/>
              <w:left w:val="nil"/>
            </w:tcBorders>
          </w:tcPr>
          <w:p w14:paraId="3095FC32" w14:textId="77777777" w:rsidR="00F25CE6" w:rsidRPr="003028A1" w:rsidRDefault="00F25CE6" w:rsidP="00404B1C">
            <w:pPr>
              <w:pStyle w:val="Absatz0"/>
              <w:rPr>
                <w:i/>
                <w:sz w:val="21"/>
                <w:szCs w:val="21"/>
              </w:rPr>
            </w:pPr>
          </w:p>
        </w:tc>
        <w:tc>
          <w:tcPr>
            <w:tcW w:w="6859" w:type="dxa"/>
            <w:gridSpan w:val="3"/>
            <w:tcBorders>
              <w:top w:val="single" w:sz="4" w:space="0" w:color="auto"/>
            </w:tcBorders>
          </w:tcPr>
          <w:p w14:paraId="3095FC33" w14:textId="77777777" w:rsidR="00F25CE6" w:rsidRPr="003028A1" w:rsidRDefault="00F25CE6" w:rsidP="00404B1C">
            <w:pPr>
              <w:pStyle w:val="Absatz0"/>
              <w:rPr>
                <w:i/>
                <w:sz w:val="21"/>
                <w:szCs w:val="21"/>
              </w:rPr>
            </w:pPr>
            <w:r w:rsidRPr="003028A1">
              <w:rPr>
                <w:i/>
                <w:sz w:val="21"/>
                <w:szCs w:val="21"/>
              </w:rPr>
              <w:t xml:space="preserve">Ausgabenkompetenz (nicht </w:t>
            </w:r>
            <w:proofErr w:type="spellStart"/>
            <w:r w:rsidRPr="003028A1">
              <w:rPr>
                <w:i/>
                <w:sz w:val="21"/>
                <w:szCs w:val="21"/>
              </w:rPr>
              <w:t>kumulierbar</w:t>
            </w:r>
            <w:proofErr w:type="spellEnd"/>
            <w:r w:rsidRPr="003028A1">
              <w:rPr>
                <w:i/>
                <w:sz w:val="21"/>
                <w:szCs w:val="21"/>
              </w:rPr>
              <w:t>)</w:t>
            </w:r>
          </w:p>
        </w:tc>
      </w:tr>
      <w:tr w:rsidR="00E459CE" w:rsidRPr="003028A1" w14:paraId="3095FC39" w14:textId="77777777" w:rsidTr="00E459CE">
        <w:trPr>
          <w:trHeight w:val="335"/>
        </w:trPr>
        <w:tc>
          <w:tcPr>
            <w:tcW w:w="2099" w:type="dxa"/>
            <w:tcBorders>
              <w:top w:val="single" w:sz="4" w:space="0" w:color="auto"/>
              <w:left w:val="single" w:sz="4" w:space="0" w:color="auto"/>
            </w:tcBorders>
          </w:tcPr>
          <w:p w14:paraId="3095FC35" w14:textId="77777777" w:rsidR="00E459CE" w:rsidRPr="003028A1" w:rsidRDefault="00E459CE" w:rsidP="00404B1C">
            <w:pPr>
              <w:pStyle w:val="Absatz0"/>
              <w:rPr>
                <w:i/>
                <w:sz w:val="21"/>
                <w:szCs w:val="21"/>
              </w:rPr>
            </w:pPr>
            <w:r w:rsidRPr="003028A1">
              <w:rPr>
                <w:i/>
                <w:sz w:val="21"/>
                <w:szCs w:val="21"/>
              </w:rPr>
              <w:t>Thema</w:t>
            </w:r>
          </w:p>
        </w:tc>
        <w:tc>
          <w:tcPr>
            <w:tcW w:w="1023" w:type="dxa"/>
          </w:tcPr>
          <w:p w14:paraId="3095FC36" w14:textId="11C37701" w:rsidR="00E459CE" w:rsidRPr="003028A1" w:rsidRDefault="00E459CE" w:rsidP="00404B1C">
            <w:pPr>
              <w:pStyle w:val="Absatz0"/>
              <w:rPr>
                <w:i/>
                <w:sz w:val="21"/>
                <w:szCs w:val="21"/>
              </w:rPr>
            </w:pPr>
            <w:r w:rsidRPr="003028A1">
              <w:rPr>
                <w:i/>
                <w:sz w:val="21"/>
                <w:szCs w:val="21"/>
              </w:rPr>
              <w:t>SA</w:t>
            </w:r>
          </w:p>
        </w:tc>
        <w:tc>
          <w:tcPr>
            <w:tcW w:w="1023" w:type="dxa"/>
          </w:tcPr>
          <w:p w14:paraId="3095FC37" w14:textId="7E2D71CE" w:rsidR="00E459CE" w:rsidRPr="003028A1" w:rsidRDefault="00E459CE" w:rsidP="00404B1C">
            <w:pPr>
              <w:pStyle w:val="Absatz0"/>
              <w:rPr>
                <w:i/>
                <w:sz w:val="21"/>
                <w:szCs w:val="21"/>
              </w:rPr>
            </w:pPr>
          </w:p>
        </w:tc>
        <w:tc>
          <w:tcPr>
            <w:tcW w:w="4813" w:type="dxa"/>
          </w:tcPr>
          <w:p w14:paraId="3095FC38" w14:textId="77777777" w:rsidR="00E459CE" w:rsidRPr="003028A1" w:rsidRDefault="00E459CE" w:rsidP="00404B1C">
            <w:pPr>
              <w:pStyle w:val="Absatz0"/>
              <w:rPr>
                <w:i/>
                <w:sz w:val="21"/>
                <w:szCs w:val="21"/>
              </w:rPr>
            </w:pPr>
            <w:r w:rsidRPr="003028A1">
              <w:rPr>
                <w:i/>
                <w:sz w:val="21"/>
                <w:szCs w:val="21"/>
              </w:rPr>
              <w:t>ZL</w:t>
            </w:r>
          </w:p>
        </w:tc>
      </w:tr>
      <w:tr w:rsidR="00E459CE" w:rsidRPr="003028A1" w14:paraId="3095FC3E" w14:textId="77777777" w:rsidTr="00E459CE">
        <w:tc>
          <w:tcPr>
            <w:tcW w:w="2099" w:type="dxa"/>
            <w:tcBorders>
              <w:top w:val="single" w:sz="4" w:space="0" w:color="auto"/>
              <w:left w:val="single" w:sz="4" w:space="0" w:color="auto"/>
            </w:tcBorders>
            <w:shd w:val="clear" w:color="auto" w:fill="auto"/>
          </w:tcPr>
          <w:p w14:paraId="3095FC3A" w14:textId="77777777" w:rsidR="00E459CE" w:rsidRPr="003028A1" w:rsidRDefault="00E459CE" w:rsidP="00404B1C">
            <w:pPr>
              <w:pStyle w:val="Absatz0"/>
              <w:rPr>
                <w:sz w:val="21"/>
                <w:szCs w:val="21"/>
              </w:rPr>
            </w:pPr>
            <w:r w:rsidRPr="003028A1">
              <w:rPr>
                <w:sz w:val="21"/>
                <w:szCs w:val="21"/>
              </w:rPr>
              <w:t>Notunterbringung von erwachsenen Einzelpersonen</w:t>
            </w:r>
          </w:p>
        </w:tc>
        <w:tc>
          <w:tcPr>
            <w:tcW w:w="2046" w:type="dxa"/>
            <w:gridSpan w:val="2"/>
            <w:shd w:val="clear" w:color="auto" w:fill="auto"/>
          </w:tcPr>
          <w:p w14:paraId="3095FC3B" w14:textId="77777777" w:rsidR="00E459CE" w:rsidRPr="003028A1" w:rsidRDefault="00E459CE" w:rsidP="00404B1C">
            <w:pPr>
              <w:pStyle w:val="Absatz0"/>
              <w:rPr>
                <w:sz w:val="21"/>
                <w:szCs w:val="21"/>
              </w:rPr>
            </w:pPr>
            <w:r w:rsidRPr="003028A1">
              <w:rPr>
                <w:sz w:val="21"/>
                <w:szCs w:val="21"/>
              </w:rPr>
              <w:t>bis max. CHF 100.00 pro Nacht und für die Dauer von max. vier Wochen</w:t>
            </w:r>
          </w:p>
        </w:tc>
        <w:tc>
          <w:tcPr>
            <w:tcW w:w="4813" w:type="dxa"/>
            <w:shd w:val="clear" w:color="auto" w:fill="auto"/>
          </w:tcPr>
          <w:p w14:paraId="3095FC3C" w14:textId="77777777" w:rsidR="00E459CE" w:rsidRPr="003028A1" w:rsidRDefault="00E459CE" w:rsidP="00404B1C">
            <w:pPr>
              <w:pStyle w:val="Absatz0"/>
              <w:rPr>
                <w:sz w:val="21"/>
                <w:szCs w:val="21"/>
              </w:rPr>
            </w:pPr>
            <w:r w:rsidRPr="003028A1">
              <w:rPr>
                <w:sz w:val="21"/>
                <w:szCs w:val="21"/>
              </w:rPr>
              <w:t xml:space="preserve">über CHF 100.00 pro Nacht (unabhängig der Aufenthaltsdauer) oder </w:t>
            </w:r>
          </w:p>
          <w:p w14:paraId="3095FC3D" w14:textId="77777777" w:rsidR="00E459CE" w:rsidRPr="003028A1" w:rsidRDefault="00E459CE" w:rsidP="00404B1C">
            <w:pPr>
              <w:pStyle w:val="Absatz0"/>
              <w:rPr>
                <w:sz w:val="21"/>
                <w:szCs w:val="21"/>
              </w:rPr>
            </w:pPr>
            <w:r w:rsidRPr="003028A1">
              <w:rPr>
                <w:sz w:val="21"/>
                <w:szCs w:val="21"/>
              </w:rPr>
              <w:t>bei einer Aufenthaltsdauer von mehr als vier Wochen (unabhängig des Zimmerpreises)</w:t>
            </w:r>
          </w:p>
        </w:tc>
      </w:tr>
      <w:tr w:rsidR="00E459CE" w:rsidRPr="003028A1" w14:paraId="3095FC43" w14:textId="77777777" w:rsidTr="00E459CE">
        <w:tc>
          <w:tcPr>
            <w:tcW w:w="2099" w:type="dxa"/>
            <w:tcBorders>
              <w:top w:val="single" w:sz="4" w:space="0" w:color="auto"/>
              <w:left w:val="single" w:sz="4" w:space="0" w:color="auto"/>
            </w:tcBorders>
            <w:shd w:val="clear" w:color="auto" w:fill="auto"/>
          </w:tcPr>
          <w:p w14:paraId="3095FC3F" w14:textId="77777777" w:rsidR="00E459CE" w:rsidRPr="003028A1" w:rsidRDefault="00E459CE" w:rsidP="00404B1C">
            <w:pPr>
              <w:pStyle w:val="Absatz0"/>
              <w:rPr>
                <w:sz w:val="21"/>
                <w:szCs w:val="21"/>
              </w:rPr>
            </w:pPr>
            <w:r w:rsidRPr="003028A1">
              <w:rPr>
                <w:sz w:val="21"/>
                <w:szCs w:val="21"/>
              </w:rPr>
              <w:t>Notunterbringung von Paaren oder einem Elternteil mit Kind</w:t>
            </w:r>
          </w:p>
        </w:tc>
        <w:tc>
          <w:tcPr>
            <w:tcW w:w="2046" w:type="dxa"/>
            <w:gridSpan w:val="2"/>
            <w:shd w:val="clear" w:color="auto" w:fill="auto"/>
          </w:tcPr>
          <w:p w14:paraId="3095FC40" w14:textId="77777777" w:rsidR="00E459CE" w:rsidRPr="003028A1" w:rsidRDefault="00E459CE" w:rsidP="00404B1C">
            <w:pPr>
              <w:pStyle w:val="Absatz0"/>
              <w:rPr>
                <w:sz w:val="21"/>
                <w:szCs w:val="21"/>
              </w:rPr>
            </w:pPr>
            <w:r w:rsidRPr="003028A1">
              <w:rPr>
                <w:sz w:val="21"/>
                <w:szCs w:val="21"/>
              </w:rPr>
              <w:t>bis max. CHF 160.00 pro Nacht und für die Dauer von max. vier Wochen</w:t>
            </w:r>
          </w:p>
        </w:tc>
        <w:tc>
          <w:tcPr>
            <w:tcW w:w="4813" w:type="dxa"/>
            <w:shd w:val="clear" w:color="auto" w:fill="auto"/>
          </w:tcPr>
          <w:p w14:paraId="3095FC41" w14:textId="77777777" w:rsidR="00E459CE" w:rsidRPr="003028A1" w:rsidRDefault="00E459CE" w:rsidP="00404B1C">
            <w:pPr>
              <w:pStyle w:val="Absatz0"/>
              <w:rPr>
                <w:sz w:val="21"/>
                <w:szCs w:val="21"/>
              </w:rPr>
            </w:pPr>
            <w:r w:rsidRPr="003028A1">
              <w:rPr>
                <w:sz w:val="21"/>
                <w:szCs w:val="21"/>
              </w:rPr>
              <w:t xml:space="preserve">über CHF 160.00 pro Nacht (unabhängig der Aufenthaltsdauer) oder </w:t>
            </w:r>
          </w:p>
          <w:p w14:paraId="3095FC42" w14:textId="77777777" w:rsidR="00E459CE" w:rsidRPr="003028A1" w:rsidRDefault="00E459CE" w:rsidP="00404B1C">
            <w:pPr>
              <w:pStyle w:val="Absatz0"/>
              <w:rPr>
                <w:sz w:val="21"/>
                <w:szCs w:val="21"/>
              </w:rPr>
            </w:pPr>
            <w:r w:rsidRPr="003028A1">
              <w:rPr>
                <w:sz w:val="21"/>
                <w:szCs w:val="21"/>
              </w:rPr>
              <w:t>bei einer Aufenthaltsdauer von mehr als vier Wochen (unabhängig des Zimmerpreises)</w:t>
            </w:r>
          </w:p>
        </w:tc>
      </w:tr>
      <w:tr w:rsidR="00E459CE" w:rsidRPr="003028A1" w14:paraId="3095FC48" w14:textId="77777777" w:rsidTr="00E459CE">
        <w:tc>
          <w:tcPr>
            <w:tcW w:w="2099" w:type="dxa"/>
            <w:tcBorders>
              <w:top w:val="single" w:sz="4" w:space="0" w:color="auto"/>
              <w:left w:val="single" w:sz="4" w:space="0" w:color="auto"/>
            </w:tcBorders>
            <w:shd w:val="clear" w:color="auto" w:fill="auto"/>
          </w:tcPr>
          <w:p w14:paraId="3095FC44" w14:textId="77777777" w:rsidR="00E459CE" w:rsidRPr="003028A1" w:rsidRDefault="00E459CE" w:rsidP="00404B1C">
            <w:pPr>
              <w:pStyle w:val="Absatz0"/>
              <w:rPr>
                <w:sz w:val="21"/>
                <w:szCs w:val="21"/>
              </w:rPr>
            </w:pPr>
            <w:r w:rsidRPr="003028A1">
              <w:rPr>
                <w:sz w:val="21"/>
                <w:szCs w:val="21"/>
              </w:rPr>
              <w:t>Notunterbringung von einer Familie ab drei Personen</w:t>
            </w:r>
          </w:p>
        </w:tc>
        <w:tc>
          <w:tcPr>
            <w:tcW w:w="2046" w:type="dxa"/>
            <w:gridSpan w:val="2"/>
            <w:shd w:val="clear" w:color="auto" w:fill="auto"/>
          </w:tcPr>
          <w:p w14:paraId="3095FC45" w14:textId="77777777" w:rsidR="00E459CE" w:rsidRPr="003028A1" w:rsidRDefault="00E459CE" w:rsidP="00404B1C">
            <w:pPr>
              <w:pStyle w:val="Absatz0"/>
              <w:rPr>
                <w:sz w:val="21"/>
                <w:szCs w:val="21"/>
              </w:rPr>
            </w:pPr>
            <w:r w:rsidRPr="003028A1">
              <w:rPr>
                <w:sz w:val="21"/>
                <w:szCs w:val="21"/>
              </w:rPr>
              <w:t>bis max. CHF 200.00 pro Nacht und für die Dauer von max. vier Wochen</w:t>
            </w:r>
          </w:p>
        </w:tc>
        <w:tc>
          <w:tcPr>
            <w:tcW w:w="4813" w:type="dxa"/>
            <w:shd w:val="clear" w:color="auto" w:fill="auto"/>
          </w:tcPr>
          <w:p w14:paraId="3095FC46" w14:textId="77777777" w:rsidR="00E459CE" w:rsidRPr="003028A1" w:rsidRDefault="00E459CE" w:rsidP="00404B1C">
            <w:pPr>
              <w:pStyle w:val="Absatz0"/>
              <w:rPr>
                <w:sz w:val="21"/>
                <w:szCs w:val="21"/>
              </w:rPr>
            </w:pPr>
            <w:r w:rsidRPr="003028A1">
              <w:rPr>
                <w:sz w:val="21"/>
                <w:szCs w:val="21"/>
              </w:rPr>
              <w:t xml:space="preserve">über CHF 200.00 pro Nacht (unabhängig der Aufenthaltsdauer) oder </w:t>
            </w:r>
          </w:p>
          <w:p w14:paraId="3095FC47" w14:textId="77777777" w:rsidR="00E459CE" w:rsidRPr="003028A1" w:rsidRDefault="00E459CE" w:rsidP="00404B1C">
            <w:pPr>
              <w:pStyle w:val="Absatz0"/>
              <w:rPr>
                <w:sz w:val="21"/>
                <w:szCs w:val="21"/>
              </w:rPr>
            </w:pPr>
            <w:r w:rsidRPr="003028A1">
              <w:rPr>
                <w:sz w:val="21"/>
                <w:szCs w:val="21"/>
              </w:rPr>
              <w:t>bei einer Aufenthaltsdauer von mehr als vier Wochen (unabhängig des Zimmerpreises)</w:t>
            </w:r>
          </w:p>
        </w:tc>
      </w:tr>
      <w:tr w:rsidR="00E459CE" w:rsidRPr="00843F71" w14:paraId="3095FC4C" w14:textId="77777777" w:rsidTr="0018697B">
        <w:tc>
          <w:tcPr>
            <w:tcW w:w="2099" w:type="dxa"/>
            <w:tcBorders>
              <w:top w:val="single" w:sz="4" w:space="0" w:color="auto"/>
              <w:left w:val="single" w:sz="4" w:space="0" w:color="auto"/>
            </w:tcBorders>
            <w:shd w:val="clear" w:color="auto" w:fill="auto"/>
          </w:tcPr>
          <w:p w14:paraId="3095FC49" w14:textId="77777777" w:rsidR="00E459CE" w:rsidRPr="0018697B" w:rsidRDefault="00E459CE" w:rsidP="000B1661">
            <w:pPr>
              <w:pStyle w:val="Absatz0"/>
              <w:rPr>
                <w:sz w:val="21"/>
                <w:szCs w:val="21"/>
              </w:rPr>
            </w:pPr>
            <w:r w:rsidRPr="0018697B">
              <w:rPr>
                <w:sz w:val="21"/>
                <w:szCs w:val="21"/>
              </w:rPr>
              <w:t>Notunterbringung</w:t>
            </w:r>
            <w:r w:rsidR="004279CC" w:rsidRPr="0018697B">
              <w:rPr>
                <w:sz w:val="21"/>
                <w:szCs w:val="21"/>
              </w:rPr>
              <w:t xml:space="preserve"> von</w:t>
            </w:r>
            <w:r w:rsidRPr="0018697B">
              <w:rPr>
                <w:sz w:val="21"/>
                <w:szCs w:val="21"/>
              </w:rPr>
              <w:t xml:space="preserve"> </w:t>
            </w:r>
            <w:r w:rsidR="004279CC" w:rsidRPr="0018697B">
              <w:rPr>
                <w:sz w:val="21"/>
                <w:szCs w:val="21"/>
              </w:rPr>
              <w:t>unter 25-</w:t>
            </w:r>
            <w:r w:rsidR="000B1661" w:rsidRPr="0018697B">
              <w:rPr>
                <w:sz w:val="21"/>
                <w:szCs w:val="21"/>
              </w:rPr>
              <w:t>jährigen Einzelpersonen</w:t>
            </w:r>
          </w:p>
        </w:tc>
        <w:tc>
          <w:tcPr>
            <w:tcW w:w="2046" w:type="dxa"/>
            <w:gridSpan w:val="2"/>
            <w:shd w:val="clear" w:color="auto" w:fill="auto"/>
          </w:tcPr>
          <w:p w14:paraId="3095FC4A" w14:textId="77777777" w:rsidR="00E459CE" w:rsidRPr="004279CC" w:rsidRDefault="00E459CE" w:rsidP="00404B1C">
            <w:pPr>
              <w:pStyle w:val="Absatz0"/>
              <w:rPr>
                <w:sz w:val="21"/>
                <w:szCs w:val="21"/>
              </w:rPr>
            </w:pPr>
            <w:r w:rsidRPr="004279CC">
              <w:rPr>
                <w:sz w:val="21"/>
                <w:szCs w:val="21"/>
              </w:rPr>
              <w:t>CHF 0.00</w:t>
            </w:r>
          </w:p>
        </w:tc>
        <w:tc>
          <w:tcPr>
            <w:tcW w:w="4813" w:type="dxa"/>
            <w:shd w:val="clear" w:color="auto" w:fill="auto"/>
          </w:tcPr>
          <w:p w14:paraId="3095FC4B" w14:textId="77777777" w:rsidR="00E459CE" w:rsidRPr="004279CC" w:rsidRDefault="00E459CE" w:rsidP="00404B1C">
            <w:pPr>
              <w:pStyle w:val="Absatz0"/>
              <w:rPr>
                <w:sz w:val="21"/>
                <w:szCs w:val="21"/>
              </w:rPr>
            </w:pPr>
            <w:r w:rsidRPr="004279CC">
              <w:rPr>
                <w:sz w:val="21"/>
                <w:szCs w:val="21"/>
              </w:rPr>
              <w:t>ZL-Kompetenz, unabhängig der Aufenthaltsdauer und des Zimmerpreises</w:t>
            </w:r>
          </w:p>
        </w:tc>
      </w:tr>
    </w:tbl>
    <w:p w14:paraId="3095FC4D" w14:textId="77777777" w:rsidR="00350714" w:rsidRDefault="00350714" w:rsidP="00350714">
      <w:pPr>
        <w:tabs>
          <w:tab w:val="left" w:pos="4820"/>
        </w:tabs>
        <w:rPr>
          <w:bCs/>
          <w:sz w:val="12"/>
          <w:szCs w:val="12"/>
        </w:rPr>
      </w:pPr>
    </w:p>
    <w:p w14:paraId="3095FC4E" w14:textId="77777777" w:rsidR="003C0C86" w:rsidRDefault="003C0C86" w:rsidP="00350714">
      <w:pPr>
        <w:tabs>
          <w:tab w:val="left" w:pos="4820"/>
        </w:tabs>
        <w:rPr>
          <w:bCs/>
          <w:sz w:val="12"/>
          <w:szCs w:val="12"/>
        </w:rPr>
      </w:pPr>
    </w:p>
    <w:p w14:paraId="3095FC4F" w14:textId="77777777" w:rsidR="006C4A81" w:rsidRDefault="006C4A81" w:rsidP="00350714">
      <w:pPr>
        <w:tabs>
          <w:tab w:val="left" w:pos="4820"/>
        </w:tabs>
        <w:rPr>
          <w:bCs/>
          <w:sz w:val="12"/>
          <w:szCs w:val="12"/>
        </w:rPr>
      </w:pPr>
      <w:r>
        <w:rPr>
          <w:bCs/>
          <w:sz w:val="12"/>
          <w:szCs w:val="12"/>
        </w:rPr>
        <w:br w:type="page"/>
      </w:r>
    </w:p>
    <w:p w14:paraId="3095FC50" w14:textId="77777777" w:rsidR="007237C4" w:rsidRDefault="007237C4" w:rsidP="00350714">
      <w:pPr>
        <w:tabs>
          <w:tab w:val="left" w:pos="4820"/>
        </w:tabs>
        <w:rPr>
          <w:bCs/>
          <w:sz w:val="12"/>
          <w:szCs w:val="12"/>
        </w:rPr>
      </w:pPr>
    </w:p>
    <w:p w14:paraId="3095FC51" w14:textId="77777777" w:rsidR="00A936FD" w:rsidRPr="002E1347" w:rsidRDefault="0027532F" w:rsidP="00A936FD">
      <w:pPr>
        <w:pStyle w:val="berschrift1"/>
      </w:pPr>
      <w:bookmarkStart w:id="4" w:name="_Toc39831346"/>
      <w:r w:rsidRPr="0018697B">
        <w:t>Berücksichtigung im Grundbedarf für den Lebensunterhalt (GBL)</w:t>
      </w:r>
      <w:r>
        <w:t xml:space="preserve"> und  </w:t>
      </w:r>
      <w:r w:rsidR="00A936FD" w:rsidRPr="002E1347">
        <w:t>Zusatzkosten</w:t>
      </w:r>
      <w:bookmarkEnd w:id="4"/>
    </w:p>
    <w:p w14:paraId="3095FC52" w14:textId="24515BE8" w:rsidR="0027532F" w:rsidRPr="0018697B" w:rsidRDefault="0027532F" w:rsidP="0027532F">
      <w:pPr>
        <w:spacing w:after="120"/>
        <w:rPr>
          <w:szCs w:val="22"/>
        </w:rPr>
      </w:pPr>
      <w:r w:rsidRPr="0018697B">
        <w:t xml:space="preserve">Bei der </w:t>
      </w:r>
      <w:r w:rsidRPr="0018697B">
        <w:rPr>
          <w:b/>
        </w:rPr>
        <w:t xml:space="preserve">Berechnung des Grundbedarfs für </w:t>
      </w:r>
      <w:r w:rsidR="003028A1" w:rsidRPr="0018697B">
        <w:rPr>
          <w:b/>
        </w:rPr>
        <w:t xml:space="preserve">den </w:t>
      </w:r>
      <w:r w:rsidRPr="0018697B">
        <w:rPr>
          <w:b/>
        </w:rPr>
        <w:t>Lebensunterhalt (GBL)</w:t>
      </w:r>
      <w:r w:rsidRPr="0018697B">
        <w:t xml:space="preserve"> ist der Unterbringungsform Rechnung zu tragen. Bei Notunterbringungen in Hotels und hotelähnlichen Angeboten fallen mit</w:t>
      </w:r>
      <w:r w:rsidR="00544226">
        <w:t xml:space="preserve"> der </w:t>
      </w:r>
      <w:proofErr w:type="spellStart"/>
      <w:r w:rsidR="00544226">
        <w:t>Verplfegung</w:t>
      </w:r>
      <w:proofErr w:type="spellEnd"/>
      <w:r w:rsidR="00544226">
        <w:t>,</w:t>
      </w:r>
      <w:r w:rsidRPr="0018697B">
        <w:t xml:space="preserve"> den Serviceleistungen und dem Energieverbrauch einzelne Kosten der Haushaltführung weg, welche im GBL enthalten sind. Aufgrund </w:t>
      </w:r>
      <w:r w:rsidR="00E10E3B">
        <w:t>dieser</w:t>
      </w:r>
      <w:r w:rsidR="00E10E3B" w:rsidRPr="0018697B">
        <w:t xml:space="preserve"> </w:t>
      </w:r>
      <w:r w:rsidRPr="0018697B">
        <w:t>Einsparungen wird der GBL</w:t>
      </w:r>
      <w:r w:rsidR="00E10E3B">
        <w:t xml:space="preserve"> grundsätzlich</w:t>
      </w:r>
      <w:r w:rsidRPr="0018697B">
        <w:t xml:space="preserve"> um 10% (gemäss </w:t>
      </w:r>
      <w:hyperlink r:id="rId14" w:history="1">
        <w:r w:rsidRPr="009B216B">
          <w:rPr>
            <w:rStyle w:val="Hyperlink"/>
            <w:szCs w:val="22"/>
          </w:rPr>
          <w:t>HAW</w:t>
        </w:r>
        <w:r w:rsidR="009B216B" w:rsidRPr="009B216B">
          <w:rPr>
            <w:rStyle w:val="Hyperlink"/>
            <w:szCs w:val="22"/>
          </w:rPr>
          <w:t xml:space="preserve"> Festlegung der Beträge des Grundbedarfs für den Lebensunterhalt</w:t>
        </w:r>
      </w:hyperlink>
      <w:r w:rsidRPr="009B216B">
        <w:rPr>
          <w:szCs w:val="22"/>
        </w:rPr>
        <w:t>,</w:t>
      </w:r>
      <w:r w:rsidRPr="009B216B">
        <w:rPr>
          <w:szCs w:val="22"/>
        </w:rPr>
        <w:t xml:space="preserve"> Ziff. 2.3</w:t>
      </w:r>
      <w:r w:rsidRPr="0018697B">
        <w:rPr>
          <w:szCs w:val="22"/>
        </w:rPr>
        <w:t>)</w:t>
      </w:r>
      <w:r w:rsidR="00E10E3B">
        <w:rPr>
          <w:szCs w:val="22"/>
        </w:rPr>
        <w:t xml:space="preserve"> gekürzt.</w:t>
      </w:r>
      <w:r w:rsidRPr="0018697B">
        <w:t xml:space="preserve"> </w:t>
      </w:r>
      <w:r w:rsidR="00E10E3B" w:rsidRPr="00204029">
        <w:rPr>
          <w:highlight w:val="yellow"/>
        </w:rPr>
        <w:t>Sind keine</w:t>
      </w:r>
      <w:bookmarkStart w:id="5" w:name="_GoBack"/>
      <w:bookmarkEnd w:id="5"/>
      <w:r w:rsidR="00E10E3B" w:rsidRPr="00204029">
        <w:rPr>
          <w:highlight w:val="yellow"/>
        </w:rPr>
        <w:t xml:space="preserve"> oder nur wenige Serviceleistungen inbegriffen oder besteht keine Kochmöglichkeit</w:t>
      </w:r>
      <w:r w:rsidR="008D166B" w:rsidRPr="00204029">
        <w:rPr>
          <w:highlight w:val="yellow"/>
        </w:rPr>
        <w:t xml:space="preserve">, </w:t>
      </w:r>
      <w:r w:rsidR="00E10E3B" w:rsidRPr="00204029">
        <w:rPr>
          <w:highlight w:val="yellow"/>
        </w:rPr>
        <w:t>kann auch ein höherer GBL angewendet werden (</w:t>
      </w:r>
      <w:r w:rsidR="00E10E3B" w:rsidRPr="009B216B">
        <w:rPr>
          <w:highlight w:val="yellow"/>
        </w:rPr>
        <w:t xml:space="preserve">gemäss </w:t>
      </w:r>
      <w:hyperlink r:id="rId15" w:history="1">
        <w:r w:rsidR="009B216B" w:rsidRPr="009B216B">
          <w:rPr>
            <w:rStyle w:val="Hyperlink"/>
            <w:szCs w:val="22"/>
            <w:highlight w:val="yellow"/>
          </w:rPr>
          <w:t>HAW Festlegung der Beträge des Grundbedarfs für den Lebensunterhalt</w:t>
        </w:r>
      </w:hyperlink>
      <w:r w:rsidR="00E10E3B" w:rsidRPr="009B216B">
        <w:rPr>
          <w:szCs w:val="22"/>
          <w:highlight w:val="yellow"/>
        </w:rPr>
        <w:t>, Zif</w:t>
      </w:r>
      <w:r w:rsidR="00E10E3B" w:rsidRPr="009B216B">
        <w:rPr>
          <w:szCs w:val="22"/>
          <w:highlight w:val="yellow"/>
        </w:rPr>
        <w:t>f</w:t>
      </w:r>
      <w:r w:rsidR="00E10E3B" w:rsidRPr="009B216B">
        <w:rPr>
          <w:szCs w:val="22"/>
          <w:highlight w:val="yellow"/>
        </w:rPr>
        <w:t>. 2.2</w:t>
      </w:r>
      <w:r w:rsidR="00E10E3B" w:rsidRPr="00204029">
        <w:rPr>
          <w:szCs w:val="22"/>
          <w:highlight w:val="yellow"/>
        </w:rPr>
        <w:t>)</w:t>
      </w:r>
      <w:r w:rsidR="00E10E3B" w:rsidRPr="00204029">
        <w:rPr>
          <w:highlight w:val="yellow"/>
        </w:rPr>
        <w:t>.</w:t>
      </w:r>
      <w:r w:rsidRPr="00640080">
        <w:t xml:space="preserve"> </w:t>
      </w:r>
      <w:r w:rsidR="00E10E3B" w:rsidRPr="00640080">
        <w:t xml:space="preserve">Die im Preis inbegriffenen Mahlzeiten werden </w:t>
      </w:r>
      <w:r w:rsidR="008D166B" w:rsidRPr="00640080">
        <w:t>vom GBL abgezogen</w:t>
      </w:r>
      <w:r w:rsidR="00E10E3B" w:rsidRPr="00640080">
        <w:t xml:space="preserve"> (gemäss </w:t>
      </w:r>
      <w:r w:rsidR="00E10E3B" w:rsidRPr="009B216B">
        <w:rPr>
          <w:szCs w:val="22"/>
        </w:rPr>
        <w:t xml:space="preserve">HAW </w:t>
      </w:r>
      <w:hyperlink r:id="rId16" w:history="1">
        <w:proofErr w:type="spellStart"/>
        <w:r w:rsidR="009B216B" w:rsidRPr="009B216B">
          <w:rPr>
            <w:rStyle w:val="Hyperlink"/>
            <w:szCs w:val="22"/>
          </w:rPr>
          <w:t>HAW</w:t>
        </w:r>
        <w:proofErr w:type="spellEnd"/>
        <w:r w:rsidR="009B216B" w:rsidRPr="009B216B">
          <w:rPr>
            <w:rStyle w:val="Hyperlink"/>
            <w:szCs w:val="22"/>
          </w:rPr>
          <w:t xml:space="preserve"> Festlegung der Beträge des Grundbedarfs für den Lebensunterhalt</w:t>
        </w:r>
      </w:hyperlink>
      <w:r w:rsidR="00E10E3B" w:rsidRPr="009B216B">
        <w:rPr>
          <w:szCs w:val="22"/>
        </w:rPr>
        <w:t>, Ziff. 2.5</w:t>
      </w:r>
      <w:r w:rsidR="00E10E3B" w:rsidRPr="00640080">
        <w:rPr>
          <w:szCs w:val="22"/>
        </w:rPr>
        <w:t>).</w:t>
      </w:r>
    </w:p>
    <w:p w14:paraId="3095FC53" w14:textId="5CC47C79" w:rsidR="00A936FD" w:rsidRPr="0018697B" w:rsidRDefault="00C50457" w:rsidP="00A936FD">
      <w:pPr>
        <w:tabs>
          <w:tab w:val="left" w:pos="4820"/>
        </w:tabs>
        <w:spacing w:before="80" w:after="120"/>
        <w:rPr>
          <w:bCs/>
        </w:rPr>
      </w:pPr>
      <w:r w:rsidRPr="0018697B">
        <w:rPr>
          <w:b/>
          <w:bCs/>
        </w:rPr>
        <w:t>Leistungen</w:t>
      </w:r>
      <w:r w:rsidR="00A936FD" w:rsidRPr="0018697B">
        <w:rPr>
          <w:bCs/>
        </w:rPr>
        <w:t>, die</w:t>
      </w:r>
      <w:r w:rsidR="00F0149F" w:rsidRPr="0018697B">
        <w:rPr>
          <w:bCs/>
        </w:rPr>
        <w:t xml:space="preserve"> über die Hotelu</w:t>
      </w:r>
      <w:r w:rsidRPr="0018697B">
        <w:rPr>
          <w:bCs/>
        </w:rPr>
        <w:t>nterbringung hinausgehen</w:t>
      </w:r>
      <w:r w:rsidR="00A936FD" w:rsidRPr="0018697B">
        <w:rPr>
          <w:bCs/>
        </w:rPr>
        <w:t xml:space="preserve"> (z.B.</w:t>
      </w:r>
      <w:r w:rsidRPr="0018697B">
        <w:rPr>
          <w:bCs/>
        </w:rPr>
        <w:t xml:space="preserve"> </w:t>
      </w:r>
      <w:r w:rsidR="00A936FD" w:rsidRPr="0018697B">
        <w:rPr>
          <w:bCs/>
        </w:rPr>
        <w:t>Minibar, Telefongespräche)</w:t>
      </w:r>
      <w:r w:rsidR="00A9530A" w:rsidRPr="0018697B">
        <w:rPr>
          <w:bCs/>
        </w:rPr>
        <w:t>,</w:t>
      </w:r>
      <w:r w:rsidR="00A936FD" w:rsidRPr="0018697B">
        <w:rPr>
          <w:bCs/>
        </w:rPr>
        <w:t xml:space="preserve"> ge</w:t>
      </w:r>
      <w:r w:rsidR="003028A1" w:rsidRPr="0018697B">
        <w:rPr>
          <w:bCs/>
        </w:rPr>
        <w:t xml:space="preserve">hen zulasten der </w:t>
      </w:r>
      <w:r w:rsidR="003A1CF0" w:rsidRPr="0018697B">
        <w:rPr>
          <w:bCs/>
        </w:rPr>
        <w:t>Klient</w:t>
      </w:r>
      <w:r w:rsidR="003028A1" w:rsidRPr="0018697B">
        <w:rPr>
          <w:bCs/>
        </w:rPr>
        <w:t>i</w:t>
      </w:r>
      <w:r w:rsidR="00A936FD" w:rsidRPr="0018697B">
        <w:rPr>
          <w:bCs/>
        </w:rPr>
        <w:t>nnen</w:t>
      </w:r>
      <w:r w:rsidR="00C9767D">
        <w:rPr>
          <w:bCs/>
        </w:rPr>
        <w:t xml:space="preserve"> und Klienten</w:t>
      </w:r>
      <w:r w:rsidRPr="0018697B">
        <w:rPr>
          <w:bCs/>
        </w:rPr>
        <w:t>.</w:t>
      </w:r>
    </w:p>
    <w:p w14:paraId="3095FC54" w14:textId="2ED029F5" w:rsidR="00A936FD" w:rsidRPr="0018697B" w:rsidRDefault="00A936FD" w:rsidP="00A936FD">
      <w:pPr>
        <w:tabs>
          <w:tab w:val="left" w:pos="4820"/>
        </w:tabs>
        <w:rPr>
          <w:bCs/>
        </w:rPr>
      </w:pPr>
      <w:r w:rsidRPr="0018697B">
        <w:rPr>
          <w:bCs/>
        </w:rPr>
        <w:t xml:space="preserve">Für </w:t>
      </w:r>
      <w:r w:rsidRPr="0018697B">
        <w:rPr>
          <w:b/>
          <w:bCs/>
        </w:rPr>
        <w:t>Instandstellungskosten</w:t>
      </w:r>
      <w:r w:rsidRPr="0018697B">
        <w:rPr>
          <w:bCs/>
        </w:rPr>
        <w:t xml:space="preserve"> haftet gru</w:t>
      </w:r>
      <w:r w:rsidR="001C13A8" w:rsidRPr="0018697B">
        <w:rPr>
          <w:bCs/>
        </w:rPr>
        <w:t>ndsätzlich der/die Verursache</w:t>
      </w:r>
      <w:r w:rsidR="0071547B" w:rsidRPr="0018697B">
        <w:rPr>
          <w:bCs/>
        </w:rPr>
        <w:t>nde</w:t>
      </w:r>
      <w:r w:rsidRPr="0018697B">
        <w:rPr>
          <w:bCs/>
        </w:rPr>
        <w:t xml:space="preserve"> bzw. dessen/deren Haftpflichtversicherung. </w:t>
      </w:r>
      <w:r w:rsidR="004948FC">
        <w:rPr>
          <w:bCs/>
        </w:rPr>
        <w:t>D</w:t>
      </w:r>
      <w:r w:rsidR="00A9530A" w:rsidRPr="0018697B">
        <w:rPr>
          <w:bCs/>
        </w:rPr>
        <w:t>ie SOD</w:t>
      </w:r>
      <w:r w:rsidRPr="0018697B">
        <w:rPr>
          <w:bCs/>
        </w:rPr>
        <w:t xml:space="preserve"> </w:t>
      </w:r>
      <w:r w:rsidR="004948FC">
        <w:rPr>
          <w:bCs/>
        </w:rPr>
        <w:t xml:space="preserve">können </w:t>
      </w:r>
      <w:r w:rsidRPr="0018697B">
        <w:rPr>
          <w:bCs/>
        </w:rPr>
        <w:t xml:space="preserve">Instandstellungskosten </w:t>
      </w:r>
      <w:r w:rsidR="00A9530A" w:rsidRPr="0018697B">
        <w:rPr>
          <w:bCs/>
        </w:rPr>
        <w:t>übernehmen</w:t>
      </w:r>
      <w:r w:rsidR="001C13A8" w:rsidRPr="0018697B">
        <w:rPr>
          <w:bCs/>
        </w:rPr>
        <w:t>, sofern</w:t>
      </w:r>
      <w:r w:rsidRPr="0018697B">
        <w:rPr>
          <w:bCs/>
        </w:rPr>
        <w:t xml:space="preserve"> </w:t>
      </w:r>
      <w:r w:rsidRPr="0018697B">
        <w:rPr>
          <w:bCs/>
          <w:u w:val="single"/>
        </w:rPr>
        <w:t>kumulativ</w:t>
      </w:r>
      <w:r w:rsidRPr="0018697B">
        <w:rPr>
          <w:bCs/>
        </w:rPr>
        <w:t xml:space="preserve"> folgende Voraussetzungen erfüllt sind:</w:t>
      </w:r>
    </w:p>
    <w:p w14:paraId="3095FC55" w14:textId="77777777" w:rsidR="001C13A8" w:rsidRPr="0018697B" w:rsidRDefault="001C13A8" w:rsidP="00A936FD">
      <w:pPr>
        <w:tabs>
          <w:tab w:val="left" w:pos="4820"/>
        </w:tabs>
        <w:rPr>
          <w:bCs/>
        </w:rPr>
      </w:pPr>
    </w:p>
    <w:p w14:paraId="3095FC56" w14:textId="77777777" w:rsidR="00A936FD" w:rsidRPr="0018697B" w:rsidRDefault="00A936FD" w:rsidP="00A936FD">
      <w:pPr>
        <w:numPr>
          <w:ilvl w:val="0"/>
          <w:numId w:val="14"/>
        </w:numPr>
        <w:tabs>
          <w:tab w:val="left" w:pos="709"/>
        </w:tabs>
        <w:rPr>
          <w:bCs/>
        </w:rPr>
      </w:pPr>
      <w:r w:rsidRPr="0018697B">
        <w:rPr>
          <w:bCs/>
        </w:rPr>
        <w:t xml:space="preserve">Es liegt </w:t>
      </w:r>
      <w:r w:rsidR="000905A9" w:rsidRPr="0018697B">
        <w:rPr>
          <w:bCs/>
        </w:rPr>
        <w:t xml:space="preserve">ein </w:t>
      </w:r>
      <w:r w:rsidR="0027532F" w:rsidRPr="0018697B">
        <w:rPr>
          <w:bCs/>
        </w:rPr>
        <w:t xml:space="preserve">befristeter Beherbergungs- oder Mietvertrag vor. </w:t>
      </w:r>
    </w:p>
    <w:p w14:paraId="46025356" w14:textId="36FA2481" w:rsidR="004948FC" w:rsidRPr="005A530D" w:rsidRDefault="00475A57" w:rsidP="004948FC">
      <w:pPr>
        <w:numPr>
          <w:ilvl w:val="0"/>
          <w:numId w:val="14"/>
        </w:numPr>
        <w:tabs>
          <w:tab w:val="left" w:pos="709"/>
        </w:tabs>
        <w:rPr>
          <w:bCs/>
        </w:rPr>
      </w:pPr>
      <w:r w:rsidRPr="005A530D">
        <w:rPr>
          <w:bCs/>
        </w:rPr>
        <w:t>D</w:t>
      </w:r>
      <w:r w:rsidR="004948FC" w:rsidRPr="005A530D">
        <w:rPr>
          <w:bCs/>
        </w:rPr>
        <w:t xml:space="preserve">er oder die </w:t>
      </w:r>
      <w:proofErr w:type="spellStart"/>
      <w:r w:rsidR="004948FC" w:rsidRPr="005A530D">
        <w:rPr>
          <w:bCs/>
        </w:rPr>
        <w:t>SchadensverursacherIn</w:t>
      </w:r>
      <w:proofErr w:type="spellEnd"/>
      <w:r w:rsidR="004948FC" w:rsidRPr="005A530D">
        <w:rPr>
          <w:bCs/>
        </w:rPr>
        <w:t xml:space="preserve"> steht fest</w:t>
      </w:r>
      <w:r w:rsidRPr="005A530D">
        <w:rPr>
          <w:bCs/>
        </w:rPr>
        <w:t>.</w:t>
      </w:r>
    </w:p>
    <w:p w14:paraId="79ADF431" w14:textId="4D71248D" w:rsidR="004948FC" w:rsidRPr="005A530D" w:rsidRDefault="00475A57" w:rsidP="00875EAF">
      <w:pPr>
        <w:numPr>
          <w:ilvl w:val="0"/>
          <w:numId w:val="14"/>
        </w:numPr>
        <w:tabs>
          <w:tab w:val="left" w:pos="709"/>
        </w:tabs>
        <w:rPr>
          <w:bCs/>
        </w:rPr>
      </w:pPr>
      <w:r w:rsidRPr="005A530D">
        <w:rPr>
          <w:bCs/>
        </w:rPr>
        <w:t>D</w:t>
      </w:r>
      <w:r w:rsidR="004948FC" w:rsidRPr="005A530D">
        <w:rPr>
          <w:bCs/>
        </w:rPr>
        <w:t>er Schaden ist</w:t>
      </w:r>
      <w:r w:rsidR="003D13DA" w:rsidRPr="005A530D">
        <w:rPr>
          <w:bCs/>
        </w:rPr>
        <w:t xml:space="preserve"> plausibel</w:t>
      </w:r>
      <w:r w:rsidR="004948FC" w:rsidRPr="005A530D">
        <w:rPr>
          <w:bCs/>
        </w:rPr>
        <w:t xml:space="preserve"> nachgewiesen und nicht auf ü</w:t>
      </w:r>
      <w:r w:rsidRPr="005A530D">
        <w:rPr>
          <w:bCs/>
        </w:rPr>
        <w:t>bliche Abnutzung zurückzuführen</w:t>
      </w:r>
    </w:p>
    <w:p w14:paraId="6720F05E" w14:textId="3E174C7E" w:rsidR="004948FC" w:rsidRPr="005A530D" w:rsidRDefault="00475A57" w:rsidP="00875EAF">
      <w:pPr>
        <w:pStyle w:val="Listenabsatz"/>
        <w:numPr>
          <w:ilvl w:val="0"/>
          <w:numId w:val="14"/>
        </w:numPr>
        <w:rPr>
          <w:bCs/>
        </w:rPr>
      </w:pPr>
      <w:r w:rsidRPr="005A530D">
        <w:rPr>
          <w:bCs/>
        </w:rPr>
        <w:t>E</w:t>
      </w:r>
      <w:r w:rsidR="004948FC" w:rsidRPr="005A530D">
        <w:rPr>
          <w:bCs/>
        </w:rPr>
        <w:t>in ablehnender Entscheid der Haftpflic</w:t>
      </w:r>
      <w:r w:rsidR="00875EAF" w:rsidRPr="005A530D">
        <w:rPr>
          <w:bCs/>
        </w:rPr>
        <w:t xml:space="preserve">htversicherung des Verursachers resp. </w:t>
      </w:r>
      <w:r w:rsidR="004948FC" w:rsidRPr="005A530D">
        <w:rPr>
          <w:bCs/>
        </w:rPr>
        <w:t>der Verursacherin liegt vor.</w:t>
      </w:r>
    </w:p>
    <w:p w14:paraId="25E68779" w14:textId="77777777" w:rsidR="004948FC" w:rsidRPr="00204029" w:rsidRDefault="004948FC" w:rsidP="00875EAF">
      <w:pPr>
        <w:pStyle w:val="Listenabsatz"/>
        <w:rPr>
          <w:bCs/>
          <w:highlight w:val="yellow"/>
        </w:rPr>
      </w:pPr>
    </w:p>
    <w:p w14:paraId="71C7FE0E" w14:textId="5483C731" w:rsidR="004948FC" w:rsidRPr="00204029" w:rsidRDefault="004948FC" w:rsidP="00875EAF">
      <w:pPr>
        <w:rPr>
          <w:bCs/>
          <w:highlight w:val="yellow"/>
        </w:rPr>
      </w:pPr>
      <w:r w:rsidRPr="00204029">
        <w:rPr>
          <w:bCs/>
          <w:highlight w:val="yellow"/>
        </w:rPr>
        <w:t xml:space="preserve">Bagatellschäden bis Fr. 200.- sind </w:t>
      </w:r>
      <w:r w:rsidR="00875EAF" w:rsidRPr="00204029">
        <w:rPr>
          <w:bCs/>
          <w:highlight w:val="yellow"/>
        </w:rPr>
        <w:t xml:space="preserve">bei Hotels mit Rahmenvertrag </w:t>
      </w:r>
      <w:r w:rsidRPr="00204029">
        <w:rPr>
          <w:bCs/>
          <w:highlight w:val="yellow"/>
        </w:rPr>
        <w:t>im Tarif inbegriffen.</w:t>
      </w:r>
    </w:p>
    <w:p w14:paraId="206A45AA" w14:textId="005B3E21" w:rsidR="004948FC" w:rsidRPr="00204029" w:rsidRDefault="004948FC" w:rsidP="002C2F86">
      <w:pPr>
        <w:rPr>
          <w:bCs/>
          <w:highlight w:val="yellow"/>
        </w:rPr>
      </w:pPr>
    </w:p>
    <w:tbl>
      <w:tblPr>
        <w:tblW w:w="0" w:type="auto"/>
        <w:tblInd w:w="108" w:type="dxa"/>
        <w:tblBorders>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2"/>
        <w:gridCol w:w="3328"/>
        <w:gridCol w:w="3328"/>
      </w:tblGrid>
      <w:tr w:rsidR="002C2F86" w:rsidRPr="00204029" w14:paraId="187B3AEE" w14:textId="77777777" w:rsidTr="002C2F86">
        <w:trPr>
          <w:trHeight w:val="272"/>
        </w:trPr>
        <w:tc>
          <w:tcPr>
            <w:tcW w:w="2302" w:type="dxa"/>
            <w:tcBorders>
              <w:top w:val="nil"/>
              <w:left w:val="nil"/>
            </w:tcBorders>
          </w:tcPr>
          <w:p w14:paraId="050DCBD0" w14:textId="77777777" w:rsidR="002C2F86" w:rsidRPr="00204029" w:rsidRDefault="002C2F86" w:rsidP="006E2F77">
            <w:pPr>
              <w:pStyle w:val="Absatz0"/>
              <w:rPr>
                <w:i/>
                <w:sz w:val="21"/>
                <w:szCs w:val="21"/>
                <w:highlight w:val="yellow"/>
              </w:rPr>
            </w:pPr>
          </w:p>
        </w:tc>
        <w:tc>
          <w:tcPr>
            <w:tcW w:w="6656" w:type="dxa"/>
            <w:gridSpan w:val="2"/>
            <w:tcBorders>
              <w:top w:val="single" w:sz="4" w:space="0" w:color="auto"/>
            </w:tcBorders>
          </w:tcPr>
          <w:p w14:paraId="7D509BF0" w14:textId="77777777" w:rsidR="002C2F86" w:rsidRPr="00204029" w:rsidRDefault="002C2F86" w:rsidP="006E2F77">
            <w:pPr>
              <w:pStyle w:val="Absatz0"/>
              <w:rPr>
                <w:i/>
                <w:sz w:val="21"/>
                <w:szCs w:val="21"/>
                <w:highlight w:val="yellow"/>
              </w:rPr>
            </w:pPr>
            <w:r w:rsidRPr="00204029">
              <w:rPr>
                <w:i/>
                <w:sz w:val="21"/>
                <w:szCs w:val="21"/>
                <w:highlight w:val="yellow"/>
              </w:rPr>
              <w:t xml:space="preserve">Ausgabenkompetenz (nicht </w:t>
            </w:r>
            <w:proofErr w:type="spellStart"/>
            <w:r w:rsidRPr="00204029">
              <w:rPr>
                <w:i/>
                <w:sz w:val="21"/>
                <w:szCs w:val="21"/>
                <w:highlight w:val="yellow"/>
              </w:rPr>
              <w:t>kumulierbar</w:t>
            </w:r>
            <w:proofErr w:type="spellEnd"/>
            <w:r w:rsidRPr="00204029">
              <w:rPr>
                <w:i/>
                <w:sz w:val="21"/>
                <w:szCs w:val="21"/>
                <w:highlight w:val="yellow"/>
              </w:rPr>
              <w:t>)</w:t>
            </w:r>
          </w:p>
        </w:tc>
      </w:tr>
      <w:tr w:rsidR="002C2F86" w:rsidRPr="00204029" w14:paraId="134941A3" w14:textId="77777777" w:rsidTr="002C2F86">
        <w:trPr>
          <w:trHeight w:val="272"/>
        </w:trPr>
        <w:tc>
          <w:tcPr>
            <w:tcW w:w="2302" w:type="dxa"/>
            <w:tcBorders>
              <w:top w:val="single" w:sz="4" w:space="0" w:color="auto"/>
              <w:left w:val="single" w:sz="4" w:space="0" w:color="auto"/>
            </w:tcBorders>
          </w:tcPr>
          <w:p w14:paraId="4A906FF0" w14:textId="77777777" w:rsidR="002C2F86" w:rsidRPr="00204029" w:rsidRDefault="002C2F86" w:rsidP="006E2F77">
            <w:pPr>
              <w:pStyle w:val="Absatz0"/>
              <w:rPr>
                <w:i/>
                <w:sz w:val="21"/>
                <w:szCs w:val="21"/>
                <w:highlight w:val="yellow"/>
              </w:rPr>
            </w:pPr>
            <w:r w:rsidRPr="00204029">
              <w:rPr>
                <w:i/>
                <w:sz w:val="21"/>
                <w:szCs w:val="21"/>
                <w:highlight w:val="yellow"/>
              </w:rPr>
              <w:t>Thema</w:t>
            </w:r>
          </w:p>
        </w:tc>
        <w:tc>
          <w:tcPr>
            <w:tcW w:w="3328" w:type="dxa"/>
          </w:tcPr>
          <w:p w14:paraId="37F0A050" w14:textId="73BBE761" w:rsidR="002C2F86" w:rsidRPr="00204029" w:rsidRDefault="002C2F86" w:rsidP="006E2F77">
            <w:pPr>
              <w:pStyle w:val="Absatz0"/>
              <w:rPr>
                <w:i/>
                <w:sz w:val="21"/>
                <w:szCs w:val="21"/>
                <w:highlight w:val="yellow"/>
              </w:rPr>
            </w:pPr>
            <w:r w:rsidRPr="00204029">
              <w:rPr>
                <w:i/>
                <w:sz w:val="21"/>
                <w:szCs w:val="21"/>
                <w:highlight w:val="yellow"/>
              </w:rPr>
              <w:t>SA</w:t>
            </w:r>
          </w:p>
        </w:tc>
        <w:tc>
          <w:tcPr>
            <w:tcW w:w="3328" w:type="dxa"/>
          </w:tcPr>
          <w:p w14:paraId="2542EB4A" w14:textId="77777777" w:rsidR="002C2F86" w:rsidRPr="00204029" w:rsidRDefault="002C2F86" w:rsidP="006E2F77">
            <w:pPr>
              <w:pStyle w:val="Absatz0"/>
              <w:rPr>
                <w:i/>
                <w:sz w:val="21"/>
                <w:szCs w:val="21"/>
                <w:highlight w:val="yellow"/>
              </w:rPr>
            </w:pPr>
            <w:r w:rsidRPr="00204029">
              <w:rPr>
                <w:i/>
                <w:sz w:val="21"/>
                <w:szCs w:val="21"/>
                <w:highlight w:val="yellow"/>
              </w:rPr>
              <w:t>ZL</w:t>
            </w:r>
          </w:p>
        </w:tc>
      </w:tr>
      <w:tr w:rsidR="002C2F86" w:rsidRPr="003028A1" w14:paraId="7AB1E6C0" w14:textId="77777777" w:rsidTr="002C2F86">
        <w:trPr>
          <w:trHeight w:val="272"/>
        </w:trPr>
        <w:tc>
          <w:tcPr>
            <w:tcW w:w="2302" w:type="dxa"/>
            <w:tcBorders>
              <w:top w:val="single" w:sz="4" w:space="0" w:color="auto"/>
              <w:left w:val="single" w:sz="4" w:space="0" w:color="auto"/>
            </w:tcBorders>
            <w:shd w:val="clear" w:color="auto" w:fill="auto"/>
          </w:tcPr>
          <w:p w14:paraId="7C67D630" w14:textId="11BEC287" w:rsidR="002C2F86" w:rsidRPr="00204029" w:rsidRDefault="002C2F86" w:rsidP="006E2F77">
            <w:pPr>
              <w:pStyle w:val="Absatz0"/>
              <w:rPr>
                <w:sz w:val="21"/>
                <w:szCs w:val="21"/>
                <w:highlight w:val="yellow"/>
              </w:rPr>
            </w:pPr>
            <w:proofErr w:type="spellStart"/>
            <w:r w:rsidRPr="00204029">
              <w:rPr>
                <w:sz w:val="21"/>
                <w:szCs w:val="21"/>
                <w:highlight w:val="yellow"/>
              </w:rPr>
              <w:t>Instandstellungkosten</w:t>
            </w:r>
            <w:proofErr w:type="spellEnd"/>
          </w:p>
        </w:tc>
        <w:tc>
          <w:tcPr>
            <w:tcW w:w="3328" w:type="dxa"/>
            <w:shd w:val="clear" w:color="auto" w:fill="auto"/>
          </w:tcPr>
          <w:p w14:paraId="3690F6AF" w14:textId="07ABF067" w:rsidR="002C2F86" w:rsidRPr="00204029" w:rsidRDefault="002C2F86" w:rsidP="00380A86">
            <w:pPr>
              <w:pStyle w:val="Absatz0"/>
              <w:rPr>
                <w:sz w:val="21"/>
                <w:szCs w:val="21"/>
                <w:highlight w:val="yellow"/>
              </w:rPr>
            </w:pPr>
            <w:r w:rsidRPr="00204029">
              <w:rPr>
                <w:sz w:val="21"/>
                <w:szCs w:val="21"/>
                <w:highlight w:val="yellow"/>
              </w:rPr>
              <w:t xml:space="preserve">bis max. </w:t>
            </w:r>
            <w:r w:rsidR="00380A86">
              <w:rPr>
                <w:sz w:val="21"/>
                <w:szCs w:val="21"/>
                <w:highlight w:val="yellow"/>
              </w:rPr>
              <w:t>Fr.</w:t>
            </w:r>
            <w:r w:rsidRPr="00204029">
              <w:rPr>
                <w:sz w:val="21"/>
                <w:szCs w:val="21"/>
                <w:highlight w:val="yellow"/>
              </w:rPr>
              <w:t xml:space="preserve"> 500.- </w:t>
            </w:r>
          </w:p>
        </w:tc>
        <w:tc>
          <w:tcPr>
            <w:tcW w:w="3328" w:type="dxa"/>
            <w:shd w:val="clear" w:color="auto" w:fill="auto"/>
          </w:tcPr>
          <w:p w14:paraId="2BC68A3C" w14:textId="66FC2AAC" w:rsidR="002C2F86" w:rsidRPr="003028A1" w:rsidRDefault="002C2F86" w:rsidP="00380A86">
            <w:pPr>
              <w:pStyle w:val="Absatz0"/>
              <w:rPr>
                <w:sz w:val="21"/>
                <w:szCs w:val="21"/>
              </w:rPr>
            </w:pPr>
            <w:r w:rsidRPr="00204029">
              <w:rPr>
                <w:sz w:val="21"/>
                <w:szCs w:val="21"/>
                <w:highlight w:val="yellow"/>
              </w:rPr>
              <w:t xml:space="preserve">ausnahmsweise über </w:t>
            </w:r>
            <w:r w:rsidR="00380A86">
              <w:rPr>
                <w:sz w:val="21"/>
                <w:szCs w:val="21"/>
                <w:highlight w:val="yellow"/>
              </w:rPr>
              <w:t>Fr.</w:t>
            </w:r>
            <w:r w:rsidRPr="00204029">
              <w:rPr>
                <w:sz w:val="21"/>
                <w:szCs w:val="21"/>
                <w:highlight w:val="yellow"/>
              </w:rPr>
              <w:t xml:space="preserve"> 500.-</w:t>
            </w:r>
          </w:p>
        </w:tc>
      </w:tr>
    </w:tbl>
    <w:p w14:paraId="61B7B8EC" w14:textId="38057D46" w:rsidR="004948FC" w:rsidRPr="002C2F86" w:rsidRDefault="004948FC" w:rsidP="003D13DA">
      <w:pPr>
        <w:rPr>
          <w:bCs/>
        </w:rPr>
      </w:pPr>
    </w:p>
    <w:p w14:paraId="3095FC5A" w14:textId="77777777" w:rsidR="00A936FD" w:rsidRPr="0018697B" w:rsidRDefault="00A936FD" w:rsidP="00875EAF">
      <w:pPr>
        <w:pStyle w:val="Listenabsatz"/>
      </w:pPr>
    </w:p>
    <w:p w14:paraId="3095FC5B" w14:textId="77777777" w:rsidR="0010046C" w:rsidRDefault="00723B4F" w:rsidP="00A936FD">
      <w:pPr>
        <w:tabs>
          <w:tab w:val="left" w:pos="0"/>
        </w:tabs>
        <w:rPr>
          <w:bCs/>
        </w:rPr>
      </w:pPr>
      <w:r w:rsidRPr="0018697B">
        <w:rPr>
          <w:bCs/>
        </w:rPr>
        <w:t xml:space="preserve">Bei Hotels und hotelähnlichen Angeboten </w:t>
      </w:r>
      <w:r w:rsidR="003A1CF0" w:rsidRPr="0018697B">
        <w:rPr>
          <w:bCs/>
        </w:rPr>
        <w:t xml:space="preserve">mit befristetem Aufenthalt </w:t>
      </w:r>
      <w:r w:rsidRPr="0018697B">
        <w:rPr>
          <w:bCs/>
        </w:rPr>
        <w:t>werden</w:t>
      </w:r>
      <w:r w:rsidR="008427C7" w:rsidRPr="0018697B">
        <w:rPr>
          <w:bCs/>
        </w:rPr>
        <w:t xml:space="preserve"> </w:t>
      </w:r>
      <w:r w:rsidR="00C26DAA" w:rsidRPr="0018697B">
        <w:rPr>
          <w:bCs/>
        </w:rPr>
        <w:t>keine</w:t>
      </w:r>
      <w:r w:rsidRPr="0018697B">
        <w:rPr>
          <w:bCs/>
        </w:rPr>
        <w:t xml:space="preserve"> </w:t>
      </w:r>
      <w:r w:rsidR="0010046C" w:rsidRPr="0018697B">
        <w:rPr>
          <w:b/>
          <w:bCs/>
        </w:rPr>
        <w:t>Garantieerklärungen</w:t>
      </w:r>
      <w:r w:rsidR="0010046C" w:rsidRPr="0018697B">
        <w:rPr>
          <w:bCs/>
        </w:rPr>
        <w:t xml:space="preserve"> ausgestellt.</w:t>
      </w:r>
      <w:r w:rsidR="0010046C">
        <w:rPr>
          <w:bCs/>
        </w:rPr>
        <w:t xml:space="preserve"> </w:t>
      </w:r>
    </w:p>
    <w:p w14:paraId="3095FC5C" w14:textId="77777777" w:rsidR="0010046C" w:rsidRPr="00E07FFE" w:rsidRDefault="0010046C" w:rsidP="00A936FD">
      <w:pPr>
        <w:tabs>
          <w:tab w:val="left" w:pos="0"/>
        </w:tabs>
        <w:rPr>
          <w:bCs/>
        </w:rPr>
      </w:pPr>
    </w:p>
    <w:p w14:paraId="3095FC5E" w14:textId="77777777" w:rsidR="00A936FD" w:rsidRPr="00B14CF3" w:rsidRDefault="00A936FD" w:rsidP="00A936FD">
      <w:pPr>
        <w:tabs>
          <w:tab w:val="left" w:pos="0"/>
        </w:tabs>
        <w:ind w:left="1418" w:hanging="1418"/>
        <w:rPr>
          <w:bCs/>
        </w:rPr>
      </w:pPr>
    </w:p>
    <w:sectPr w:rsidR="00A936FD" w:rsidRPr="00B14CF3" w:rsidSect="00705FC6">
      <w:headerReference w:type="default" r:id="rId17"/>
      <w:footerReference w:type="default" r:id="rId18"/>
      <w:headerReference w:type="first" r:id="rId19"/>
      <w:footerReference w:type="first" r:id="rId20"/>
      <w:pgSz w:w="11906" w:h="16838" w:code="9"/>
      <w:pgMar w:top="1792" w:right="1134" w:bottom="851"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5FC61" w14:textId="77777777" w:rsidR="00643504" w:rsidRDefault="00643504">
      <w:r>
        <w:separator/>
      </w:r>
    </w:p>
  </w:endnote>
  <w:endnote w:type="continuationSeparator" w:id="0">
    <w:p w14:paraId="3095FC62" w14:textId="77777777" w:rsidR="00643504" w:rsidRDefault="00643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353">
    <w:altName w:val="Times New Roman"/>
    <w:panose1 w:val="00000000000000000000"/>
    <w:charset w:val="00"/>
    <w:family w:val="auto"/>
    <w:notTrueType/>
    <w:pitch w:val="default"/>
  </w:font>
  <w:font w:name="Calibri">
    <w:panose1 w:val="020F0502020204030204"/>
    <w:charset w:val="00"/>
    <w:family w:val="swiss"/>
    <w:pitch w:val="variable"/>
    <w:sig w:usb0="E0002AFF" w:usb1="C000247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6232"/>
      <w:gridCol w:w="261"/>
      <w:gridCol w:w="2640"/>
    </w:tblGrid>
    <w:tr w:rsidR="002310E1" w14:paraId="0490FAA1" w14:textId="77777777" w:rsidTr="002310E1">
      <w:trPr>
        <w:trHeight w:val="284"/>
      </w:trPr>
      <w:tc>
        <w:tcPr>
          <w:tcW w:w="6232" w:type="dxa"/>
        </w:tcPr>
        <w:p w14:paraId="1E673383" w14:textId="419C2F49" w:rsidR="002310E1" w:rsidRDefault="002310E1" w:rsidP="002310E1">
          <w:pPr>
            <w:pStyle w:val="Fuzeile"/>
            <w:tabs>
              <w:tab w:val="clear" w:pos="4536"/>
              <w:tab w:val="clear" w:pos="9072"/>
              <w:tab w:val="right" w:pos="8504"/>
            </w:tabs>
            <w:rPr>
              <w:sz w:val="17"/>
            </w:rPr>
          </w:pPr>
          <w:r>
            <w:rPr>
              <w:sz w:val="17"/>
            </w:rPr>
            <w:t xml:space="preserve">HAW Befristete </w:t>
          </w:r>
          <w:proofErr w:type="spellStart"/>
          <w:r>
            <w:rPr>
              <w:sz w:val="17"/>
            </w:rPr>
            <w:t>Notunterbrinung</w:t>
          </w:r>
          <w:proofErr w:type="spellEnd"/>
          <w:r>
            <w:rPr>
              <w:sz w:val="17"/>
            </w:rPr>
            <w:t xml:space="preserve"> in Hotels und hotelähnlichen Angeboten</w:t>
          </w:r>
        </w:p>
      </w:tc>
      <w:tc>
        <w:tcPr>
          <w:tcW w:w="261" w:type="dxa"/>
        </w:tcPr>
        <w:p w14:paraId="782FE20F" w14:textId="77777777" w:rsidR="002310E1" w:rsidRDefault="002310E1" w:rsidP="002310E1">
          <w:pPr>
            <w:pStyle w:val="Fuzeile"/>
            <w:tabs>
              <w:tab w:val="clear" w:pos="4536"/>
              <w:tab w:val="clear" w:pos="9072"/>
              <w:tab w:val="right" w:pos="8504"/>
            </w:tabs>
            <w:jc w:val="center"/>
            <w:rPr>
              <w:sz w:val="17"/>
            </w:rPr>
          </w:pPr>
        </w:p>
      </w:tc>
      <w:tc>
        <w:tcPr>
          <w:tcW w:w="2640" w:type="dxa"/>
        </w:tcPr>
        <w:p w14:paraId="60003F80" w14:textId="77777777" w:rsidR="002310E1" w:rsidRDefault="002310E1" w:rsidP="002310E1">
          <w:pPr>
            <w:pStyle w:val="Fuzeile"/>
            <w:tabs>
              <w:tab w:val="clear" w:pos="4536"/>
              <w:tab w:val="clear" w:pos="9072"/>
              <w:tab w:val="right" w:pos="8504"/>
            </w:tabs>
            <w:jc w:val="right"/>
            <w:rPr>
              <w:sz w:val="17"/>
              <w:lang w:val="de-DE"/>
            </w:rPr>
          </w:pPr>
        </w:p>
      </w:tc>
    </w:tr>
  </w:tbl>
  <w:p w14:paraId="4872A6AF" w14:textId="77777777" w:rsidR="002310E1" w:rsidRDefault="002310E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41"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29"/>
      <w:gridCol w:w="3935"/>
      <w:gridCol w:w="1555"/>
      <w:gridCol w:w="1417"/>
      <w:gridCol w:w="2126"/>
      <w:gridCol w:w="179"/>
    </w:tblGrid>
    <w:tr w:rsidR="002310E1" w14:paraId="0FE68252" w14:textId="77777777" w:rsidTr="001D3F7B">
      <w:trPr>
        <w:gridAfter w:val="1"/>
        <w:wAfter w:w="179" w:type="dxa"/>
        <w:trHeight w:val="284"/>
      </w:trPr>
      <w:tc>
        <w:tcPr>
          <w:tcW w:w="3964" w:type="dxa"/>
          <w:gridSpan w:val="2"/>
        </w:tcPr>
        <w:p w14:paraId="663B1450" w14:textId="2150C728" w:rsidR="002310E1" w:rsidRDefault="002310E1" w:rsidP="002310E1">
          <w:pPr>
            <w:pStyle w:val="Fuzeile"/>
            <w:tabs>
              <w:tab w:val="clear" w:pos="4536"/>
              <w:tab w:val="clear" w:pos="9072"/>
              <w:tab w:val="right" w:pos="8504"/>
            </w:tabs>
            <w:rPr>
              <w:sz w:val="17"/>
            </w:rPr>
          </w:pPr>
          <w:r>
            <w:rPr>
              <w:sz w:val="17"/>
            </w:rPr>
            <w:t xml:space="preserve">HAW Befristete </w:t>
          </w:r>
          <w:proofErr w:type="spellStart"/>
          <w:r>
            <w:rPr>
              <w:sz w:val="17"/>
            </w:rPr>
            <w:t>Notunterbrinung</w:t>
          </w:r>
          <w:proofErr w:type="spellEnd"/>
          <w:r>
            <w:rPr>
              <w:sz w:val="17"/>
            </w:rPr>
            <w:t xml:space="preserve"> in Hotels und hotelähnlichen Angeboten</w:t>
          </w:r>
        </w:p>
      </w:tc>
      <w:tc>
        <w:tcPr>
          <w:tcW w:w="1555" w:type="dxa"/>
        </w:tcPr>
        <w:p w14:paraId="03873B80" w14:textId="77777777" w:rsidR="002310E1" w:rsidRDefault="002310E1" w:rsidP="002310E1">
          <w:pPr>
            <w:pStyle w:val="Fuzeile"/>
            <w:tabs>
              <w:tab w:val="clear" w:pos="4536"/>
              <w:tab w:val="clear" w:pos="9072"/>
              <w:tab w:val="right" w:pos="8504"/>
            </w:tabs>
            <w:jc w:val="center"/>
            <w:rPr>
              <w:sz w:val="17"/>
            </w:rPr>
          </w:pPr>
          <w:r>
            <w:rPr>
              <w:sz w:val="17"/>
            </w:rPr>
            <w:t>öffentlich</w:t>
          </w:r>
        </w:p>
      </w:tc>
      <w:tc>
        <w:tcPr>
          <w:tcW w:w="1417" w:type="dxa"/>
        </w:tcPr>
        <w:p w14:paraId="76024955" w14:textId="63932965" w:rsidR="002310E1" w:rsidRDefault="002310E1" w:rsidP="002310E1">
          <w:pPr>
            <w:pStyle w:val="Fuzeile"/>
            <w:tabs>
              <w:tab w:val="clear" w:pos="4536"/>
              <w:tab w:val="clear" w:pos="9072"/>
              <w:tab w:val="right" w:pos="8504"/>
            </w:tabs>
            <w:jc w:val="center"/>
            <w:rPr>
              <w:sz w:val="17"/>
            </w:rPr>
          </w:pPr>
          <w:r>
            <w:rPr>
              <w:sz w:val="17"/>
            </w:rPr>
            <w:t>Version 3.</w:t>
          </w:r>
          <w:r w:rsidR="007F5DEC">
            <w:rPr>
              <w:sz w:val="17"/>
            </w:rPr>
            <w:t>3</w:t>
          </w:r>
        </w:p>
      </w:tc>
      <w:tc>
        <w:tcPr>
          <w:tcW w:w="2126" w:type="dxa"/>
        </w:tcPr>
        <w:p w14:paraId="50C425AF" w14:textId="77777777" w:rsidR="002310E1" w:rsidRDefault="002310E1" w:rsidP="002310E1">
          <w:pPr>
            <w:pStyle w:val="Fuzeile"/>
            <w:tabs>
              <w:tab w:val="clear" w:pos="4536"/>
              <w:tab w:val="clear" w:pos="9072"/>
              <w:tab w:val="right" w:pos="8504"/>
            </w:tabs>
            <w:ind w:left="-119"/>
            <w:jc w:val="right"/>
            <w:rPr>
              <w:sz w:val="17"/>
              <w:lang w:val="de-DE"/>
            </w:rPr>
          </w:pPr>
          <w:proofErr w:type="spellStart"/>
          <w:r>
            <w:rPr>
              <w:sz w:val="17"/>
              <w:lang w:val="de-DE"/>
            </w:rPr>
            <w:t>VerfasserIn</w:t>
          </w:r>
          <w:proofErr w:type="spellEnd"/>
          <w:r>
            <w:rPr>
              <w:sz w:val="17"/>
              <w:lang w:val="de-DE"/>
            </w:rPr>
            <w:t xml:space="preserve">: </w:t>
          </w:r>
          <w:proofErr w:type="spellStart"/>
          <w:r>
            <w:rPr>
              <w:sz w:val="17"/>
              <w:lang w:val="de-DE"/>
            </w:rPr>
            <w:t>Fachstab</w:t>
          </w:r>
          <w:proofErr w:type="spellEnd"/>
          <w:r>
            <w:rPr>
              <w:sz w:val="17"/>
              <w:lang w:val="de-DE"/>
            </w:rPr>
            <w:t xml:space="preserve"> SI</w:t>
          </w:r>
        </w:p>
      </w:tc>
    </w:tr>
    <w:tr w:rsidR="002310E1" w14:paraId="537580E7" w14:textId="77777777" w:rsidTr="001D3F7B">
      <w:trPr>
        <w:trHeight w:val="284"/>
      </w:trPr>
      <w:tc>
        <w:tcPr>
          <w:tcW w:w="29" w:type="dxa"/>
        </w:tcPr>
        <w:p w14:paraId="19222BCE" w14:textId="77777777" w:rsidR="002310E1" w:rsidRDefault="002310E1" w:rsidP="002310E1">
          <w:pPr>
            <w:pStyle w:val="Fuzeile"/>
            <w:tabs>
              <w:tab w:val="clear" w:pos="4536"/>
              <w:tab w:val="clear" w:pos="9072"/>
              <w:tab w:val="right" w:pos="8504"/>
            </w:tabs>
            <w:ind w:left="-119"/>
            <w:rPr>
              <w:sz w:val="17"/>
              <w:lang w:val="de-DE"/>
            </w:rPr>
          </w:pPr>
        </w:p>
      </w:tc>
      <w:tc>
        <w:tcPr>
          <w:tcW w:w="9212" w:type="dxa"/>
          <w:gridSpan w:val="5"/>
        </w:tcPr>
        <w:p w14:paraId="7C25DBFD" w14:textId="4328A3B9" w:rsidR="002310E1" w:rsidRDefault="007F5DEC" w:rsidP="007F5DEC">
          <w:pPr>
            <w:pStyle w:val="Fuzeile"/>
            <w:tabs>
              <w:tab w:val="clear" w:pos="4536"/>
              <w:tab w:val="clear" w:pos="9072"/>
              <w:tab w:val="right" w:pos="8504"/>
            </w:tabs>
            <w:ind w:left="-119" w:firstLine="119"/>
            <w:rPr>
              <w:sz w:val="17"/>
              <w:lang w:val="de-DE"/>
            </w:rPr>
          </w:pPr>
          <w:r>
            <w:rPr>
              <w:sz w:val="17"/>
              <w:lang w:val="de-DE"/>
            </w:rPr>
            <w:t>© Copyright: Soziale Dienste. Eine Weiterverwendung ist nur mit dem Zusatz «Soziale Dienste Stadt Zürich» erlaubt.</w:t>
          </w:r>
        </w:p>
      </w:tc>
    </w:tr>
  </w:tbl>
  <w:p w14:paraId="3095FC76" w14:textId="77777777" w:rsidR="008F71E1" w:rsidRDefault="008F71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5FC5F" w14:textId="77777777" w:rsidR="00643504" w:rsidRDefault="00643504">
      <w:r>
        <w:separator/>
      </w:r>
    </w:p>
  </w:footnote>
  <w:footnote w:type="continuationSeparator" w:id="0">
    <w:p w14:paraId="3095FC60" w14:textId="77777777" w:rsidR="00643504" w:rsidRDefault="00643504">
      <w:r>
        <w:continuationSeparator/>
      </w:r>
    </w:p>
  </w:footnote>
  <w:footnote w:id="1">
    <w:p w14:paraId="3095FC7B" w14:textId="77777777" w:rsidR="008F71E1" w:rsidRDefault="008F71E1" w:rsidP="00CD0B56">
      <w:pPr>
        <w:spacing w:after="120"/>
      </w:pPr>
      <w:r w:rsidRPr="0018697B">
        <w:rPr>
          <w:rStyle w:val="Funotenzeichen"/>
        </w:rPr>
        <w:footnoteRef/>
      </w:r>
      <w:r w:rsidRPr="0018697B">
        <w:t xml:space="preserve"> </w:t>
      </w:r>
      <w:r w:rsidRPr="0018697B">
        <w:rPr>
          <w:sz w:val="18"/>
        </w:rPr>
        <w:t xml:space="preserve">Ein Beherbergungsvertrag ist ein Mischvertrag mit </w:t>
      </w:r>
      <w:proofErr w:type="spellStart"/>
      <w:r w:rsidRPr="0018697B">
        <w:rPr>
          <w:sz w:val="18"/>
        </w:rPr>
        <w:t>mietrechlichem</w:t>
      </w:r>
      <w:proofErr w:type="spellEnd"/>
      <w:r w:rsidRPr="0018697B">
        <w:rPr>
          <w:sz w:val="18"/>
        </w:rPr>
        <w:t xml:space="preserve"> Anteil. Ob die </w:t>
      </w:r>
      <w:proofErr w:type="spellStart"/>
      <w:r w:rsidRPr="0018697B">
        <w:rPr>
          <w:sz w:val="18"/>
        </w:rPr>
        <w:t>mietrechlichen</w:t>
      </w:r>
      <w:proofErr w:type="spellEnd"/>
      <w:r w:rsidRPr="0018697B">
        <w:rPr>
          <w:sz w:val="18"/>
        </w:rPr>
        <w:t xml:space="preserve"> Schutzbestimmungen in Streitfragen zur Anwendung kommen, entscheidet sich dabei nicht am Titel des Vertrages, sondern an der faktischen Ausgestaltung des Vertragsverhältnisses. Als Faustregel gilt, wenn eine Unterbringung in einem Hotel oder einer hotelähnlichen Unterbringungsform auf </w:t>
      </w:r>
      <w:proofErr w:type="spellStart"/>
      <w:r w:rsidR="000048E4" w:rsidRPr="0018697B">
        <w:rPr>
          <w:sz w:val="18"/>
        </w:rPr>
        <w:t>Längerfristigkeit</w:t>
      </w:r>
      <w:proofErr w:type="spellEnd"/>
      <w:r w:rsidR="000048E4" w:rsidRPr="0018697B">
        <w:rPr>
          <w:sz w:val="18"/>
        </w:rPr>
        <w:t xml:space="preserve"> </w:t>
      </w:r>
      <w:r w:rsidRPr="0018697B">
        <w:rPr>
          <w:sz w:val="18"/>
        </w:rPr>
        <w:t>ausgelegt ist</w:t>
      </w:r>
      <w:r w:rsidR="009E6E74" w:rsidRPr="0018697B">
        <w:rPr>
          <w:sz w:val="18"/>
        </w:rPr>
        <w:t xml:space="preserve"> (z.B. bei wiederholter Verkettung von befristeten Mietverträgen)</w:t>
      </w:r>
      <w:r w:rsidRPr="0018697B">
        <w:rPr>
          <w:sz w:val="18"/>
        </w:rPr>
        <w:t xml:space="preserve">, gelten auch die </w:t>
      </w:r>
      <w:proofErr w:type="spellStart"/>
      <w:r w:rsidRPr="0018697B">
        <w:rPr>
          <w:sz w:val="18"/>
        </w:rPr>
        <w:t>mietrechlichen</w:t>
      </w:r>
      <w:proofErr w:type="spellEnd"/>
      <w:r w:rsidRPr="0018697B">
        <w:rPr>
          <w:sz w:val="18"/>
        </w:rPr>
        <w:t xml:space="preserve"> Schutzbestimmungen.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8F71E1" w14:paraId="3095FC66" w14:textId="77777777">
      <w:tc>
        <w:tcPr>
          <w:tcW w:w="7257" w:type="dxa"/>
          <w:gridSpan w:val="2"/>
        </w:tcPr>
        <w:p w14:paraId="3095FC63" w14:textId="77777777" w:rsidR="008F71E1" w:rsidRDefault="008F71E1">
          <w:pPr>
            <w:pStyle w:val="Kopfzeile"/>
            <w:tabs>
              <w:tab w:val="clear" w:pos="4536"/>
              <w:tab w:val="clear" w:pos="9072"/>
            </w:tabs>
            <w:rPr>
              <w:szCs w:val="22"/>
            </w:rPr>
          </w:pPr>
          <w:bookmarkStart w:id="6" w:name="OLE_LINK1"/>
          <w:r>
            <w:rPr>
              <w:noProof/>
              <w:szCs w:val="22"/>
              <w:lang w:eastAsia="de-CH"/>
            </w:rPr>
            <w:drawing>
              <wp:inline distT="0" distB="0" distL="0" distR="0" wp14:anchorId="3095FC77" wp14:editId="3095FC78">
                <wp:extent cx="1351915" cy="270510"/>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1915" cy="270510"/>
                        </a:xfrm>
                        <a:prstGeom prst="rect">
                          <a:avLst/>
                        </a:prstGeom>
                        <a:noFill/>
                        <a:ln>
                          <a:noFill/>
                        </a:ln>
                      </pic:spPr>
                    </pic:pic>
                  </a:graphicData>
                </a:graphic>
              </wp:inline>
            </w:drawing>
          </w:r>
        </w:p>
        <w:p w14:paraId="3095FC64" w14:textId="77777777" w:rsidR="008F71E1" w:rsidRDefault="008F71E1">
          <w:pPr>
            <w:pStyle w:val="Kopfzeile"/>
            <w:tabs>
              <w:tab w:val="clear" w:pos="4536"/>
              <w:tab w:val="clear" w:pos="9072"/>
            </w:tabs>
            <w:rPr>
              <w:szCs w:val="22"/>
            </w:rPr>
          </w:pPr>
        </w:p>
      </w:tc>
      <w:tc>
        <w:tcPr>
          <w:tcW w:w="2495" w:type="dxa"/>
        </w:tcPr>
        <w:p w14:paraId="3095FC65" w14:textId="77777777" w:rsidR="008F71E1" w:rsidRDefault="008F71E1">
          <w:pPr>
            <w:pStyle w:val="Kopfzeile"/>
            <w:tabs>
              <w:tab w:val="clear" w:pos="4536"/>
              <w:tab w:val="clear" w:pos="9072"/>
            </w:tabs>
            <w:rPr>
              <w:sz w:val="17"/>
              <w:szCs w:val="17"/>
            </w:rPr>
          </w:pPr>
        </w:p>
      </w:tc>
    </w:tr>
    <w:tr w:rsidR="008F71E1" w14:paraId="3095FC69" w14:textId="77777777">
      <w:trPr>
        <w:trHeight w:val="210"/>
      </w:trPr>
      <w:tc>
        <w:tcPr>
          <w:tcW w:w="680" w:type="dxa"/>
        </w:tcPr>
        <w:p w14:paraId="3095FC67" w14:textId="77777777" w:rsidR="008F71E1" w:rsidRDefault="008F71E1">
          <w:pPr>
            <w:pStyle w:val="Kopfzeile"/>
          </w:pPr>
        </w:p>
      </w:tc>
      <w:tc>
        <w:tcPr>
          <w:tcW w:w="9072" w:type="dxa"/>
          <w:gridSpan w:val="2"/>
        </w:tcPr>
        <w:p w14:paraId="3095FC68" w14:textId="1C0182CB" w:rsidR="008F71E1" w:rsidRDefault="008F71E1">
          <w:pPr>
            <w:pStyle w:val="Kopfzeile"/>
          </w:pPr>
          <w:r>
            <w:fldChar w:fldCharType="begin"/>
          </w:r>
          <w:r>
            <w:instrText xml:space="preserve"> PAGE   \* MERGEFORMAT </w:instrText>
          </w:r>
          <w:r>
            <w:fldChar w:fldCharType="separate"/>
          </w:r>
          <w:r w:rsidR="009B216B">
            <w:rPr>
              <w:noProof/>
            </w:rPr>
            <w:t>3</w:t>
          </w:r>
          <w:r>
            <w:fldChar w:fldCharType="end"/>
          </w:r>
          <w:r>
            <w:t>/</w:t>
          </w:r>
          <w:r w:rsidR="009B216B">
            <w:fldChar w:fldCharType="begin"/>
          </w:r>
          <w:r w:rsidR="009B216B">
            <w:instrText xml:space="preserve"> NUMPAGES   \* MERGEFORMAT </w:instrText>
          </w:r>
          <w:r w:rsidR="009B216B">
            <w:fldChar w:fldCharType="separate"/>
          </w:r>
          <w:r w:rsidR="009B216B">
            <w:rPr>
              <w:noProof/>
            </w:rPr>
            <w:t>3</w:t>
          </w:r>
          <w:r w:rsidR="009B216B">
            <w:rPr>
              <w:noProof/>
            </w:rPr>
            <w:fldChar w:fldCharType="end"/>
          </w:r>
        </w:p>
      </w:tc>
    </w:tr>
    <w:bookmarkEnd w:id="6"/>
  </w:tbl>
  <w:p w14:paraId="3095FC6A" w14:textId="77777777" w:rsidR="008F71E1" w:rsidRDefault="008F71E1">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8F71E1" w14:paraId="3095FC6D" w14:textId="77777777">
      <w:tc>
        <w:tcPr>
          <w:tcW w:w="7257" w:type="dxa"/>
        </w:tcPr>
        <w:p w14:paraId="3095FC6B" w14:textId="77777777" w:rsidR="008F71E1" w:rsidRDefault="008F71E1">
          <w:pPr>
            <w:pStyle w:val="Kopfzeile"/>
            <w:tabs>
              <w:tab w:val="clear" w:pos="4536"/>
              <w:tab w:val="clear" w:pos="9072"/>
            </w:tabs>
            <w:rPr>
              <w:szCs w:val="22"/>
            </w:rPr>
          </w:pPr>
          <w:r>
            <w:rPr>
              <w:noProof/>
              <w:szCs w:val="22"/>
              <w:lang w:eastAsia="de-CH"/>
            </w:rPr>
            <w:drawing>
              <wp:inline distT="0" distB="0" distL="0" distR="0" wp14:anchorId="3095FC79" wp14:editId="3095FC7A">
                <wp:extent cx="1351915" cy="270510"/>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1915" cy="270510"/>
                        </a:xfrm>
                        <a:prstGeom prst="rect">
                          <a:avLst/>
                        </a:prstGeom>
                        <a:noFill/>
                        <a:ln>
                          <a:noFill/>
                        </a:ln>
                      </pic:spPr>
                    </pic:pic>
                  </a:graphicData>
                </a:graphic>
              </wp:inline>
            </w:drawing>
          </w:r>
        </w:p>
      </w:tc>
      <w:tc>
        <w:tcPr>
          <w:tcW w:w="2495" w:type="dxa"/>
        </w:tcPr>
        <w:p w14:paraId="3095FC6C" w14:textId="77777777" w:rsidR="008F71E1" w:rsidRDefault="008F71E1">
          <w:pPr>
            <w:pStyle w:val="Kopfzeile"/>
            <w:tabs>
              <w:tab w:val="clear" w:pos="4536"/>
              <w:tab w:val="clear" w:pos="9072"/>
            </w:tabs>
            <w:rPr>
              <w:sz w:val="17"/>
              <w:szCs w:val="17"/>
            </w:rPr>
          </w:pPr>
        </w:p>
      </w:tc>
    </w:tr>
    <w:tr w:rsidR="008F71E1" w14:paraId="3095FC70" w14:textId="77777777">
      <w:tc>
        <w:tcPr>
          <w:tcW w:w="7257" w:type="dxa"/>
        </w:tcPr>
        <w:p w14:paraId="3095FC6E" w14:textId="77777777" w:rsidR="008F71E1" w:rsidRDefault="008F71E1">
          <w:pPr>
            <w:pStyle w:val="Kopfzeile"/>
            <w:tabs>
              <w:tab w:val="clear" w:pos="4536"/>
              <w:tab w:val="clear" w:pos="9072"/>
            </w:tabs>
            <w:rPr>
              <w:szCs w:val="22"/>
            </w:rPr>
          </w:pPr>
        </w:p>
      </w:tc>
      <w:tc>
        <w:tcPr>
          <w:tcW w:w="2495" w:type="dxa"/>
        </w:tcPr>
        <w:p w14:paraId="3095FC6F" w14:textId="77777777" w:rsidR="008F71E1" w:rsidRDefault="008F71E1">
          <w:pPr>
            <w:pStyle w:val="Kopfzeile"/>
            <w:tabs>
              <w:tab w:val="clear" w:pos="4536"/>
              <w:tab w:val="clear" w:pos="9072"/>
            </w:tabs>
            <w:rPr>
              <w:noProof/>
              <w:sz w:val="17"/>
              <w:szCs w:val="17"/>
              <w:lang w:val="de-DE"/>
            </w:rPr>
          </w:pPr>
        </w:p>
      </w:tc>
    </w:tr>
  </w:tbl>
  <w:p w14:paraId="3095FC71" w14:textId="77777777" w:rsidR="008F71E1" w:rsidRDefault="008F71E1">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05AC6"/>
    <w:multiLevelType w:val="hybridMultilevel"/>
    <w:tmpl w:val="74823232"/>
    <w:lvl w:ilvl="0" w:tplc="A47CD3A2">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BE65AD"/>
    <w:multiLevelType w:val="hybridMultilevel"/>
    <w:tmpl w:val="C95421F8"/>
    <w:lvl w:ilvl="0" w:tplc="08070017">
      <w:start w:val="1"/>
      <w:numFmt w:val="lowerLetter"/>
      <w:lvlText w:val="%1)"/>
      <w:lvlJc w:val="left"/>
      <w:pPr>
        <w:ind w:left="1440" w:hanging="360"/>
      </w:pPr>
      <w:rPr>
        <w:rFonts w:hint="default"/>
      </w:r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15:restartNumberingAfterBreak="0">
    <w:nsid w:val="0C2216EC"/>
    <w:multiLevelType w:val="multilevel"/>
    <w:tmpl w:val="1E8C265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EB3023"/>
    <w:multiLevelType w:val="hybridMultilevel"/>
    <w:tmpl w:val="D2603CC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6"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BB1A37"/>
    <w:multiLevelType w:val="hybridMultilevel"/>
    <w:tmpl w:val="AE125812"/>
    <w:lvl w:ilvl="0" w:tplc="C9462CD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2CA5B46"/>
    <w:multiLevelType w:val="multilevel"/>
    <w:tmpl w:val="CE368DE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0B55936"/>
    <w:multiLevelType w:val="hybridMultilevel"/>
    <w:tmpl w:val="868AFA5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5F770B3"/>
    <w:multiLevelType w:val="hybridMultilevel"/>
    <w:tmpl w:val="B2F01322"/>
    <w:lvl w:ilvl="0" w:tplc="4A8658AA">
      <w:start w:val="1"/>
      <w:numFmt w:val="bullet"/>
      <w:pStyle w:val="TabelleAufzhlung"/>
      <w:lvlText w:val=""/>
      <w:lvlJc w:val="left"/>
      <w:pPr>
        <w:tabs>
          <w:tab w:val="num" w:pos="360"/>
        </w:tabs>
        <w:ind w:left="170" w:hanging="17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3262A0"/>
    <w:multiLevelType w:val="hybridMultilevel"/>
    <w:tmpl w:val="4808F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0750FA7"/>
    <w:multiLevelType w:val="hybridMultilevel"/>
    <w:tmpl w:val="580AD82E"/>
    <w:lvl w:ilvl="0" w:tplc="B0263166">
      <w:start w:val="1"/>
      <w:numFmt w:val="bullet"/>
      <w:pStyle w:val="AufzhlunginTabelle"/>
      <w:lvlText w:val="–"/>
      <w:lvlJc w:val="left"/>
      <w:pPr>
        <w:tabs>
          <w:tab w:val="num" w:pos="360"/>
        </w:tabs>
        <w:ind w:left="340" w:hanging="340"/>
      </w:pPr>
      <w:rPr>
        <w:rFonts w:ascii="font353" w:hAnsi="font353"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7560C4"/>
    <w:multiLevelType w:val="hybridMultilevel"/>
    <w:tmpl w:val="A238EF5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1E4774A"/>
    <w:multiLevelType w:val="hybridMultilevel"/>
    <w:tmpl w:val="0BD8E094"/>
    <w:lvl w:ilvl="0" w:tplc="08070017">
      <w:start w:val="1"/>
      <w:numFmt w:val="lowerLetter"/>
      <w:lvlText w:val="%1)"/>
      <w:lvlJc w:val="left"/>
      <w:pPr>
        <w:ind w:left="785" w:hanging="360"/>
      </w:pPr>
      <w:rPr>
        <w:rFonts w:hint="default"/>
      </w:rPr>
    </w:lvl>
    <w:lvl w:ilvl="1" w:tplc="08070019" w:tentative="1">
      <w:start w:val="1"/>
      <w:numFmt w:val="lowerLetter"/>
      <w:lvlText w:val="%2."/>
      <w:lvlJc w:val="left"/>
      <w:pPr>
        <w:ind w:left="1505" w:hanging="360"/>
      </w:pPr>
    </w:lvl>
    <w:lvl w:ilvl="2" w:tplc="0807001B" w:tentative="1">
      <w:start w:val="1"/>
      <w:numFmt w:val="lowerRoman"/>
      <w:lvlText w:val="%3."/>
      <w:lvlJc w:val="right"/>
      <w:pPr>
        <w:ind w:left="2225" w:hanging="180"/>
      </w:pPr>
    </w:lvl>
    <w:lvl w:ilvl="3" w:tplc="0807000F" w:tentative="1">
      <w:start w:val="1"/>
      <w:numFmt w:val="decimal"/>
      <w:lvlText w:val="%4."/>
      <w:lvlJc w:val="left"/>
      <w:pPr>
        <w:ind w:left="2945" w:hanging="360"/>
      </w:pPr>
    </w:lvl>
    <w:lvl w:ilvl="4" w:tplc="08070019" w:tentative="1">
      <w:start w:val="1"/>
      <w:numFmt w:val="lowerLetter"/>
      <w:lvlText w:val="%5."/>
      <w:lvlJc w:val="left"/>
      <w:pPr>
        <w:ind w:left="3665" w:hanging="360"/>
      </w:pPr>
    </w:lvl>
    <w:lvl w:ilvl="5" w:tplc="0807001B" w:tentative="1">
      <w:start w:val="1"/>
      <w:numFmt w:val="lowerRoman"/>
      <w:lvlText w:val="%6."/>
      <w:lvlJc w:val="right"/>
      <w:pPr>
        <w:ind w:left="4385" w:hanging="180"/>
      </w:pPr>
    </w:lvl>
    <w:lvl w:ilvl="6" w:tplc="0807000F" w:tentative="1">
      <w:start w:val="1"/>
      <w:numFmt w:val="decimal"/>
      <w:lvlText w:val="%7."/>
      <w:lvlJc w:val="left"/>
      <w:pPr>
        <w:ind w:left="5105" w:hanging="360"/>
      </w:pPr>
    </w:lvl>
    <w:lvl w:ilvl="7" w:tplc="08070019" w:tentative="1">
      <w:start w:val="1"/>
      <w:numFmt w:val="lowerLetter"/>
      <w:lvlText w:val="%8."/>
      <w:lvlJc w:val="left"/>
      <w:pPr>
        <w:ind w:left="5825" w:hanging="360"/>
      </w:pPr>
    </w:lvl>
    <w:lvl w:ilvl="8" w:tplc="0807001B" w:tentative="1">
      <w:start w:val="1"/>
      <w:numFmt w:val="lowerRoman"/>
      <w:lvlText w:val="%9."/>
      <w:lvlJc w:val="right"/>
      <w:pPr>
        <w:ind w:left="6545" w:hanging="180"/>
      </w:pPr>
    </w:lvl>
  </w:abstractNum>
  <w:abstractNum w:abstractNumId="15" w15:restartNumberingAfterBreak="0">
    <w:nsid w:val="42E8014C"/>
    <w:multiLevelType w:val="hybridMultilevel"/>
    <w:tmpl w:val="C57E099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1E2D1C"/>
    <w:multiLevelType w:val="hybridMultilevel"/>
    <w:tmpl w:val="D3224C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8" w15:restartNumberingAfterBreak="0">
    <w:nsid w:val="60A328E3"/>
    <w:multiLevelType w:val="hybridMultilevel"/>
    <w:tmpl w:val="FAE83A04"/>
    <w:lvl w:ilvl="0" w:tplc="4FC465D4">
      <w:numFmt w:val="bullet"/>
      <w:lvlText w:val="-"/>
      <w:lvlJc w:val="left"/>
      <w:pPr>
        <w:ind w:left="720" w:hanging="360"/>
      </w:pPr>
      <w:rPr>
        <w:rFonts w:ascii="Arial" w:eastAsia="Calibr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9" w15:restartNumberingAfterBreak="0">
    <w:nsid w:val="629F2D1E"/>
    <w:multiLevelType w:val="hybridMultilevel"/>
    <w:tmpl w:val="1D466D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64C4068"/>
    <w:multiLevelType w:val="hybridMultilevel"/>
    <w:tmpl w:val="5030BA04"/>
    <w:lvl w:ilvl="0" w:tplc="5E1A7E1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8607DD"/>
    <w:multiLevelType w:val="hybridMultilevel"/>
    <w:tmpl w:val="BA3403C2"/>
    <w:lvl w:ilvl="0" w:tplc="E3E2DFDE">
      <w:start w:val="1"/>
      <w:numFmt w:val="bullet"/>
      <w:pStyle w:val="WeisungAufzhlung"/>
      <w:lvlText w:val=""/>
      <w:lvlJc w:val="left"/>
      <w:pPr>
        <w:tabs>
          <w:tab w:val="num" w:pos="36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CA1434"/>
    <w:multiLevelType w:val="hybridMultilevel"/>
    <w:tmpl w:val="1A2EC2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3"/>
  </w:num>
  <w:num w:numId="4">
    <w:abstractNumId w:val="16"/>
  </w:num>
  <w:num w:numId="5">
    <w:abstractNumId w:val="23"/>
  </w:num>
  <w:num w:numId="6">
    <w:abstractNumId w:val="4"/>
  </w:num>
  <w:num w:numId="7">
    <w:abstractNumId w:val="2"/>
  </w:num>
  <w:num w:numId="8">
    <w:abstractNumId w:val="12"/>
  </w:num>
  <w:num w:numId="9">
    <w:abstractNumId w:val="21"/>
  </w:num>
  <w:num w:numId="10">
    <w:abstractNumId w:val="10"/>
  </w:num>
  <w:num w:numId="11">
    <w:abstractNumId w:val="20"/>
  </w:num>
  <w:num w:numId="12">
    <w:abstractNumId w:val="8"/>
  </w:num>
  <w:num w:numId="13">
    <w:abstractNumId w:val="0"/>
  </w:num>
  <w:num w:numId="14">
    <w:abstractNumId w:val="7"/>
  </w:num>
  <w:num w:numId="15">
    <w:abstractNumId w:val="2"/>
  </w:num>
  <w:num w:numId="16">
    <w:abstractNumId w:val="19"/>
  </w:num>
  <w:num w:numId="17">
    <w:abstractNumId w:val="22"/>
  </w:num>
  <w:num w:numId="18">
    <w:abstractNumId w:val="11"/>
  </w:num>
  <w:num w:numId="19">
    <w:abstractNumId w:val="13"/>
  </w:num>
  <w:num w:numId="20">
    <w:abstractNumId w:val="15"/>
  </w:num>
  <w:num w:numId="21">
    <w:abstractNumId w:val="9"/>
  </w:num>
  <w:num w:numId="22">
    <w:abstractNumId w:val="1"/>
  </w:num>
  <w:num w:numId="23">
    <w:abstractNumId w:val="14"/>
  </w:num>
  <w:num w:numId="24">
    <w:abstractNumId w:val="17"/>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activeWritingStyle w:appName="MSWord" w:lang="de-CH" w:vendorID="64" w:dllVersion="131078" w:nlCheck="1" w:checkStyle="0"/>
  <w:activeWritingStyle w:appName="MSWord" w:lang="de-DE"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6935C6"/>
    <w:rsid w:val="0000355C"/>
    <w:rsid w:val="000048E4"/>
    <w:rsid w:val="000064B9"/>
    <w:rsid w:val="00011DFD"/>
    <w:rsid w:val="00025DBD"/>
    <w:rsid w:val="00030A88"/>
    <w:rsid w:val="00032E55"/>
    <w:rsid w:val="000528A5"/>
    <w:rsid w:val="00060EFA"/>
    <w:rsid w:val="00064F9C"/>
    <w:rsid w:val="00067EC1"/>
    <w:rsid w:val="00075BB3"/>
    <w:rsid w:val="000905A9"/>
    <w:rsid w:val="000927A3"/>
    <w:rsid w:val="000A519B"/>
    <w:rsid w:val="000B1661"/>
    <w:rsid w:val="000B2D8C"/>
    <w:rsid w:val="000B5B6C"/>
    <w:rsid w:val="000C4336"/>
    <w:rsid w:val="000C7EE7"/>
    <w:rsid w:val="000D306E"/>
    <w:rsid w:val="000D58B6"/>
    <w:rsid w:val="000E053D"/>
    <w:rsid w:val="000E1116"/>
    <w:rsid w:val="000E12E9"/>
    <w:rsid w:val="000E13E1"/>
    <w:rsid w:val="001002D0"/>
    <w:rsid w:val="0010046C"/>
    <w:rsid w:val="00104943"/>
    <w:rsid w:val="0010555E"/>
    <w:rsid w:val="001102B8"/>
    <w:rsid w:val="00110864"/>
    <w:rsid w:val="00112692"/>
    <w:rsid w:val="00130572"/>
    <w:rsid w:val="00130B96"/>
    <w:rsid w:val="00130D9D"/>
    <w:rsid w:val="00130E68"/>
    <w:rsid w:val="00156821"/>
    <w:rsid w:val="001643B3"/>
    <w:rsid w:val="00170ABA"/>
    <w:rsid w:val="001728EC"/>
    <w:rsid w:val="0018697B"/>
    <w:rsid w:val="001917AA"/>
    <w:rsid w:val="00195E90"/>
    <w:rsid w:val="001A5D5E"/>
    <w:rsid w:val="001B7470"/>
    <w:rsid w:val="001C13A8"/>
    <w:rsid w:val="001D3F7B"/>
    <w:rsid w:val="001F5AB5"/>
    <w:rsid w:val="001F64F3"/>
    <w:rsid w:val="001F7B94"/>
    <w:rsid w:val="00204029"/>
    <w:rsid w:val="00205659"/>
    <w:rsid w:val="002310E1"/>
    <w:rsid w:val="00242C99"/>
    <w:rsid w:val="00253CB0"/>
    <w:rsid w:val="00255862"/>
    <w:rsid w:val="00265641"/>
    <w:rsid w:val="0027532F"/>
    <w:rsid w:val="002A37CB"/>
    <w:rsid w:val="002C2F86"/>
    <w:rsid w:val="002E1347"/>
    <w:rsid w:val="002E57F8"/>
    <w:rsid w:val="002F316B"/>
    <w:rsid w:val="003028A1"/>
    <w:rsid w:val="0030519E"/>
    <w:rsid w:val="0031029F"/>
    <w:rsid w:val="00322D92"/>
    <w:rsid w:val="003236D8"/>
    <w:rsid w:val="00323C27"/>
    <w:rsid w:val="00327A49"/>
    <w:rsid w:val="0033364A"/>
    <w:rsid w:val="00350714"/>
    <w:rsid w:val="0035371D"/>
    <w:rsid w:val="00375B10"/>
    <w:rsid w:val="00380A86"/>
    <w:rsid w:val="0039420C"/>
    <w:rsid w:val="003A1CF0"/>
    <w:rsid w:val="003A242C"/>
    <w:rsid w:val="003C0C86"/>
    <w:rsid w:val="003C5599"/>
    <w:rsid w:val="003C5FA1"/>
    <w:rsid w:val="003D116C"/>
    <w:rsid w:val="003D13DA"/>
    <w:rsid w:val="003D66A6"/>
    <w:rsid w:val="003F053B"/>
    <w:rsid w:val="003F5189"/>
    <w:rsid w:val="00404B1C"/>
    <w:rsid w:val="00407DDF"/>
    <w:rsid w:val="0041369F"/>
    <w:rsid w:val="004174FD"/>
    <w:rsid w:val="004214B2"/>
    <w:rsid w:val="004279CC"/>
    <w:rsid w:val="00444099"/>
    <w:rsid w:val="00453C10"/>
    <w:rsid w:val="004565A6"/>
    <w:rsid w:val="00461718"/>
    <w:rsid w:val="0046230E"/>
    <w:rsid w:val="004732CE"/>
    <w:rsid w:val="00475A57"/>
    <w:rsid w:val="004827A6"/>
    <w:rsid w:val="00490322"/>
    <w:rsid w:val="00494017"/>
    <w:rsid w:val="004948FC"/>
    <w:rsid w:val="004971BF"/>
    <w:rsid w:val="004A0318"/>
    <w:rsid w:val="004A1B30"/>
    <w:rsid w:val="004A7710"/>
    <w:rsid w:val="004B13CA"/>
    <w:rsid w:val="004B336C"/>
    <w:rsid w:val="004E7B52"/>
    <w:rsid w:val="004F5FD9"/>
    <w:rsid w:val="004F7916"/>
    <w:rsid w:val="00514769"/>
    <w:rsid w:val="00532527"/>
    <w:rsid w:val="00536556"/>
    <w:rsid w:val="00537BA6"/>
    <w:rsid w:val="00544226"/>
    <w:rsid w:val="005507E9"/>
    <w:rsid w:val="005679DD"/>
    <w:rsid w:val="00573018"/>
    <w:rsid w:val="00573AC5"/>
    <w:rsid w:val="00584775"/>
    <w:rsid w:val="00585238"/>
    <w:rsid w:val="005875EB"/>
    <w:rsid w:val="00594DD4"/>
    <w:rsid w:val="005968A3"/>
    <w:rsid w:val="005A2C05"/>
    <w:rsid w:val="005A530D"/>
    <w:rsid w:val="005C3053"/>
    <w:rsid w:val="005E4C10"/>
    <w:rsid w:val="005E6639"/>
    <w:rsid w:val="006067A8"/>
    <w:rsid w:val="0060684A"/>
    <w:rsid w:val="006130DC"/>
    <w:rsid w:val="0062784A"/>
    <w:rsid w:val="00640080"/>
    <w:rsid w:val="00643504"/>
    <w:rsid w:val="00643D4C"/>
    <w:rsid w:val="00644D02"/>
    <w:rsid w:val="006546D4"/>
    <w:rsid w:val="006548D6"/>
    <w:rsid w:val="006553C1"/>
    <w:rsid w:val="006609D4"/>
    <w:rsid w:val="0066631D"/>
    <w:rsid w:val="006667F7"/>
    <w:rsid w:val="00672040"/>
    <w:rsid w:val="006728F6"/>
    <w:rsid w:val="00675E12"/>
    <w:rsid w:val="00684A0A"/>
    <w:rsid w:val="00686A6F"/>
    <w:rsid w:val="006935C6"/>
    <w:rsid w:val="006A14F6"/>
    <w:rsid w:val="006B1749"/>
    <w:rsid w:val="006B634B"/>
    <w:rsid w:val="006C09D7"/>
    <w:rsid w:val="006C269F"/>
    <w:rsid w:val="006C4A81"/>
    <w:rsid w:val="006D2312"/>
    <w:rsid w:val="006F09EB"/>
    <w:rsid w:val="006F0CD4"/>
    <w:rsid w:val="00705FC6"/>
    <w:rsid w:val="0071547B"/>
    <w:rsid w:val="00720C32"/>
    <w:rsid w:val="007237C4"/>
    <w:rsid w:val="00723B4F"/>
    <w:rsid w:val="00724E04"/>
    <w:rsid w:val="0073508C"/>
    <w:rsid w:val="00745B5D"/>
    <w:rsid w:val="00755B07"/>
    <w:rsid w:val="00756BF5"/>
    <w:rsid w:val="0076578F"/>
    <w:rsid w:val="00771529"/>
    <w:rsid w:val="00780180"/>
    <w:rsid w:val="00780559"/>
    <w:rsid w:val="00796153"/>
    <w:rsid w:val="00797282"/>
    <w:rsid w:val="007A0459"/>
    <w:rsid w:val="007B2F01"/>
    <w:rsid w:val="007B3EF7"/>
    <w:rsid w:val="007B6E37"/>
    <w:rsid w:val="007C04D7"/>
    <w:rsid w:val="007C4874"/>
    <w:rsid w:val="007F11D4"/>
    <w:rsid w:val="007F4645"/>
    <w:rsid w:val="007F5DEC"/>
    <w:rsid w:val="007F6D19"/>
    <w:rsid w:val="00810198"/>
    <w:rsid w:val="00834E8F"/>
    <w:rsid w:val="00835816"/>
    <w:rsid w:val="008427C7"/>
    <w:rsid w:val="00843F71"/>
    <w:rsid w:val="00875EAF"/>
    <w:rsid w:val="008760F8"/>
    <w:rsid w:val="00877624"/>
    <w:rsid w:val="00880928"/>
    <w:rsid w:val="00891C25"/>
    <w:rsid w:val="008A38CE"/>
    <w:rsid w:val="008B0F32"/>
    <w:rsid w:val="008B25ED"/>
    <w:rsid w:val="008B7FB2"/>
    <w:rsid w:val="008C7BAB"/>
    <w:rsid w:val="008D166B"/>
    <w:rsid w:val="008D1D3E"/>
    <w:rsid w:val="008E3B53"/>
    <w:rsid w:val="008F0D04"/>
    <w:rsid w:val="008F58A5"/>
    <w:rsid w:val="008F71E1"/>
    <w:rsid w:val="00917315"/>
    <w:rsid w:val="00917AD9"/>
    <w:rsid w:val="009313A1"/>
    <w:rsid w:val="00941552"/>
    <w:rsid w:val="00957F3E"/>
    <w:rsid w:val="009600D4"/>
    <w:rsid w:val="00972D85"/>
    <w:rsid w:val="00992232"/>
    <w:rsid w:val="009A0C87"/>
    <w:rsid w:val="009B216B"/>
    <w:rsid w:val="009B3A90"/>
    <w:rsid w:val="009C561E"/>
    <w:rsid w:val="009C601E"/>
    <w:rsid w:val="009C666B"/>
    <w:rsid w:val="009D16FE"/>
    <w:rsid w:val="009D1929"/>
    <w:rsid w:val="009D318D"/>
    <w:rsid w:val="009D69C8"/>
    <w:rsid w:val="009E6E74"/>
    <w:rsid w:val="009F2CFC"/>
    <w:rsid w:val="009F3117"/>
    <w:rsid w:val="00A07D3B"/>
    <w:rsid w:val="00A20145"/>
    <w:rsid w:val="00A201C5"/>
    <w:rsid w:val="00A20913"/>
    <w:rsid w:val="00A236C6"/>
    <w:rsid w:val="00A2542C"/>
    <w:rsid w:val="00A37FCC"/>
    <w:rsid w:val="00A53A57"/>
    <w:rsid w:val="00A56442"/>
    <w:rsid w:val="00A56639"/>
    <w:rsid w:val="00A5762A"/>
    <w:rsid w:val="00A60726"/>
    <w:rsid w:val="00A6105F"/>
    <w:rsid w:val="00A77BAD"/>
    <w:rsid w:val="00A80640"/>
    <w:rsid w:val="00A85A1D"/>
    <w:rsid w:val="00A936FD"/>
    <w:rsid w:val="00A9530A"/>
    <w:rsid w:val="00AA1B55"/>
    <w:rsid w:val="00AA5708"/>
    <w:rsid w:val="00AA59F0"/>
    <w:rsid w:val="00AC3176"/>
    <w:rsid w:val="00AD1B20"/>
    <w:rsid w:val="00AF0BD7"/>
    <w:rsid w:val="00AF2267"/>
    <w:rsid w:val="00B05389"/>
    <w:rsid w:val="00B07CC1"/>
    <w:rsid w:val="00B1094C"/>
    <w:rsid w:val="00B14CF3"/>
    <w:rsid w:val="00B15177"/>
    <w:rsid w:val="00B1736E"/>
    <w:rsid w:val="00B230C4"/>
    <w:rsid w:val="00B36296"/>
    <w:rsid w:val="00B44203"/>
    <w:rsid w:val="00B47149"/>
    <w:rsid w:val="00B51E8A"/>
    <w:rsid w:val="00B52909"/>
    <w:rsid w:val="00B57311"/>
    <w:rsid w:val="00B64A7E"/>
    <w:rsid w:val="00B66A09"/>
    <w:rsid w:val="00B66B78"/>
    <w:rsid w:val="00B672B4"/>
    <w:rsid w:val="00BA1E84"/>
    <w:rsid w:val="00BB0DBD"/>
    <w:rsid w:val="00BB0EB7"/>
    <w:rsid w:val="00BC6CA1"/>
    <w:rsid w:val="00BD1A7A"/>
    <w:rsid w:val="00BD2D68"/>
    <w:rsid w:val="00BD3712"/>
    <w:rsid w:val="00BF3CFC"/>
    <w:rsid w:val="00C2099F"/>
    <w:rsid w:val="00C22A14"/>
    <w:rsid w:val="00C251DC"/>
    <w:rsid w:val="00C26DAA"/>
    <w:rsid w:val="00C426BD"/>
    <w:rsid w:val="00C4342C"/>
    <w:rsid w:val="00C50457"/>
    <w:rsid w:val="00C62950"/>
    <w:rsid w:val="00C63190"/>
    <w:rsid w:val="00C655E9"/>
    <w:rsid w:val="00C6703E"/>
    <w:rsid w:val="00C74EE4"/>
    <w:rsid w:val="00C81FF3"/>
    <w:rsid w:val="00C824F4"/>
    <w:rsid w:val="00C84389"/>
    <w:rsid w:val="00C849B2"/>
    <w:rsid w:val="00C93E40"/>
    <w:rsid w:val="00C94327"/>
    <w:rsid w:val="00C9767D"/>
    <w:rsid w:val="00CA1167"/>
    <w:rsid w:val="00CA1D8B"/>
    <w:rsid w:val="00CA6DCF"/>
    <w:rsid w:val="00CB5E9C"/>
    <w:rsid w:val="00CC72F5"/>
    <w:rsid w:val="00CD0B56"/>
    <w:rsid w:val="00CD5751"/>
    <w:rsid w:val="00CF2EF0"/>
    <w:rsid w:val="00CF38B1"/>
    <w:rsid w:val="00D06AF4"/>
    <w:rsid w:val="00D073D4"/>
    <w:rsid w:val="00D11B40"/>
    <w:rsid w:val="00D137B5"/>
    <w:rsid w:val="00D16931"/>
    <w:rsid w:val="00D25C1A"/>
    <w:rsid w:val="00D3607C"/>
    <w:rsid w:val="00D37DFE"/>
    <w:rsid w:val="00D407B1"/>
    <w:rsid w:val="00D429C8"/>
    <w:rsid w:val="00D44B02"/>
    <w:rsid w:val="00D50A04"/>
    <w:rsid w:val="00D55D2F"/>
    <w:rsid w:val="00D56376"/>
    <w:rsid w:val="00D62479"/>
    <w:rsid w:val="00D6512D"/>
    <w:rsid w:val="00D96813"/>
    <w:rsid w:val="00D97CB2"/>
    <w:rsid w:val="00DB4887"/>
    <w:rsid w:val="00DB4AC8"/>
    <w:rsid w:val="00DB5CC6"/>
    <w:rsid w:val="00DB7926"/>
    <w:rsid w:val="00DD035D"/>
    <w:rsid w:val="00DD292E"/>
    <w:rsid w:val="00DD2ED6"/>
    <w:rsid w:val="00DF04C4"/>
    <w:rsid w:val="00E03339"/>
    <w:rsid w:val="00E0597D"/>
    <w:rsid w:val="00E07FFE"/>
    <w:rsid w:val="00E10908"/>
    <w:rsid w:val="00E10E3B"/>
    <w:rsid w:val="00E1128E"/>
    <w:rsid w:val="00E36715"/>
    <w:rsid w:val="00E4009F"/>
    <w:rsid w:val="00E42713"/>
    <w:rsid w:val="00E459CE"/>
    <w:rsid w:val="00E50F05"/>
    <w:rsid w:val="00E51C63"/>
    <w:rsid w:val="00E57EA7"/>
    <w:rsid w:val="00E74AF6"/>
    <w:rsid w:val="00E81976"/>
    <w:rsid w:val="00E839E6"/>
    <w:rsid w:val="00E85013"/>
    <w:rsid w:val="00E9011C"/>
    <w:rsid w:val="00EA3F12"/>
    <w:rsid w:val="00EA7738"/>
    <w:rsid w:val="00EE3F72"/>
    <w:rsid w:val="00EF12E9"/>
    <w:rsid w:val="00EF1850"/>
    <w:rsid w:val="00EF6D46"/>
    <w:rsid w:val="00F0149F"/>
    <w:rsid w:val="00F050BC"/>
    <w:rsid w:val="00F25CE6"/>
    <w:rsid w:val="00F33C27"/>
    <w:rsid w:val="00F570C8"/>
    <w:rsid w:val="00F5748B"/>
    <w:rsid w:val="00F629C5"/>
    <w:rsid w:val="00F65CCF"/>
    <w:rsid w:val="00F74370"/>
    <w:rsid w:val="00F75F84"/>
    <w:rsid w:val="00F777CA"/>
    <w:rsid w:val="00F77BC2"/>
    <w:rsid w:val="00F83E8A"/>
    <w:rsid w:val="00F85E15"/>
    <w:rsid w:val="00F96533"/>
    <w:rsid w:val="00F97681"/>
    <w:rsid w:val="00FA3B9D"/>
    <w:rsid w:val="00FA40E0"/>
    <w:rsid w:val="00FB3006"/>
    <w:rsid w:val="00FB47B5"/>
    <w:rsid w:val="00FD5D33"/>
    <w:rsid w:val="00FE6A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3095FC0B"/>
  <w15:chartTrackingRefBased/>
  <w15:docId w15:val="{64F0AAB4-C068-406E-B31E-03F26806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autoRedefine/>
    <w:qFormat/>
    <w:rsid w:val="00A936FD"/>
    <w:pPr>
      <w:numPr>
        <w:numId w:val="1"/>
      </w:numPr>
      <w:shd w:val="clear" w:color="auto" w:fill="99CCFF"/>
      <w:tabs>
        <w:tab w:val="left" w:pos="709"/>
      </w:tabs>
      <w:spacing w:before="120" w:after="120"/>
      <w:outlineLvl w:val="0"/>
    </w:pPr>
    <w:rPr>
      <w:rFonts w:cs="Times New Roman"/>
      <w:b/>
      <w:szCs w:val="24"/>
    </w:rPr>
  </w:style>
  <w:style w:type="paragraph" w:styleId="berschrift2">
    <w:name w:val="heading 2"/>
    <w:basedOn w:val="berschrift1"/>
    <w:next w:val="Absatz0"/>
    <w:qFormat/>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spacing w:before="40" w:after="60"/>
    </w:pPr>
    <w:rPr>
      <w:rFonts w:ascii="Arial (W1)" w:hAnsi="Arial (W1)"/>
      <w:b/>
      <w:sz w:val="24"/>
      <w:szCs w:val="24"/>
    </w:rPr>
  </w:style>
  <w:style w:type="character" w:styleId="Seitenzahl">
    <w:name w:val="page number"/>
    <w:basedOn w:val="Absatz-Standardschriftart"/>
  </w:style>
  <w:style w:type="paragraph" w:customStyle="1" w:styleId="AufzhlunginTabelle">
    <w:name w:val="Aufzählung in Tabelle"/>
    <w:basedOn w:val="Standard"/>
    <w:pPr>
      <w:numPr>
        <w:numId w:val="8"/>
      </w:numPr>
    </w:pPr>
    <w:rPr>
      <w:color w:val="000000"/>
      <w:szCs w:val="21"/>
    </w:rPr>
  </w:style>
  <w:style w:type="paragraph" w:customStyle="1" w:styleId="WeisungStandard">
    <w:name w:val="Weisung Standard"/>
    <w:basedOn w:val="Standard"/>
    <w:pPr>
      <w:spacing w:before="20" w:after="20"/>
    </w:pPr>
    <w:rPr>
      <w:szCs w:val="24"/>
    </w:rPr>
  </w:style>
  <w:style w:type="paragraph" w:customStyle="1" w:styleId="WeisungAufzhlung">
    <w:name w:val="Weisung Aufzählung"/>
    <w:basedOn w:val="WeisungStandard"/>
    <w:pPr>
      <w:numPr>
        <w:numId w:val="9"/>
      </w:numPr>
    </w:pPr>
  </w:style>
  <w:style w:type="paragraph" w:customStyle="1" w:styleId="TabelleAufzhlung">
    <w:name w:val="Tabelle Aufzählung"/>
    <w:basedOn w:val="Standard"/>
    <w:pPr>
      <w:numPr>
        <w:numId w:val="10"/>
      </w:numPr>
      <w:spacing w:after="20"/>
    </w:pPr>
    <w:rPr>
      <w:rFonts w:cs="Times New Roman"/>
    </w:rPr>
  </w:style>
  <w:style w:type="character" w:styleId="Hyperlink">
    <w:name w:val="Hyperlink"/>
    <w:uiPriority w:val="99"/>
    <w:rPr>
      <w:color w:val="0000FF"/>
      <w:u w:val="single"/>
    </w:rPr>
  </w:style>
  <w:style w:type="character" w:customStyle="1" w:styleId="BesuchterHyperlink">
    <w:name w:val="BesuchterHyperlink"/>
    <w:rPr>
      <w:color w:val="800080"/>
      <w:u w:val="single"/>
    </w:rPr>
  </w:style>
  <w:style w:type="table" w:customStyle="1" w:styleId="Tabellengitternetz">
    <w:name w:val="Tabellengitternetz"/>
    <w:basedOn w:val="NormaleTabelle"/>
    <w:rsid w:val="00060E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D407B1"/>
    <w:rPr>
      <w:rFonts w:ascii="Tahoma" w:hAnsi="Tahoma" w:cs="Tahoma"/>
      <w:sz w:val="16"/>
      <w:szCs w:val="16"/>
    </w:rPr>
  </w:style>
  <w:style w:type="character" w:customStyle="1" w:styleId="SprechblasentextZchn">
    <w:name w:val="Sprechblasentext Zchn"/>
    <w:link w:val="Sprechblasentext"/>
    <w:rsid w:val="00D407B1"/>
    <w:rPr>
      <w:rFonts w:ascii="Tahoma" w:hAnsi="Tahoma" w:cs="Tahoma"/>
      <w:sz w:val="16"/>
      <w:szCs w:val="16"/>
      <w:lang w:eastAsia="de-DE"/>
    </w:rPr>
  </w:style>
  <w:style w:type="character" w:styleId="Kommentarzeichen">
    <w:name w:val="annotation reference"/>
    <w:rsid w:val="00EA7738"/>
    <w:rPr>
      <w:sz w:val="16"/>
      <w:szCs w:val="16"/>
    </w:rPr>
  </w:style>
  <w:style w:type="paragraph" w:styleId="Kommentartext">
    <w:name w:val="annotation text"/>
    <w:basedOn w:val="Standard"/>
    <w:link w:val="KommentartextZchn"/>
    <w:rsid w:val="00EA7738"/>
    <w:rPr>
      <w:sz w:val="20"/>
    </w:rPr>
  </w:style>
  <w:style w:type="character" w:customStyle="1" w:styleId="KommentartextZchn">
    <w:name w:val="Kommentartext Zchn"/>
    <w:link w:val="Kommentartext"/>
    <w:rsid w:val="00EA7738"/>
    <w:rPr>
      <w:rFonts w:ascii="Arial" w:hAnsi="Arial" w:cs="Arial"/>
      <w:lang w:eastAsia="de-DE"/>
    </w:rPr>
  </w:style>
  <w:style w:type="paragraph" w:styleId="Kommentarthema">
    <w:name w:val="annotation subject"/>
    <w:basedOn w:val="Kommentartext"/>
    <w:next w:val="Kommentartext"/>
    <w:link w:val="KommentarthemaZchn"/>
    <w:rsid w:val="00EA7738"/>
    <w:rPr>
      <w:b/>
      <w:bCs/>
    </w:rPr>
  </w:style>
  <w:style w:type="character" w:customStyle="1" w:styleId="KommentarthemaZchn">
    <w:name w:val="Kommentarthema Zchn"/>
    <w:link w:val="Kommentarthema"/>
    <w:rsid w:val="00EA7738"/>
    <w:rPr>
      <w:rFonts w:ascii="Arial" w:hAnsi="Arial" w:cs="Arial"/>
      <w:b/>
      <w:bCs/>
      <w:lang w:eastAsia="de-DE"/>
    </w:rPr>
  </w:style>
  <w:style w:type="table" w:styleId="Tabellenraster">
    <w:name w:val="Table Grid"/>
    <w:basedOn w:val="NormaleTabelle"/>
    <w:rsid w:val="00322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10198"/>
    <w:pPr>
      <w:ind w:left="720"/>
      <w:contextualSpacing/>
    </w:pPr>
  </w:style>
  <w:style w:type="character" w:styleId="BesuchterLink">
    <w:name w:val="FollowedHyperlink"/>
    <w:basedOn w:val="Absatz-Standardschriftart"/>
    <w:rsid w:val="00A77BAD"/>
    <w:rPr>
      <w:color w:val="954F72" w:themeColor="followedHyperlink"/>
      <w:u w:val="single"/>
    </w:rPr>
  </w:style>
  <w:style w:type="character" w:customStyle="1" w:styleId="Absatz0Zchn">
    <w:name w:val="Absatz 0 Zchn"/>
    <w:link w:val="Absatz0"/>
    <w:rsid w:val="00B51E8A"/>
    <w:rPr>
      <w:rFonts w:ascii="Arial" w:hAnsi="Arial" w:cs="Arial"/>
      <w:sz w:val="22"/>
      <w:lang w:eastAsia="de-DE"/>
    </w:rPr>
  </w:style>
  <w:style w:type="paragraph" w:styleId="berarbeitung">
    <w:name w:val="Revision"/>
    <w:hidden/>
    <w:uiPriority w:val="99"/>
    <w:semiHidden/>
    <w:rsid w:val="00E07FFE"/>
    <w:rPr>
      <w:rFonts w:ascii="Arial" w:hAnsi="Arial" w:cs="Arial"/>
      <w:sz w:val="22"/>
      <w:lang w:eastAsia="de-DE"/>
    </w:rPr>
  </w:style>
  <w:style w:type="character" w:styleId="Funotenzeichen">
    <w:name w:val="footnote reference"/>
    <w:basedOn w:val="Absatz-Standardschriftart"/>
    <w:rsid w:val="001728EC"/>
    <w:rPr>
      <w:vertAlign w:val="superscript"/>
    </w:rPr>
  </w:style>
  <w:style w:type="paragraph" w:styleId="Funotentext">
    <w:name w:val="footnote text"/>
    <w:basedOn w:val="Standard"/>
    <w:link w:val="FunotentextZchn"/>
    <w:rsid w:val="001728EC"/>
    <w:rPr>
      <w:sz w:val="20"/>
    </w:rPr>
  </w:style>
  <w:style w:type="character" w:customStyle="1" w:styleId="FunotentextZchn">
    <w:name w:val="Fußnotentext Zchn"/>
    <w:basedOn w:val="Absatz-Standardschriftart"/>
    <w:link w:val="Funotentext"/>
    <w:rsid w:val="001728EC"/>
    <w:rPr>
      <w:rFonts w:ascii="Arial" w:hAnsi="Arial" w:cs="Arial"/>
      <w:lang w:eastAsia="de-DE"/>
    </w:rPr>
  </w:style>
  <w:style w:type="paragraph" w:styleId="KeinLeerraum">
    <w:name w:val="No Spacing"/>
    <w:uiPriority w:val="1"/>
    <w:qFormat/>
    <w:rsid w:val="00D50A04"/>
    <w:rPr>
      <w:rFonts w:ascii="Arial" w:hAnsi="Arial" w:cs="Arial"/>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33942">
      <w:bodyDiv w:val="1"/>
      <w:marLeft w:val="0"/>
      <w:marRight w:val="0"/>
      <w:marTop w:val="0"/>
      <w:marBottom w:val="0"/>
      <w:divBdr>
        <w:top w:val="none" w:sz="0" w:space="0" w:color="auto"/>
        <w:left w:val="none" w:sz="0" w:space="0" w:color="auto"/>
        <w:bottom w:val="none" w:sz="0" w:space="0" w:color="auto"/>
        <w:right w:val="none" w:sz="0" w:space="0" w:color="auto"/>
      </w:divBdr>
    </w:div>
    <w:div w:id="305858400">
      <w:bodyDiv w:val="1"/>
      <w:marLeft w:val="0"/>
      <w:marRight w:val="0"/>
      <w:marTop w:val="0"/>
      <w:marBottom w:val="0"/>
      <w:divBdr>
        <w:top w:val="none" w:sz="0" w:space="0" w:color="auto"/>
        <w:left w:val="none" w:sz="0" w:space="0" w:color="auto"/>
        <w:bottom w:val="none" w:sz="0" w:space="0" w:color="auto"/>
        <w:right w:val="none" w:sz="0" w:space="0" w:color="auto"/>
      </w:divBdr>
    </w:div>
    <w:div w:id="870536547">
      <w:bodyDiv w:val="1"/>
      <w:marLeft w:val="0"/>
      <w:marRight w:val="0"/>
      <w:marTop w:val="0"/>
      <w:marBottom w:val="0"/>
      <w:divBdr>
        <w:top w:val="none" w:sz="0" w:space="0" w:color="auto"/>
        <w:left w:val="none" w:sz="0" w:space="0" w:color="auto"/>
        <w:bottom w:val="none" w:sz="0" w:space="0" w:color="auto"/>
        <w:right w:val="none" w:sz="0" w:space="0" w:color="auto"/>
      </w:divBdr>
    </w:div>
    <w:div w:id="1127744529">
      <w:bodyDiv w:val="1"/>
      <w:marLeft w:val="0"/>
      <w:marRight w:val="0"/>
      <w:marTop w:val="0"/>
      <w:marBottom w:val="0"/>
      <w:divBdr>
        <w:top w:val="none" w:sz="0" w:space="0" w:color="auto"/>
        <w:left w:val="none" w:sz="0" w:space="0" w:color="auto"/>
        <w:bottom w:val="none" w:sz="0" w:space="0" w:color="auto"/>
        <w:right w:val="none" w:sz="0" w:space="0" w:color="auto"/>
      </w:divBdr>
    </w:div>
    <w:div w:id="1181969613">
      <w:bodyDiv w:val="1"/>
      <w:marLeft w:val="0"/>
      <w:marRight w:val="0"/>
      <w:marTop w:val="0"/>
      <w:marBottom w:val="0"/>
      <w:divBdr>
        <w:top w:val="none" w:sz="0" w:space="0" w:color="auto"/>
        <w:left w:val="none" w:sz="0" w:space="0" w:color="auto"/>
        <w:bottom w:val="none" w:sz="0" w:space="0" w:color="auto"/>
        <w:right w:val="none" w:sz="0" w:space="0" w:color="auto"/>
      </w:divBdr>
    </w:div>
    <w:div w:id="1192188232">
      <w:bodyDiv w:val="1"/>
      <w:marLeft w:val="0"/>
      <w:marRight w:val="0"/>
      <w:marTop w:val="0"/>
      <w:marBottom w:val="0"/>
      <w:divBdr>
        <w:top w:val="none" w:sz="0" w:space="0" w:color="auto"/>
        <w:left w:val="none" w:sz="0" w:space="0" w:color="auto"/>
        <w:bottom w:val="none" w:sz="0" w:space="0" w:color="auto"/>
        <w:right w:val="none" w:sz="0" w:space="0" w:color="auto"/>
      </w:divBdr>
    </w:div>
    <w:div w:id="1593393915">
      <w:bodyDiv w:val="1"/>
      <w:marLeft w:val="0"/>
      <w:marRight w:val="0"/>
      <w:marTop w:val="0"/>
      <w:marBottom w:val="0"/>
      <w:divBdr>
        <w:top w:val="none" w:sz="0" w:space="0" w:color="auto"/>
        <w:left w:val="none" w:sz="0" w:space="0" w:color="auto"/>
        <w:bottom w:val="none" w:sz="0" w:space="0" w:color="auto"/>
        <w:right w:val="none" w:sz="0" w:space="0" w:color="auto"/>
      </w:divBdr>
    </w:div>
    <w:div w:id="1875775718">
      <w:bodyDiv w:val="1"/>
      <w:marLeft w:val="0"/>
      <w:marRight w:val="0"/>
      <w:marTop w:val="0"/>
      <w:marBottom w:val="0"/>
      <w:divBdr>
        <w:top w:val="none" w:sz="0" w:space="0" w:color="auto"/>
        <w:left w:val="none" w:sz="0" w:space="0" w:color="auto"/>
        <w:bottom w:val="none" w:sz="0" w:space="0" w:color="auto"/>
        <w:right w:val="none" w:sz="0" w:space="0" w:color="auto"/>
      </w:divBdr>
    </w:div>
    <w:div w:id="2127196091">
      <w:bodyDiv w:val="1"/>
      <w:marLeft w:val="0"/>
      <w:marRight w:val="0"/>
      <w:marTop w:val="0"/>
      <w:marBottom w:val="0"/>
      <w:divBdr>
        <w:top w:val="none" w:sz="0" w:space="0" w:color="auto"/>
        <w:left w:val="none" w:sz="0" w:space="0" w:color="auto"/>
        <w:bottom w:val="none" w:sz="0" w:space="0" w:color="auto"/>
        <w:right w:val="none" w:sz="0" w:space="0" w:color="auto"/>
      </w:divBdr>
    </w:div>
    <w:div w:id="213440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ozeloixps.global.szh.loc/ix-SOZ_ELO_DM01/plugin/de.elo.ix.plugin.proxy/web/pages/startup.jsp?useSSO=true&amp;guid=(8D895EE2-6A5A-4928-4F6E-2EDBAFE64FF1)"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sozeloixps.global.szh.loc/ix-SOZ_ELO_DM01/plugin/de.elo.ix.plugin.proxy/web/pages/startup.jsp?useSSO=true&amp;guid=(8D895EE2-6A5A-4928-4F6E-2EDBAFE64FF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ozeloixps.global.szh.loc/ix-SOZ_ELO_DM01/plugin/de.elo.ix.plugin.proxy/web/pages/startup.jsp?useSSO=true&amp;guid=(E75309F1-E1A7-DA83-01CE-1C2455A2822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ozeloixps.global.szh.loc/ix-SOZ_ELO_DM01/plugin/de.elo.ix.plugin.proxy/web/pages/startup.jsp?useSSO=true&amp;guid=(E75309F1-E1A7-DA83-01CE-1C2455A28224)"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ozeloixps.global.szh.loc/ix-SOZ_ELO_DM01/plugin/de.elo.ix.plugin.proxy/web/pages/startup.jsp?useSSO=true&amp;guid=(E75309F1-E1A7-DA83-01CE-1C2455A28224)"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9FBFA0E37146D4A861DECA80D43BECE" ma:contentTypeVersion="1" ma:contentTypeDescription="Ein neues Dokument erstellen." ma:contentTypeScope="" ma:versionID="997f72e1a18b4be74a769ca833060731">
  <xsd:schema xmlns:xsd="http://www.w3.org/2001/XMLSchema" xmlns:xs="http://www.w3.org/2001/XMLSchema" xmlns:p="http://schemas.microsoft.com/office/2006/metadata/properties" xmlns:ns2="cf7ff523-848d-4a67-9798-74209b6140dd" targetNamespace="http://schemas.microsoft.com/office/2006/metadata/properties" ma:root="true" ma:fieldsID="096b1aad6503c2c95bc8062f2b2772a2" ns2:_="">
    <xsd:import namespace="cf7ff523-848d-4a67-9798-74209b6140d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ff523-848d-4a67-9798-74209b6140d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LongProp xmlns="" name="WorkflowChangePath"><![CDATA[52675646-02d6-422a-bf6f-0a8dd6281eff,6;52675646-02d6-422a-bf6f-0a8dd6281eff,8;52675646-02d6-422a-bf6f-0a8dd6281eff,10;0d2b39e8-dd18-4502-a924-40335b5a9ad4,12;0d2b39e8-dd18-4502-a924-40335b5a9ad4,14;1dbebda2-0151-441b-bad0-3a4bc52a6e32,21;341fbddd-ec65-48e1-adf9-5a4e166d833e,24;7dbe9e3d-1110-41fa-836b-195a3e49061c,6;7dbe9e3d-1110-41fa-836b-195a3e49061c,8;]]></LongProp>
</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BDD7A-2B19-4D8A-B324-032079610C19}">
  <ds:schemaRefs>
    <ds:schemaRef ds:uri="http://schemas.microsoft.com/sharepoint/v3/contenttype/forms"/>
  </ds:schemaRefs>
</ds:datastoreItem>
</file>

<file path=customXml/itemProps2.xml><?xml version="1.0" encoding="utf-8"?>
<ds:datastoreItem xmlns:ds="http://schemas.openxmlformats.org/officeDocument/2006/customXml" ds:itemID="{F309C22E-D482-4E5C-901B-852948DD1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ff523-848d-4a67-9798-74209b614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0952C4-FD0A-4B54-9702-126065046D31}">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D21B1424-C078-45E4-A89B-C1B72724384C}">
  <ds:schemaRefs>
    <ds:schemaRef ds:uri="http://purl.org/dc/terms/"/>
    <ds:schemaRef ds:uri="cf7ff523-848d-4a67-9798-74209b6140dd"/>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45EB113A-AF9D-439F-AAC4-C474CC006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6816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HAW Notunterbringung in Hotels und Pensionen</vt:lpstr>
    </vt:vector>
  </TitlesOfParts>
  <Company>Soziale Dienste der Stadt Zürich</Company>
  <LinksUpToDate>false</LinksUpToDate>
  <CharactersWithSpaces>7645</CharactersWithSpaces>
  <SharedDoc>false</SharedDoc>
  <HLinks>
    <vt:vector size="6" baseType="variant">
      <vt:variant>
        <vt:i4>5046290</vt:i4>
      </vt:variant>
      <vt:variant>
        <vt:i4>0</vt:i4>
      </vt:variant>
      <vt:variant>
        <vt:i4>0</vt:i4>
      </vt:variant>
      <vt:variant>
        <vt:i4>5</vt:i4>
      </vt:variant>
      <vt:variant>
        <vt:lpwstr>http://sd.intra.stzh.ch/intranet/sd/sod/leistungen_intake/wirtschaftliche_sozialhilfe/SKOS_B.ParagraphContainerList.ParagraphContainer0.ParagraphList.0012.File.pdf/HAW_Notunterbringung_Hotel_Pensionen.pdf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Notunterbringung in Hotels und Pensionen</dc:title>
  <dc:subject>SKOS B</dc:subject>
  <dc:creator>Team FG</dc:creator>
  <cp:keywords/>
  <dc:description>Notunterbringung Hotels Pensionen</dc:description>
  <cp:lastModifiedBy>Leonardo Biasio (sozcjm)</cp:lastModifiedBy>
  <cp:revision>10</cp:revision>
  <cp:lastPrinted>2017-09-28T08:01:00Z</cp:lastPrinted>
  <dcterms:created xsi:type="dcterms:W3CDTF">2022-01-06T14:54:00Z</dcterms:created>
  <dcterms:modified xsi:type="dcterms:W3CDTF">2022-02-24T15:13:00Z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art">
    <vt:lpwstr>2</vt:lpwstr>
  </property>
  <property fmtid="{D5CDD505-2E9C-101B-9397-08002B2CF9AE}" pid="3" name="PublishingContact">
    <vt:lpwstr/>
  </property>
  <property fmtid="{D5CDD505-2E9C-101B-9397-08002B2CF9AE}" pid="4" name="PublishingPreviewImage">
    <vt:lpwstr>, </vt:lpwstr>
  </property>
  <property fmtid="{D5CDD505-2E9C-101B-9397-08002B2CF9AE}" pid="5" name="PublishingHidden">
    <vt:lpwstr>0</vt:lpwstr>
  </property>
  <property fmtid="{D5CDD505-2E9C-101B-9397-08002B2CF9AE}" pid="6" name="PublishingAssociatedVariations">
    <vt:lpwstr/>
  </property>
  <property fmtid="{D5CDD505-2E9C-101B-9397-08002B2CF9AE}" pid="7" name="ContentType">
    <vt:lpwstr>SOD Handlungsanweisung (HAW)</vt:lpwstr>
  </property>
  <property fmtid="{D5CDD505-2E9C-101B-9397-08002B2CF9AE}" pid="8" name="Subject">
    <vt:lpwstr>SKOS B</vt:lpwstr>
  </property>
  <property fmtid="{D5CDD505-2E9C-101B-9397-08002B2CF9AE}" pid="9" name="Keywords">
    <vt:lpwstr/>
  </property>
  <property fmtid="{D5CDD505-2E9C-101B-9397-08002B2CF9AE}" pid="10" name="_Author">
    <vt:lpwstr>Team FG</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Notunterbringung Hotels Pensionen </vt:lpwstr>
  </property>
  <property fmtid="{D5CDD505-2E9C-101B-9397-08002B2CF9AE}" pid="15" name="Assigned To">
    <vt:lpwstr/>
  </property>
  <property fmtid="{D5CDD505-2E9C-101B-9397-08002B2CF9AE}" pid="16" name="Bemerkungen">
    <vt:lpwstr/>
  </property>
  <property fmtid="{D5CDD505-2E9C-101B-9397-08002B2CF9AE}" pid="17" name="ContentTypeId">
    <vt:lpwstr>0x01010029FBFA0E37146D4A861DECA80D43BECE</vt:lpwstr>
  </property>
  <property fmtid="{D5CDD505-2E9C-101B-9397-08002B2CF9AE}" pid="18" name="Dokumentennummer">
    <vt:lpwstr/>
  </property>
  <property fmtid="{D5CDD505-2E9C-101B-9397-08002B2CF9AE}" pid="19" name="Zielgruppen">
    <vt:lpwstr/>
  </property>
  <property fmtid="{D5CDD505-2E9C-101B-9397-08002B2CF9AE}" pid="20" name="Gültig ab">
    <vt:lpwstr>2010-07-26T11:20:11Z</vt:lpwstr>
  </property>
  <property fmtid="{D5CDD505-2E9C-101B-9397-08002B2CF9AE}" pid="21" name="Zurdnung Thema">
    <vt:lpwstr>16;#Notfall;#28;#Wohnen;#29;#WSH</vt:lpwstr>
  </property>
  <property fmtid="{D5CDD505-2E9C-101B-9397-08002B2CF9AE}" pid="22" name="Leistung">
    <vt:lpwstr>8</vt:lpwstr>
  </property>
  <property fmtid="{D5CDD505-2E9C-101B-9397-08002B2CF9AE}" pid="23" name="SKOS-Kapitel">
    <vt:lpwstr>2;#</vt:lpwstr>
  </property>
  <property fmtid="{D5CDD505-2E9C-101B-9397-08002B2CF9AE}" pid="24" name="Spezialdienste">
    <vt:lpwstr/>
  </property>
  <property fmtid="{D5CDD505-2E9C-101B-9397-08002B2CF9AE}" pid="25" name="Zielgruppe">
    <vt:lpwstr>1;#EFH Familienprofil;#2;#EFH Erwachsenenprofil;#3;#EFH Intake</vt:lpwstr>
  </property>
  <property fmtid="{D5CDD505-2E9C-101B-9397-08002B2CF9AE}" pid="26" name="Order">
    <vt:lpwstr>3300.00000000000</vt:lpwstr>
  </property>
  <property fmtid="{D5CDD505-2E9C-101B-9397-08002B2CF9AE}" pid="27" name="Document Owner">
    <vt:lpwstr/>
  </property>
  <property fmtid="{D5CDD505-2E9C-101B-9397-08002B2CF9AE}" pid="28" name="SKOS Kapitel">
    <vt:lpwstr>2;#B</vt:lpwstr>
  </property>
  <property fmtid="{D5CDD505-2E9C-101B-9397-08002B2CF9AE}" pid="29" name="Überarbeitungsdatum">
    <vt:lpwstr>2012-03-02T00:00:00Z</vt:lpwstr>
  </property>
  <property fmtid="{D5CDD505-2E9C-101B-9397-08002B2CF9AE}" pid="30" name="Thema">
    <vt:lpwstr/>
  </property>
  <property fmtid="{D5CDD505-2E9C-101B-9397-08002B2CF9AE}" pid="31" name="Zielgruppe(n)">
    <vt:lpwstr/>
  </property>
  <property fmtid="{D5CDD505-2E9C-101B-9397-08002B2CF9AE}" pid="32" name="Gültig von">
    <vt:lpwstr>2010-07-26T00:00:00Z</vt:lpwstr>
  </property>
  <property fmtid="{D5CDD505-2E9C-101B-9397-08002B2CF9AE}" pid="33" name="Kurzbeschreibung Dokument">
    <vt:lpwstr>&lt;div&gt;&lt;/div&gt;</vt:lpwstr>
  </property>
  <property fmtid="{D5CDD505-2E9C-101B-9397-08002B2CF9AE}" pid="34" name="Inhaltliche Verknüpfungen">
    <vt:lpwstr/>
  </property>
  <property fmtid="{D5CDD505-2E9C-101B-9397-08002B2CF9AE}" pid="35" name="display_urn:schemas-microsoft-com:office:office#Editor">
    <vt:lpwstr>Hohermuth Ivo (SD)</vt:lpwstr>
  </property>
  <property fmtid="{D5CDD505-2E9C-101B-9397-08002B2CF9AE}" pid="36" name="TemplateUrl">
    <vt:lpwstr/>
  </property>
  <property fmtid="{D5CDD505-2E9C-101B-9397-08002B2CF9AE}" pid="37" name="xd_ProgID">
    <vt:lpwstr/>
  </property>
  <property fmtid="{D5CDD505-2E9C-101B-9397-08002B2CF9AE}" pid="38" name="display_urn:schemas-microsoft-com:office:office#Author">
    <vt:lpwstr>Hohermuth Ivo (SD)</vt:lpwstr>
  </property>
  <property fmtid="{D5CDD505-2E9C-101B-9397-08002B2CF9AE}" pid="39" name="_dlc_DocId">
    <vt:lpwstr>SDSOD-119-61</vt:lpwstr>
  </property>
  <property fmtid="{D5CDD505-2E9C-101B-9397-08002B2CF9AE}" pid="40" name="_dlc_DocIdUrl">
    <vt:lpwstr>http://portal.sd.intra.stzh.ch/sod/regelwerk/_layouts/DocIdRedir.aspx?ID=SDSOD-119-61, SDSOD-119-61</vt:lpwstr>
  </property>
  <property fmtid="{D5CDD505-2E9C-101B-9397-08002B2CF9AE}" pid="41" name="_dlc_DocIdItemGuid">
    <vt:lpwstr>13e72ce9-f97c-4582-bd6a-b0aacf1815ed</vt:lpwstr>
  </property>
  <property fmtid="{D5CDD505-2E9C-101B-9397-08002B2CF9AE}" pid="42" name="WorkflowChangePath">
    <vt:lpwstr>52675646-02d6-422a-bf6f-0a8dd6281eff,6;52675646-02d6-422a-bf6f-0a8dd6281eff,8;52675646-02d6-422a-bf6f-0a8dd6281eff,10;0d2b39e8-dd18-4502-a924-40335b5a9ad4,12;0d2b39e8-dd18-4502-a924-40335b5a9ad4,14;1dbebda2-0151-441b-bad0-3a4bc52a6e32,21;341fbddd-ec65-48e</vt:lpwstr>
  </property>
  <property fmtid="{D5CDD505-2E9C-101B-9397-08002B2CF9AE}" pid="43" name="Fachkonzept">
    <vt:lpwstr>9</vt:lpwstr>
  </property>
  <property fmtid="{D5CDD505-2E9C-101B-9397-08002B2CF9AE}" pid="44" name="Fachressorts">
    <vt:lpwstr>5;#Wirtschaftliche Hilfe</vt:lpwstr>
  </property>
  <property fmtid="{D5CDD505-2E9C-101B-9397-08002B2CF9AE}" pid="45" name="Dokumentenart0">
    <vt:lpwstr>2</vt:lpwstr>
  </property>
  <property fmtid="{D5CDD505-2E9C-101B-9397-08002B2CF9AE}" pid="46" name="Dokumentenstatus">
    <vt:lpwstr>3</vt:lpwstr>
  </property>
  <property fmtid="{D5CDD505-2E9C-101B-9397-08002B2CF9AE}" pid="47" name="Verantwortliche/r Autor/in">
    <vt:lpwstr/>
  </property>
  <property fmtid="{D5CDD505-2E9C-101B-9397-08002B2CF9AE}" pid="48" name="Federführende/s Fachressort/Einheit">
    <vt:lpwstr>3</vt:lpwstr>
  </property>
  <property fmtid="{D5CDD505-2E9C-101B-9397-08002B2CF9AE}" pid="49" name="Zu konsultierende/-s Fachressort/-s">
    <vt:lpwstr>1;#;#2;#;#3;#;#5;#</vt:lpwstr>
  </property>
  <property fmtid="{D5CDD505-2E9C-101B-9397-08002B2CF9AE}" pid="50" name="Version des Dokuments">
    <vt:lpwstr/>
  </property>
  <property fmtid="{D5CDD505-2E9C-101B-9397-08002B2CF9AE}" pid="51" name="Dokumentenart1">
    <vt:lpwstr>SOD Handlungsanweisung (HAW)</vt:lpwstr>
  </property>
  <property fmtid="{D5CDD505-2E9C-101B-9397-08002B2CF9AE}" pid="52" name="Kontaktperson für SOD KOM">
    <vt:lpwstr>6;#i:0#.w|global\sozhhi</vt:lpwstr>
  </property>
  <property fmtid="{D5CDD505-2E9C-101B-9397-08002B2CF9AE}" pid="53" name="display_urn:schemas-microsoft-com:office:office#Kontaktperson_x0020_f_x00fc_r_x0020_SOD_x0020_KOM">
    <vt:lpwstr>Hohermuth Ivo (SD)</vt:lpwstr>
  </property>
  <property fmtid="{D5CDD505-2E9C-101B-9397-08002B2CF9AE}" pid="54" name="Thematische Zuordnung Fachressort(s)">
    <vt:lpwstr>5;#</vt:lpwstr>
  </property>
  <property fmtid="{D5CDD505-2E9C-101B-9397-08002B2CF9AE}" pid="55" name="Herausgabe bei Informationszugangsgesuchen">
    <vt:lpwstr>Herausgabe durch Direktorin zu prüfen</vt:lpwstr>
  </property>
  <property fmtid="{D5CDD505-2E9C-101B-9397-08002B2CF9AE}" pid="56" name="Gesetzliche Grundlage">
    <vt:lpwstr/>
  </property>
  <property fmtid="{D5CDD505-2E9C-101B-9397-08002B2CF9AE}" pid="57" name="Gültig bis">
    <vt:lpwstr/>
  </property>
  <property fmtid="{D5CDD505-2E9C-101B-9397-08002B2CF9AE}" pid="58" name="ka528af28a094f5abf754d5f0fa26795">
    <vt:lpwstr>SOD|d2ca4cc4-367d-4a9a-a3b2-38906409b4ae</vt:lpwstr>
  </property>
  <property fmtid="{D5CDD505-2E9C-101B-9397-08002B2CF9AE}" pid="59" name="IntraZueriMandant">
    <vt:lpwstr>1;#SOD|d2ca4cc4-367d-4a9a-a3b2-38906409b4ae</vt:lpwstr>
  </property>
</Properties>
</file>