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D2519" w14:textId="77777777" w:rsidR="00613C82" w:rsidRDefault="00613C82"/>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3937D4" w:rsidRPr="006930F7" w14:paraId="41E87579"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60A7ECCE" w14:textId="77777777" w:rsidR="003937D4" w:rsidRPr="006930F7" w:rsidRDefault="003937D4">
            <w:pPr>
              <w:pStyle w:val="WeisungKopfteil"/>
              <w:framePr w:hSpace="0" w:wrap="auto" w:vAnchor="margin" w:hAnchor="text" w:xAlign="left" w:yAlign="inline"/>
              <w:spacing w:after="0"/>
              <w:rPr>
                <w:b w:val="0"/>
                <w:bCs/>
                <w:sz w:val="20"/>
              </w:rPr>
            </w:pPr>
            <w:r w:rsidRPr="006930F7">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253478F3" w14:textId="6F81D34A" w:rsidR="003937D4" w:rsidRPr="006930F7" w:rsidRDefault="003937D4" w:rsidP="00A01B1A">
            <w:pPr>
              <w:pStyle w:val="WeisungKopfteil"/>
              <w:framePr w:hSpace="0" w:wrap="auto" w:vAnchor="margin" w:hAnchor="text" w:xAlign="left" w:yAlign="inline"/>
              <w:spacing w:after="0"/>
              <w:jc w:val="center"/>
              <w:rPr>
                <w:sz w:val="20"/>
              </w:rPr>
            </w:pPr>
            <w:r w:rsidRPr="006930F7">
              <w:t xml:space="preserve">Handlungsanweisung </w:t>
            </w:r>
            <w:r w:rsidR="00A01B1A">
              <w:t>der Direktion</w:t>
            </w:r>
            <w:r w:rsidRPr="006930F7">
              <w:br/>
            </w:r>
          </w:p>
        </w:tc>
        <w:bookmarkStart w:id="0" w:name="Dropdown1"/>
        <w:tc>
          <w:tcPr>
            <w:tcW w:w="2414" w:type="dxa"/>
            <w:tcBorders>
              <w:top w:val="single" w:sz="4" w:space="0" w:color="808080"/>
              <w:left w:val="single" w:sz="6" w:space="0" w:color="808080"/>
              <w:bottom w:val="nil"/>
              <w:right w:val="single" w:sz="4" w:space="0" w:color="808080"/>
            </w:tcBorders>
            <w:shd w:val="clear" w:color="auto" w:fill="F3F3F3"/>
          </w:tcPr>
          <w:p w14:paraId="6910BB25" w14:textId="77777777" w:rsidR="003937D4" w:rsidRPr="006930F7" w:rsidRDefault="003937D4">
            <w:pPr>
              <w:pStyle w:val="WeisungKopfteil"/>
              <w:framePr w:hSpace="0" w:wrap="auto" w:vAnchor="margin" w:hAnchor="text" w:xAlign="left" w:yAlign="inline"/>
              <w:spacing w:after="0"/>
              <w:ind w:right="45"/>
              <w:jc w:val="right"/>
              <w:rPr>
                <w:b w:val="0"/>
                <w:bCs/>
                <w:sz w:val="20"/>
              </w:rPr>
            </w:pPr>
            <w:r w:rsidRPr="006930F7">
              <w:fldChar w:fldCharType="begin">
                <w:ffData>
                  <w:name w:val="Dropdown1"/>
                  <w:enabled/>
                  <w:calcOnExit w:val="0"/>
                  <w:ddList>
                    <w:listEntry w:val="Gültig ab:"/>
                    <w:listEntry w:val="Datum:"/>
                  </w:ddList>
                </w:ffData>
              </w:fldChar>
            </w:r>
            <w:r w:rsidRPr="006930F7">
              <w:instrText xml:space="preserve"> FORMDROPDOWN </w:instrText>
            </w:r>
            <w:r w:rsidR="00000000">
              <w:fldChar w:fldCharType="separate"/>
            </w:r>
            <w:r w:rsidRPr="006930F7">
              <w:fldChar w:fldCharType="end"/>
            </w:r>
            <w:bookmarkEnd w:id="0"/>
            <w:r w:rsidRPr="006930F7">
              <w:t xml:space="preserve"> </w:t>
            </w:r>
          </w:p>
        </w:tc>
      </w:tr>
      <w:tr w:rsidR="003937D4" w:rsidRPr="006930F7" w14:paraId="593CA337"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0DEF868A" w14:textId="5DFFE34D" w:rsidR="003937D4" w:rsidRPr="006930F7" w:rsidRDefault="00000000" w:rsidP="003937D4">
            <w:pPr>
              <w:pStyle w:val="WeisungKopfteil"/>
              <w:framePr w:hSpace="0" w:wrap="auto" w:vAnchor="margin" w:hAnchor="text" w:xAlign="left" w:yAlign="inline"/>
              <w:spacing w:before="0" w:after="0"/>
            </w:pPr>
            <w:hyperlink r:id="rId12" w:history="1">
              <w:r w:rsidR="003168DF" w:rsidRPr="006629E6">
                <w:rPr>
                  <w:rStyle w:val="Hyperlink"/>
                  <w:b w:val="0"/>
                  <w:bCs/>
                  <w:sz w:val="20"/>
                </w:rPr>
                <w:t>SKOS C</w:t>
              </w:r>
            </w:hyperlink>
          </w:p>
        </w:tc>
        <w:tc>
          <w:tcPr>
            <w:tcW w:w="4453" w:type="dxa"/>
            <w:vMerge/>
            <w:tcBorders>
              <w:left w:val="single" w:sz="6" w:space="0" w:color="808080"/>
              <w:bottom w:val="single" w:sz="6" w:space="0" w:color="808080"/>
              <w:right w:val="single" w:sz="6" w:space="0" w:color="808080"/>
            </w:tcBorders>
            <w:shd w:val="clear" w:color="auto" w:fill="F3F3F3"/>
          </w:tcPr>
          <w:p w14:paraId="39091EF8" w14:textId="77777777" w:rsidR="003937D4" w:rsidRPr="006930F7" w:rsidRDefault="003937D4">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14:paraId="2DF5EAD5" w14:textId="02599B08" w:rsidR="003937D4" w:rsidRPr="00950E68" w:rsidRDefault="00852608" w:rsidP="003937D4">
            <w:pPr>
              <w:pStyle w:val="WeisungKopfteil"/>
              <w:framePr w:hSpace="0" w:wrap="auto" w:vAnchor="margin" w:hAnchor="text" w:xAlign="left" w:yAlign="inline"/>
              <w:spacing w:before="0" w:after="0"/>
              <w:ind w:right="45"/>
              <w:jc w:val="right"/>
              <w:rPr>
                <w:b w:val="0"/>
                <w:bCs/>
                <w:sz w:val="20"/>
              </w:rPr>
            </w:pPr>
            <w:r>
              <w:rPr>
                <w:b w:val="0"/>
                <w:bCs/>
                <w:sz w:val="20"/>
                <w:highlight w:val="yellow"/>
              </w:rPr>
              <w:t>01.01</w:t>
            </w:r>
            <w:r w:rsidR="007A21F7">
              <w:rPr>
                <w:b w:val="0"/>
                <w:bCs/>
                <w:sz w:val="20"/>
                <w:highlight w:val="yellow"/>
              </w:rPr>
              <w:t>.2023</w:t>
            </w:r>
          </w:p>
          <w:p w14:paraId="31701A18" w14:textId="4016BDB4" w:rsidR="00B85A6E" w:rsidRPr="00950E68" w:rsidRDefault="003937D4" w:rsidP="00B85A6E">
            <w:pPr>
              <w:pStyle w:val="WeisungKopfteil"/>
              <w:framePr w:hSpace="0" w:wrap="auto" w:vAnchor="margin" w:hAnchor="text" w:xAlign="left" w:yAlign="inline"/>
              <w:spacing w:before="0" w:after="0"/>
              <w:ind w:right="45"/>
              <w:jc w:val="right"/>
              <w:rPr>
                <w:b w:val="0"/>
                <w:bCs/>
                <w:sz w:val="20"/>
              </w:rPr>
            </w:pPr>
            <w:r w:rsidRPr="00493ACF">
              <w:rPr>
                <w:b w:val="0"/>
                <w:bCs/>
                <w:sz w:val="20"/>
              </w:rPr>
              <w:t xml:space="preserve">Ersetzt </w:t>
            </w:r>
            <w:r w:rsidR="006629E6">
              <w:rPr>
                <w:b w:val="0"/>
                <w:bCs/>
                <w:sz w:val="20"/>
              </w:rPr>
              <w:t>01.0</w:t>
            </w:r>
            <w:r w:rsidR="007A21F7">
              <w:rPr>
                <w:b w:val="0"/>
                <w:bCs/>
                <w:sz w:val="20"/>
              </w:rPr>
              <w:t>1.2022</w:t>
            </w:r>
          </w:p>
          <w:p w14:paraId="4E3EC5F2" w14:textId="54ADBA74" w:rsidR="003937D4" w:rsidRPr="006930F7" w:rsidRDefault="003937D4" w:rsidP="00E56AED">
            <w:pPr>
              <w:pStyle w:val="WeisungKopfteil"/>
              <w:framePr w:hSpace="0" w:wrap="auto" w:vAnchor="margin" w:hAnchor="text" w:xAlign="left" w:yAlign="inline"/>
              <w:spacing w:before="0" w:after="0"/>
              <w:ind w:right="45"/>
              <w:jc w:val="right"/>
            </w:pPr>
          </w:p>
        </w:tc>
      </w:tr>
      <w:tr w:rsidR="003937D4" w:rsidRPr="006930F7" w14:paraId="04218C40" w14:textId="77777777" w:rsidTr="008540A9">
        <w:trPr>
          <w:cantSplit/>
          <w:trHeight w:val="410"/>
        </w:trPr>
        <w:tc>
          <w:tcPr>
            <w:tcW w:w="9090" w:type="dxa"/>
            <w:gridSpan w:val="3"/>
            <w:tcBorders>
              <w:top w:val="single" w:sz="6" w:space="0" w:color="808080"/>
              <w:left w:val="single" w:sz="4" w:space="0" w:color="808080"/>
              <w:bottom w:val="single" w:sz="6" w:space="0" w:color="808080"/>
              <w:right w:val="single" w:sz="4" w:space="0" w:color="808080"/>
            </w:tcBorders>
          </w:tcPr>
          <w:p w14:paraId="064E47B5" w14:textId="77777777" w:rsidR="003937D4" w:rsidRPr="006930F7" w:rsidRDefault="003937D4">
            <w:pPr>
              <w:pStyle w:val="WeisungKopfteil"/>
              <w:framePr w:hSpace="0" w:wrap="auto" w:vAnchor="margin" w:hAnchor="text" w:xAlign="left" w:yAlign="inline"/>
            </w:pPr>
            <w:r w:rsidRPr="006930F7">
              <w:t>Festlegung der Beträge des Grundbedarfs für den Lebensunterhalt</w:t>
            </w:r>
          </w:p>
        </w:tc>
      </w:tr>
    </w:tbl>
    <w:p w14:paraId="493C45DB" w14:textId="4A0BA5E7" w:rsidR="008540A9" w:rsidRDefault="008540A9"/>
    <w:p w14:paraId="02DE4BD7" w14:textId="7E37CB82" w:rsidR="008540A9" w:rsidRDefault="008540A9" w:rsidP="008540A9">
      <w:pPr>
        <w:pStyle w:val="berschrift1"/>
        <w:numPr>
          <w:ilvl w:val="0"/>
          <w:numId w:val="0"/>
        </w:numPr>
        <w:spacing w:after="240"/>
      </w:pPr>
      <w:bookmarkStart w:id="1" w:name="_Toc122350036"/>
      <w:r>
        <w:t>Inhaltsverzeichnis</w:t>
      </w:r>
      <w:bookmarkEnd w:id="1"/>
    </w:p>
    <w:sdt>
      <w:sdtPr>
        <w:rPr>
          <w:rFonts w:ascii="Arial" w:eastAsia="Times New Roman" w:hAnsi="Arial" w:cs="Arial"/>
          <w:color w:val="auto"/>
          <w:sz w:val="22"/>
          <w:szCs w:val="20"/>
          <w:lang w:val="de-DE" w:eastAsia="de-DE"/>
        </w:rPr>
        <w:id w:val="377438400"/>
        <w:docPartObj>
          <w:docPartGallery w:val="Table of Contents"/>
          <w:docPartUnique/>
        </w:docPartObj>
      </w:sdtPr>
      <w:sdtEndPr>
        <w:rPr>
          <w:b/>
          <w:bCs/>
        </w:rPr>
      </w:sdtEndPr>
      <w:sdtContent>
        <w:p w14:paraId="51BBE02A" w14:textId="2E49DBC7" w:rsidR="008540A9" w:rsidRPr="008540A9" w:rsidRDefault="008540A9">
          <w:pPr>
            <w:pStyle w:val="Inhaltsverzeichnisberschrift"/>
            <w:rPr>
              <w:sz w:val="2"/>
              <w:szCs w:val="2"/>
            </w:rPr>
          </w:pPr>
        </w:p>
        <w:p w14:paraId="26227AAA" w14:textId="0BC8AF4E" w:rsidR="00B567DF" w:rsidRDefault="008540A9">
          <w:pPr>
            <w:pStyle w:val="Verzeichnis1"/>
            <w:rPr>
              <w:rFonts w:asciiTheme="minorHAnsi" w:eastAsiaTheme="minorEastAsia" w:hAnsiTheme="minorHAnsi" w:cstheme="minorBidi"/>
              <w:b w:val="0"/>
              <w:caps w:val="0"/>
              <w:noProof/>
              <w:szCs w:val="22"/>
              <w:lang w:eastAsia="de-CH"/>
            </w:rPr>
          </w:pPr>
          <w:r>
            <w:fldChar w:fldCharType="begin"/>
          </w:r>
          <w:r>
            <w:instrText xml:space="preserve"> TOC \o "1-3" \h \z \u </w:instrText>
          </w:r>
          <w:r>
            <w:fldChar w:fldCharType="separate"/>
          </w:r>
          <w:hyperlink w:anchor="_Toc122350036" w:history="1">
            <w:r w:rsidR="00B567DF" w:rsidRPr="00912C63">
              <w:rPr>
                <w:rStyle w:val="Hyperlink"/>
                <w:noProof/>
              </w:rPr>
              <w:t>Inhaltsverzeichnis</w:t>
            </w:r>
            <w:r w:rsidR="00B567DF">
              <w:rPr>
                <w:noProof/>
                <w:webHidden/>
              </w:rPr>
              <w:tab/>
            </w:r>
            <w:r w:rsidR="00B567DF">
              <w:rPr>
                <w:noProof/>
                <w:webHidden/>
              </w:rPr>
              <w:fldChar w:fldCharType="begin"/>
            </w:r>
            <w:r w:rsidR="00B567DF">
              <w:rPr>
                <w:noProof/>
                <w:webHidden/>
              </w:rPr>
              <w:instrText xml:space="preserve"> PAGEREF _Toc122350036 \h </w:instrText>
            </w:r>
            <w:r w:rsidR="00B567DF">
              <w:rPr>
                <w:noProof/>
                <w:webHidden/>
              </w:rPr>
            </w:r>
            <w:r w:rsidR="00B567DF">
              <w:rPr>
                <w:noProof/>
                <w:webHidden/>
              </w:rPr>
              <w:fldChar w:fldCharType="separate"/>
            </w:r>
            <w:r w:rsidR="00B567DF">
              <w:rPr>
                <w:noProof/>
                <w:webHidden/>
              </w:rPr>
              <w:t>1</w:t>
            </w:r>
            <w:r w:rsidR="00B567DF">
              <w:rPr>
                <w:noProof/>
                <w:webHidden/>
              </w:rPr>
              <w:fldChar w:fldCharType="end"/>
            </w:r>
          </w:hyperlink>
        </w:p>
        <w:p w14:paraId="13C88994" w14:textId="3226E8B2" w:rsidR="00B567DF" w:rsidRDefault="00000000">
          <w:pPr>
            <w:pStyle w:val="Verzeichnis1"/>
            <w:rPr>
              <w:rFonts w:asciiTheme="minorHAnsi" w:eastAsiaTheme="minorEastAsia" w:hAnsiTheme="minorHAnsi" w:cstheme="minorBidi"/>
              <w:b w:val="0"/>
              <w:caps w:val="0"/>
              <w:noProof/>
              <w:szCs w:val="22"/>
              <w:lang w:eastAsia="de-CH"/>
            </w:rPr>
          </w:pPr>
          <w:hyperlink w:anchor="_Toc122350037" w:history="1">
            <w:r w:rsidR="00B567DF" w:rsidRPr="00912C63">
              <w:rPr>
                <w:rStyle w:val="Hyperlink"/>
                <w:noProof/>
              </w:rPr>
              <w:t>1</w:t>
            </w:r>
            <w:r w:rsidR="00B567DF">
              <w:rPr>
                <w:rFonts w:asciiTheme="minorHAnsi" w:eastAsiaTheme="minorEastAsia" w:hAnsiTheme="minorHAnsi" w:cstheme="minorBidi"/>
                <w:b w:val="0"/>
                <w:caps w:val="0"/>
                <w:noProof/>
                <w:szCs w:val="22"/>
                <w:lang w:eastAsia="de-CH"/>
              </w:rPr>
              <w:tab/>
            </w:r>
            <w:r w:rsidR="00B567DF" w:rsidRPr="00912C63">
              <w:rPr>
                <w:rStyle w:val="Hyperlink"/>
                <w:noProof/>
              </w:rPr>
              <w:t>Grundlage</w:t>
            </w:r>
            <w:r w:rsidR="00B567DF">
              <w:rPr>
                <w:noProof/>
                <w:webHidden/>
              </w:rPr>
              <w:tab/>
            </w:r>
            <w:r w:rsidR="00B567DF">
              <w:rPr>
                <w:noProof/>
                <w:webHidden/>
              </w:rPr>
              <w:fldChar w:fldCharType="begin"/>
            </w:r>
            <w:r w:rsidR="00B567DF">
              <w:rPr>
                <w:noProof/>
                <w:webHidden/>
              </w:rPr>
              <w:instrText xml:space="preserve"> PAGEREF _Toc122350037 \h </w:instrText>
            </w:r>
            <w:r w:rsidR="00B567DF">
              <w:rPr>
                <w:noProof/>
                <w:webHidden/>
              </w:rPr>
            </w:r>
            <w:r w:rsidR="00B567DF">
              <w:rPr>
                <w:noProof/>
                <w:webHidden/>
              </w:rPr>
              <w:fldChar w:fldCharType="separate"/>
            </w:r>
            <w:r w:rsidR="00B567DF">
              <w:rPr>
                <w:noProof/>
                <w:webHidden/>
              </w:rPr>
              <w:t>1</w:t>
            </w:r>
            <w:r w:rsidR="00B567DF">
              <w:rPr>
                <w:noProof/>
                <w:webHidden/>
              </w:rPr>
              <w:fldChar w:fldCharType="end"/>
            </w:r>
          </w:hyperlink>
        </w:p>
        <w:p w14:paraId="0F52A0A0" w14:textId="290CD044" w:rsidR="00B567DF" w:rsidRDefault="00000000">
          <w:pPr>
            <w:pStyle w:val="Verzeichnis1"/>
            <w:rPr>
              <w:rFonts w:asciiTheme="minorHAnsi" w:eastAsiaTheme="minorEastAsia" w:hAnsiTheme="minorHAnsi" w:cstheme="minorBidi"/>
              <w:b w:val="0"/>
              <w:caps w:val="0"/>
              <w:noProof/>
              <w:szCs w:val="22"/>
              <w:lang w:eastAsia="de-CH"/>
            </w:rPr>
          </w:pPr>
          <w:hyperlink w:anchor="_Toc122350038" w:history="1">
            <w:r w:rsidR="00B567DF" w:rsidRPr="00912C63">
              <w:rPr>
                <w:rStyle w:val="Hyperlink"/>
                <w:noProof/>
              </w:rPr>
              <w:t>2</w:t>
            </w:r>
            <w:r w:rsidR="00B567DF">
              <w:rPr>
                <w:rFonts w:asciiTheme="minorHAnsi" w:eastAsiaTheme="minorEastAsia" w:hAnsiTheme="minorHAnsi" w:cstheme="minorBidi"/>
                <w:b w:val="0"/>
                <w:caps w:val="0"/>
                <w:noProof/>
                <w:szCs w:val="22"/>
                <w:lang w:eastAsia="de-CH"/>
              </w:rPr>
              <w:tab/>
            </w:r>
            <w:r w:rsidR="00B567DF" w:rsidRPr="00912C63">
              <w:rPr>
                <w:rStyle w:val="Hyperlink"/>
                <w:noProof/>
              </w:rPr>
              <w:t>Grundbedarf für Personen in Wohnungen, Zimmern und Appartements</w:t>
            </w:r>
            <w:r w:rsidR="00B567DF">
              <w:rPr>
                <w:noProof/>
                <w:webHidden/>
              </w:rPr>
              <w:tab/>
            </w:r>
            <w:r w:rsidR="00B567DF">
              <w:rPr>
                <w:noProof/>
                <w:webHidden/>
              </w:rPr>
              <w:fldChar w:fldCharType="begin"/>
            </w:r>
            <w:r w:rsidR="00B567DF">
              <w:rPr>
                <w:noProof/>
                <w:webHidden/>
              </w:rPr>
              <w:instrText xml:space="preserve"> PAGEREF _Toc122350038 \h </w:instrText>
            </w:r>
            <w:r w:rsidR="00B567DF">
              <w:rPr>
                <w:noProof/>
                <w:webHidden/>
              </w:rPr>
            </w:r>
            <w:r w:rsidR="00B567DF">
              <w:rPr>
                <w:noProof/>
                <w:webHidden/>
              </w:rPr>
              <w:fldChar w:fldCharType="separate"/>
            </w:r>
            <w:r w:rsidR="00B567DF">
              <w:rPr>
                <w:noProof/>
                <w:webHidden/>
              </w:rPr>
              <w:t>1</w:t>
            </w:r>
            <w:r w:rsidR="00B567DF">
              <w:rPr>
                <w:noProof/>
                <w:webHidden/>
              </w:rPr>
              <w:fldChar w:fldCharType="end"/>
            </w:r>
          </w:hyperlink>
        </w:p>
        <w:p w14:paraId="6FE8D3E4" w14:textId="557008AB" w:rsidR="00B567DF" w:rsidRDefault="00000000">
          <w:pPr>
            <w:pStyle w:val="Verzeichnis2"/>
            <w:rPr>
              <w:rFonts w:asciiTheme="minorHAnsi" w:eastAsiaTheme="minorEastAsia" w:hAnsiTheme="minorHAnsi" w:cstheme="minorBidi"/>
              <w:smallCaps w:val="0"/>
              <w:noProof/>
              <w:szCs w:val="22"/>
              <w:lang w:eastAsia="de-CH"/>
            </w:rPr>
          </w:pPr>
          <w:hyperlink w:anchor="_Toc122350039" w:history="1">
            <w:r w:rsidR="00B567DF" w:rsidRPr="00912C63">
              <w:rPr>
                <w:rStyle w:val="Hyperlink"/>
                <w:noProof/>
              </w:rPr>
              <w:t>2.1</w:t>
            </w:r>
            <w:r w:rsidR="00B567DF">
              <w:rPr>
                <w:rFonts w:asciiTheme="minorHAnsi" w:eastAsiaTheme="minorEastAsia" w:hAnsiTheme="minorHAnsi" w:cstheme="minorBidi"/>
                <w:smallCaps w:val="0"/>
                <w:noProof/>
                <w:szCs w:val="22"/>
                <w:lang w:eastAsia="de-CH"/>
              </w:rPr>
              <w:tab/>
            </w:r>
            <w:r w:rsidR="00B567DF" w:rsidRPr="00912C63">
              <w:rPr>
                <w:rStyle w:val="Hyperlink"/>
                <w:noProof/>
              </w:rPr>
              <w:t>GBL für Ein- und Mehrpersonenhaushalte mit gemeinsamer Ausübung der Haushaltfunktionen (Ehepaare, Familien, familienähnliche Wohn- und Lebensgemeinschaften) - SKOS Kap. C.3.1 und C.3.2</w:t>
            </w:r>
            <w:r w:rsidR="00B567DF">
              <w:rPr>
                <w:noProof/>
                <w:webHidden/>
              </w:rPr>
              <w:tab/>
            </w:r>
            <w:r w:rsidR="00B567DF">
              <w:rPr>
                <w:noProof/>
                <w:webHidden/>
              </w:rPr>
              <w:fldChar w:fldCharType="begin"/>
            </w:r>
            <w:r w:rsidR="00B567DF">
              <w:rPr>
                <w:noProof/>
                <w:webHidden/>
              </w:rPr>
              <w:instrText xml:space="preserve"> PAGEREF _Toc122350039 \h </w:instrText>
            </w:r>
            <w:r w:rsidR="00B567DF">
              <w:rPr>
                <w:noProof/>
                <w:webHidden/>
              </w:rPr>
            </w:r>
            <w:r w:rsidR="00B567DF">
              <w:rPr>
                <w:noProof/>
                <w:webHidden/>
              </w:rPr>
              <w:fldChar w:fldCharType="separate"/>
            </w:r>
            <w:r w:rsidR="00B567DF">
              <w:rPr>
                <w:noProof/>
                <w:webHidden/>
              </w:rPr>
              <w:t>2</w:t>
            </w:r>
            <w:r w:rsidR="00B567DF">
              <w:rPr>
                <w:noProof/>
                <w:webHidden/>
              </w:rPr>
              <w:fldChar w:fldCharType="end"/>
            </w:r>
          </w:hyperlink>
        </w:p>
        <w:p w14:paraId="5215D3C1" w14:textId="13C00608" w:rsidR="00B567DF" w:rsidRDefault="00000000">
          <w:pPr>
            <w:pStyle w:val="Verzeichnis2"/>
            <w:rPr>
              <w:rFonts w:asciiTheme="minorHAnsi" w:eastAsiaTheme="minorEastAsia" w:hAnsiTheme="minorHAnsi" w:cstheme="minorBidi"/>
              <w:smallCaps w:val="0"/>
              <w:noProof/>
              <w:szCs w:val="22"/>
              <w:lang w:eastAsia="de-CH"/>
            </w:rPr>
          </w:pPr>
          <w:hyperlink w:anchor="_Toc122350040" w:history="1">
            <w:r w:rsidR="00B567DF" w:rsidRPr="00912C63">
              <w:rPr>
                <w:rStyle w:val="Hyperlink"/>
                <w:noProof/>
              </w:rPr>
              <w:t>2.2</w:t>
            </w:r>
            <w:r w:rsidR="00B567DF">
              <w:rPr>
                <w:rFonts w:asciiTheme="minorHAnsi" w:eastAsiaTheme="minorEastAsia" w:hAnsiTheme="minorHAnsi" w:cstheme="minorBidi"/>
                <w:smallCaps w:val="0"/>
                <w:noProof/>
                <w:szCs w:val="22"/>
                <w:lang w:eastAsia="de-CH"/>
              </w:rPr>
              <w:tab/>
            </w:r>
            <w:r w:rsidR="00B567DF" w:rsidRPr="00912C63">
              <w:rPr>
                <w:rStyle w:val="Hyperlink"/>
                <w:noProof/>
              </w:rPr>
              <w:t>GBL für Ein- und Mehrpersonenhaushalte mit gemeinsamer Ausübung der Haushaltfunktionen, wenn die Energiekosten im Mietzins enthalten sind.</w:t>
            </w:r>
            <w:r w:rsidR="00B567DF">
              <w:rPr>
                <w:noProof/>
                <w:webHidden/>
              </w:rPr>
              <w:tab/>
            </w:r>
            <w:r w:rsidR="00B567DF">
              <w:rPr>
                <w:noProof/>
                <w:webHidden/>
              </w:rPr>
              <w:fldChar w:fldCharType="begin"/>
            </w:r>
            <w:r w:rsidR="00B567DF">
              <w:rPr>
                <w:noProof/>
                <w:webHidden/>
              </w:rPr>
              <w:instrText xml:space="preserve"> PAGEREF _Toc122350040 \h </w:instrText>
            </w:r>
            <w:r w:rsidR="00B567DF">
              <w:rPr>
                <w:noProof/>
                <w:webHidden/>
              </w:rPr>
            </w:r>
            <w:r w:rsidR="00B567DF">
              <w:rPr>
                <w:noProof/>
                <w:webHidden/>
              </w:rPr>
              <w:fldChar w:fldCharType="separate"/>
            </w:r>
            <w:r w:rsidR="00B567DF">
              <w:rPr>
                <w:noProof/>
                <w:webHidden/>
              </w:rPr>
              <w:t>2</w:t>
            </w:r>
            <w:r w:rsidR="00B567DF">
              <w:rPr>
                <w:noProof/>
                <w:webHidden/>
              </w:rPr>
              <w:fldChar w:fldCharType="end"/>
            </w:r>
          </w:hyperlink>
        </w:p>
        <w:p w14:paraId="2A696BC1" w14:textId="5C0EBEEC" w:rsidR="00B567DF" w:rsidRDefault="00000000">
          <w:pPr>
            <w:pStyle w:val="Verzeichnis2"/>
            <w:rPr>
              <w:rFonts w:asciiTheme="minorHAnsi" w:eastAsiaTheme="minorEastAsia" w:hAnsiTheme="minorHAnsi" w:cstheme="minorBidi"/>
              <w:smallCaps w:val="0"/>
              <w:noProof/>
              <w:szCs w:val="22"/>
              <w:lang w:eastAsia="de-CH"/>
            </w:rPr>
          </w:pPr>
          <w:hyperlink w:anchor="_Toc122350041" w:history="1">
            <w:r w:rsidR="00B567DF" w:rsidRPr="00912C63">
              <w:rPr>
                <w:rStyle w:val="Hyperlink"/>
                <w:noProof/>
              </w:rPr>
              <w:t>2.3</w:t>
            </w:r>
            <w:r w:rsidR="00B567DF">
              <w:rPr>
                <w:rFonts w:asciiTheme="minorHAnsi" w:eastAsiaTheme="minorEastAsia" w:hAnsiTheme="minorHAnsi" w:cstheme="minorBidi"/>
                <w:smallCaps w:val="0"/>
                <w:noProof/>
                <w:szCs w:val="22"/>
                <w:lang w:eastAsia="de-CH"/>
              </w:rPr>
              <w:tab/>
            </w:r>
            <w:r w:rsidR="00B567DF" w:rsidRPr="00912C63">
              <w:rPr>
                <w:rStyle w:val="Hyperlink"/>
                <w:noProof/>
              </w:rPr>
              <w:t>GBL für Personen in Zweck-Wohngemeinschaften ohne gemeinsame Ausübung und Finanzierung der Haushaltfunktionen (inkl. Jugendwohngruppen, Aussenwohngruppen etc.) - SKOS Kap. C.3.2</w:t>
            </w:r>
            <w:r w:rsidR="00B567DF">
              <w:rPr>
                <w:noProof/>
                <w:webHidden/>
              </w:rPr>
              <w:tab/>
            </w:r>
            <w:r w:rsidR="00B567DF">
              <w:rPr>
                <w:noProof/>
                <w:webHidden/>
              </w:rPr>
              <w:fldChar w:fldCharType="begin"/>
            </w:r>
            <w:r w:rsidR="00B567DF">
              <w:rPr>
                <w:noProof/>
                <w:webHidden/>
              </w:rPr>
              <w:instrText xml:space="preserve"> PAGEREF _Toc122350041 \h </w:instrText>
            </w:r>
            <w:r w:rsidR="00B567DF">
              <w:rPr>
                <w:noProof/>
                <w:webHidden/>
              </w:rPr>
            </w:r>
            <w:r w:rsidR="00B567DF">
              <w:rPr>
                <w:noProof/>
                <w:webHidden/>
              </w:rPr>
              <w:fldChar w:fldCharType="separate"/>
            </w:r>
            <w:r w:rsidR="00B567DF">
              <w:rPr>
                <w:noProof/>
                <w:webHidden/>
              </w:rPr>
              <w:t>3</w:t>
            </w:r>
            <w:r w:rsidR="00B567DF">
              <w:rPr>
                <w:noProof/>
                <w:webHidden/>
              </w:rPr>
              <w:fldChar w:fldCharType="end"/>
            </w:r>
          </w:hyperlink>
        </w:p>
        <w:p w14:paraId="2957A062" w14:textId="1E91A049" w:rsidR="00B567DF" w:rsidRDefault="00000000">
          <w:pPr>
            <w:pStyle w:val="Verzeichnis2"/>
            <w:rPr>
              <w:rFonts w:asciiTheme="minorHAnsi" w:eastAsiaTheme="minorEastAsia" w:hAnsiTheme="minorHAnsi" w:cstheme="minorBidi"/>
              <w:smallCaps w:val="0"/>
              <w:noProof/>
              <w:szCs w:val="22"/>
              <w:lang w:eastAsia="de-CH"/>
            </w:rPr>
          </w:pPr>
          <w:hyperlink w:anchor="_Toc122350042" w:history="1">
            <w:r w:rsidR="00B567DF" w:rsidRPr="00912C63">
              <w:rPr>
                <w:rStyle w:val="Hyperlink"/>
                <w:noProof/>
              </w:rPr>
              <w:t>2.4</w:t>
            </w:r>
            <w:r w:rsidR="00B567DF">
              <w:rPr>
                <w:rFonts w:asciiTheme="minorHAnsi" w:eastAsiaTheme="minorEastAsia" w:hAnsiTheme="minorHAnsi" w:cstheme="minorBidi"/>
                <w:smallCaps w:val="0"/>
                <w:noProof/>
                <w:szCs w:val="22"/>
                <w:lang w:eastAsia="de-CH"/>
              </w:rPr>
              <w:tab/>
            </w:r>
            <w:r w:rsidR="00B567DF" w:rsidRPr="00912C63">
              <w:rPr>
                <w:rStyle w:val="Hyperlink"/>
                <w:noProof/>
              </w:rPr>
              <w:t>Beträge für Auslagen im Zusammenhang mit der Ausübung des Besuchsrechtes</w:t>
            </w:r>
            <w:r w:rsidR="00B567DF">
              <w:rPr>
                <w:noProof/>
                <w:webHidden/>
              </w:rPr>
              <w:tab/>
            </w:r>
            <w:r w:rsidR="00B567DF">
              <w:rPr>
                <w:noProof/>
                <w:webHidden/>
              </w:rPr>
              <w:fldChar w:fldCharType="begin"/>
            </w:r>
            <w:r w:rsidR="00B567DF">
              <w:rPr>
                <w:noProof/>
                <w:webHidden/>
              </w:rPr>
              <w:instrText xml:space="preserve"> PAGEREF _Toc122350042 \h </w:instrText>
            </w:r>
            <w:r w:rsidR="00B567DF">
              <w:rPr>
                <w:noProof/>
                <w:webHidden/>
              </w:rPr>
            </w:r>
            <w:r w:rsidR="00B567DF">
              <w:rPr>
                <w:noProof/>
                <w:webHidden/>
              </w:rPr>
              <w:fldChar w:fldCharType="separate"/>
            </w:r>
            <w:r w:rsidR="00B567DF">
              <w:rPr>
                <w:noProof/>
                <w:webHidden/>
              </w:rPr>
              <w:t>3</w:t>
            </w:r>
            <w:r w:rsidR="00B567DF">
              <w:rPr>
                <w:noProof/>
                <w:webHidden/>
              </w:rPr>
              <w:fldChar w:fldCharType="end"/>
            </w:r>
          </w:hyperlink>
        </w:p>
        <w:p w14:paraId="21B09E34" w14:textId="445217C0" w:rsidR="00B567DF" w:rsidRDefault="00000000">
          <w:pPr>
            <w:pStyle w:val="Verzeichnis2"/>
            <w:rPr>
              <w:rFonts w:asciiTheme="minorHAnsi" w:eastAsiaTheme="minorEastAsia" w:hAnsiTheme="minorHAnsi" w:cstheme="minorBidi"/>
              <w:smallCaps w:val="0"/>
              <w:noProof/>
              <w:szCs w:val="22"/>
              <w:lang w:eastAsia="de-CH"/>
            </w:rPr>
          </w:pPr>
          <w:hyperlink w:anchor="_Toc122350043" w:history="1">
            <w:r w:rsidR="00B567DF" w:rsidRPr="00912C63">
              <w:rPr>
                <w:rStyle w:val="Hyperlink"/>
                <w:noProof/>
              </w:rPr>
              <w:t>2.5</w:t>
            </w:r>
            <w:r w:rsidR="00B567DF">
              <w:rPr>
                <w:rFonts w:asciiTheme="minorHAnsi" w:eastAsiaTheme="minorEastAsia" w:hAnsiTheme="minorHAnsi" w:cstheme="minorBidi"/>
                <w:smallCaps w:val="0"/>
                <w:noProof/>
                <w:szCs w:val="22"/>
                <w:lang w:eastAsia="de-CH"/>
              </w:rPr>
              <w:tab/>
            </w:r>
            <w:r w:rsidR="00B567DF" w:rsidRPr="00912C63">
              <w:rPr>
                <w:rStyle w:val="Hyperlink"/>
                <w:noProof/>
              </w:rPr>
              <w:t>Beträge für die Berechnung einzelner Essenszuschläge oder -abzüge (innerhalb des Grundbedarfs)</w:t>
            </w:r>
            <w:r w:rsidR="00B567DF">
              <w:rPr>
                <w:noProof/>
                <w:webHidden/>
              </w:rPr>
              <w:tab/>
            </w:r>
            <w:r w:rsidR="00B567DF">
              <w:rPr>
                <w:noProof/>
                <w:webHidden/>
              </w:rPr>
              <w:fldChar w:fldCharType="begin"/>
            </w:r>
            <w:r w:rsidR="00B567DF">
              <w:rPr>
                <w:noProof/>
                <w:webHidden/>
              </w:rPr>
              <w:instrText xml:space="preserve"> PAGEREF _Toc122350043 \h </w:instrText>
            </w:r>
            <w:r w:rsidR="00B567DF">
              <w:rPr>
                <w:noProof/>
                <w:webHidden/>
              </w:rPr>
            </w:r>
            <w:r w:rsidR="00B567DF">
              <w:rPr>
                <w:noProof/>
                <w:webHidden/>
              </w:rPr>
              <w:fldChar w:fldCharType="separate"/>
            </w:r>
            <w:r w:rsidR="00B567DF">
              <w:rPr>
                <w:noProof/>
                <w:webHidden/>
              </w:rPr>
              <w:t>3</w:t>
            </w:r>
            <w:r w:rsidR="00B567DF">
              <w:rPr>
                <w:noProof/>
                <w:webHidden/>
              </w:rPr>
              <w:fldChar w:fldCharType="end"/>
            </w:r>
          </w:hyperlink>
        </w:p>
        <w:p w14:paraId="0FB1F920" w14:textId="0EC3C8A2" w:rsidR="00B567DF" w:rsidRDefault="00000000">
          <w:pPr>
            <w:pStyle w:val="Verzeichnis1"/>
            <w:rPr>
              <w:rFonts w:asciiTheme="minorHAnsi" w:eastAsiaTheme="minorEastAsia" w:hAnsiTheme="minorHAnsi" w:cstheme="minorBidi"/>
              <w:b w:val="0"/>
              <w:caps w:val="0"/>
              <w:noProof/>
              <w:szCs w:val="22"/>
              <w:lang w:eastAsia="de-CH"/>
            </w:rPr>
          </w:pPr>
          <w:hyperlink w:anchor="_Toc122350044" w:history="1">
            <w:r w:rsidR="00B567DF" w:rsidRPr="00912C63">
              <w:rPr>
                <w:rStyle w:val="Hyperlink"/>
                <w:noProof/>
              </w:rPr>
              <w:t>3</w:t>
            </w:r>
            <w:r w:rsidR="00B567DF">
              <w:rPr>
                <w:rFonts w:asciiTheme="minorHAnsi" w:eastAsiaTheme="minorEastAsia" w:hAnsiTheme="minorHAnsi" w:cstheme="minorBidi"/>
                <w:b w:val="0"/>
                <w:caps w:val="0"/>
                <w:noProof/>
                <w:szCs w:val="22"/>
                <w:lang w:eastAsia="de-CH"/>
              </w:rPr>
              <w:tab/>
            </w:r>
            <w:r w:rsidR="00B567DF" w:rsidRPr="00912C63">
              <w:rPr>
                <w:rStyle w:val="Hyperlink"/>
                <w:noProof/>
              </w:rPr>
              <w:t>Grundbedarf in stationären Einrichtungen für Erwachsene (SKOS Kap. C.3.2)</w:t>
            </w:r>
            <w:r w:rsidR="00B567DF">
              <w:rPr>
                <w:noProof/>
                <w:webHidden/>
              </w:rPr>
              <w:tab/>
            </w:r>
            <w:r w:rsidR="00B567DF">
              <w:rPr>
                <w:noProof/>
                <w:webHidden/>
              </w:rPr>
              <w:fldChar w:fldCharType="begin"/>
            </w:r>
            <w:r w:rsidR="00B567DF">
              <w:rPr>
                <w:noProof/>
                <w:webHidden/>
              </w:rPr>
              <w:instrText xml:space="preserve"> PAGEREF _Toc122350044 \h </w:instrText>
            </w:r>
            <w:r w:rsidR="00B567DF">
              <w:rPr>
                <w:noProof/>
                <w:webHidden/>
              </w:rPr>
            </w:r>
            <w:r w:rsidR="00B567DF">
              <w:rPr>
                <w:noProof/>
                <w:webHidden/>
              </w:rPr>
              <w:fldChar w:fldCharType="separate"/>
            </w:r>
            <w:r w:rsidR="00B567DF">
              <w:rPr>
                <w:noProof/>
                <w:webHidden/>
              </w:rPr>
              <w:t>4</w:t>
            </w:r>
            <w:r w:rsidR="00B567DF">
              <w:rPr>
                <w:noProof/>
                <w:webHidden/>
              </w:rPr>
              <w:fldChar w:fldCharType="end"/>
            </w:r>
          </w:hyperlink>
        </w:p>
        <w:p w14:paraId="39AEF7FF" w14:textId="26877129" w:rsidR="00B567DF" w:rsidRDefault="00000000">
          <w:pPr>
            <w:pStyle w:val="Verzeichnis1"/>
            <w:rPr>
              <w:rFonts w:asciiTheme="minorHAnsi" w:eastAsiaTheme="minorEastAsia" w:hAnsiTheme="minorHAnsi" w:cstheme="minorBidi"/>
              <w:b w:val="0"/>
              <w:caps w:val="0"/>
              <w:noProof/>
              <w:szCs w:val="22"/>
              <w:lang w:eastAsia="de-CH"/>
            </w:rPr>
          </w:pPr>
          <w:hyperlink w:anchor="_Toc122350045" w:history="1">
            <w:r w:rsidR="00B567DF" w:rsidRPr="00912C63">
              <w:rPr>
                <w:rStyle w:val="Hyperlink"/>
                <w:noProof/>
              </w:rPr>
              <w:t>4</w:t>
            </w:r>
            <w:r w:rsidR="00B567DF">
              <w:rPr>
                <w:rFonts w:asciiTheme="minorHAnsi" w:eastAsiaTheme="minorEastAsia" w:hAnsiTheme="minorHAnsi" w:cstheme="minorBidi"/>
                <w:b w:val="0"/>
                <w:caps w:val="0"/>
                <w:noProof/>
                <w:szCs w:val="22"/>
                <w:lang w:eastAsia="de-CH"/>
              </w:rPr>
              <w:tab/>
            </w:r>
            <w:r w:rsidR="00B567DF" w:rsidRPr="00912C63">
              <w:rPr>
                <w:rStyle w:val="Hyperlink"/>
                <w:noProof/>
              </w:rPr>
              <w:t>Nebenkosten und Verpflegungsbeitrag als Teil des GBL bei Heim- und Familienpflege</w:t>
            </w:r>
            <w:r w:rsidR="00B567DF">
              <w:rPr>
                <w:noProof/>
                <w:webHidden/>
              </w:rPr>
              <w:tab/>
            </w:r>
            <w:r w:rsidR="00B567DF">
              <w:rPr>
                <w:noProof/>
                <w:webHidden/>
              </w:rPr>
              <w:fldChar w:fldCharType="begin"/>
            </w:r>
            <w:r w:rsidR="00B567DF">
              <w:rPr>
                <w:noProof/>
                <w:webHidden/>
              </w:rPr>
              <w:instrText xml:space="preserve"> PAGEREF _Toc122350045 \h </w:instrText>
            </w:r>
            <w:r w:rsidR="00B567DF">
              <w:rPr>
                <w:noProof/>
                <w:webHidden/>
              </w:rPr>
            </w:r>
            <w:r w:rsidR="00B567DF">
              <w:rPr>
                <w:noProof/>
                <w:webHidden/>
              </w:rPr>
              <w:fldChar w:fldCharType="separate"/>
            </w:r>
            <w:r w:rsidR="00B567DF">
              <w:rPr>
                <w:noProof/>
                <w:webHidden/>
              </w:rPr>
              <w:t>4</w:t>
            </w:r>
            <w:r w:rsidR="00B567DF">
              <w:rPr>
                <w:noProof/>
                <w:webHidden/>
              </w:rPr>
              <w:fldChar w:fldCharType="end"/>
            </w:r>
          </w:hyperlink>
        </w:p>
        <w:p w14:paraId="086CD465" w14:textId="5A3A4222" w:rsidR="00B567DF" w:rsidRDefault="00000000">
          <w:pPr>
            <w:pStyle w:val="Verzeichnis1"/>
            <w:rPr>
              <w:rFonts w:asciiTheme="minorHAnsi" w:eastAsiaTheme="minorEastAsia" w:hAnsiTheme="minorHAnsi" w:cstheme="minorBidi"/>
              <w:b w:val="0"/>
              <w:caps w:val="0"/>
              <w:noProof/>
              <w:szCs w:val="22"/>
              <w:lang w:eastAsia="de-CH"/>
            </w:rPr>
          </w:pPr>
          <w:hyperlink w:anchor="_Toc122350046" w:history="1">
            <w:r w:rsidR="00B567DF" w:rsidRPr="00912C63">
              <w:rPr>
                <w:rStyle w:val="Hyperlink"/>
                <w:noProof/>
              </w:rPr>
              <w:t>5</w:t>
            </w:r>
            <w:r w:rsidR="00B567DF">
              <w:rPr>
                <w:rFonts w:asciiTheme="minorHAnsi" w:eastAsiaTheme="minorEastAsia" w:hAnsiTheme="minorHAnsi" w:cstheme="minorBidi"/>
                <w:b w:val="0"/>
                <w:caps w:val="0"/>
                <w:noProof/>
                <w:szCs w:val="22"/>
                <w:lang w:eastAsia="de-CH"/>
              </w:rPr>
              <w:tab/>
            </w:r>
            <w:r w:rsidR="00B567DF" w:rsidRPr="00912C63">
              <w:rPr>
                <w:rStyle w:val="Hyperlink"/>
                <w:noProof/>
              </w:rPr>
              <w:t>Verpflegungsbeitrag bei Sonderschulmassnahmen</w:t>
            </w:r>
            <w:r w:rsidR="00B567DF">
              <w:rPr>
                <w:noProof/>
                <w:webHidden/>
              </w:rPr>
              <w:tab/>
            </w:r>
            <w:r w:rsidR="00B567DF">
              <w:rPr>
                <w:noProof/>
                <w:webHidden/>
              </w:rPr>
              <w:fldChar w:fldCharType="begin"/>
            </w:r>
            <w:r w:rsidR="00B567DF">
              <w:rPr>
                <w:noProof/>
                <w:webHidden/>
              </w:rPr>
              <w:instrText xml:space="preserve"> PAGEREF _Toc122350046 \h </w:instrText>
            </w:r>
            <w:r w:rsidR="00B567DF">
              <w:rPr>
                <w:noProof/>
                <w:webHidden/>
              </w:rPr>
            </w:r>
            <w:r w:rsidR="00B567DF">
              <w:rPr>
                <w:noProof/>
                <w:webHidden/>
              </w:rPr>
              <w:fldChar w:fldCharType="separate"/>
            </w:r>
            <w:r w:rsidR="00B567DF">
              <w:rPr>
                <w:noProof/>
                <w:webHidden/>
              </w:rPr>
              <w:t>5</w:t>
            </w:r>
            <w:r w:rsidR="00B567DF">
              <w:rPr>
                <w:noProof/>
                <w:webHidden/>
              </w:rPr>
              <w:fldChar w:fldCharType="end"/>
            </w:r>
          </w:hyperlink>
        </w:p>
        <w:p w14:paraId="521CE99A" w14:textId="1D671347" w:rsidR="00B567DF" w:rsidRDefault="00000000">
          <w:pPr>
            <w:pStyle w:val="Verzeichnis1"/>
            <w:rPr>
              <w:rFonts w:asciiTheme="minorHAnsi" w:eastAsiaTheme="minorEastAsia" w:hAnsiTheme="minorHAnsi" w:cstheme="minorBidi"/>
              <w:b w:val="0"/>
              <w:caps w:val="0"/>
              <w:noProof/>
              <w:szCs w:val="22"/>
              <w:lang w:eastAsia="de-CH"/>
            </w:rPr>
          </w:pPr>
          <w:hyperlink w:anchor="_Toc122350047" w:history="1">
            <w:r w:rsidR="00B567DF" w:rsidRPr="00912C63">
              <w:rPr>
                <w:rStyle w:val="Hyperlink"/>
                <w:noProof/>
              </w:rPr>
              <w:t>6</w:t>
            </w:r>
            <w:r w:rsidR="00B567DF">
              <w:rPr>
                <w:rFonts w:asciiTheme="minorHAnsi" w:eastAsiaTheme="minorEastAsia" w:hAnsiTheme="minorHAnsi" w:cstheme="minorBidi"/>
                <w:b w:val="0"/>
                <w:caps w:val="0"/>
                <w:noProof/>
                <w:szCs w:val="22"/>
                <w:lang w:eastAsia="de-CH"/>
              </w:rPr>
              <w:tab/>
            </w:r>
            <w:r w:rsidR="00B567DF" w:rsidRPr="00912C63">
              <w:rPr>
                <w:rStyle w:val="Hyperlink"/>
                <w:noProof/>
              </w:rPr>
              <w:t>Obdachlose Personen</w:t>
            </w:r>
            <w:r w:rsidR="00B567DF">
              <w:rPr>
                <w:noProof/>
                <w:webHidden/>
              </w:rPr>
              <w:tab/>
            </w:r>
            <w:r w:rsidR="00B567DF">
              <w:rPr>
                <w:noProof/>
                <w:webHidden/>
              </w:rPr>
              <w:fldChar w:fldCharType="begin"/>
            </w:r>
            <w:r w:rsidR="00B567DF">
              <w:rPr>
                <w:noProof/>
                <w:webHidden/>
              </w:rPr>
              <w:instrText xml:space="preserve"> PAGEREF _Toc122350047 \h </w:instrText>
            </w:r>
            <w:r w:rsidR="00B567DF">
              <w:rPr>
                <w:noProof/>
                <w:webHidden/>
              </w:rPr>
            </w:r>
            <w:r w:rsidR="00B567DF">
              <w:rPr>
                <w:noProof/>
                <w:webHidden/>
              </w:rPr>
              <w:fldChar w:fldCharType="separate"/>
            </w:r>
            <w:r w:rsidR="00B567DF">
              <w:rPr>
                <w:noProof/>
                <w:webHidden/>
              </w:rPr>
              <w:t>6</w:t>
            </w:r>
            <w:r w:rsidR="00B567DF">
              <w:rPr>
                <w:noProof/>
                <w:webHidden/>
              </w:rPr>
              <w:fldChar w:fldCharType="end"/>
            </w:r>
          </w:hyperlink>
        </w:p>
        <w:p w14:paraId="3A3A9AA7" w14:textId="055587CD" w:rsidR="00B567DF" w:rsidRDefault="00000000">
          <w:pPr>
            <w:pStyle w:val="Verzeichnis1"/>
            <w:rPr>
              <w:rFonts w:asciiTheme="minorHAnsi" w:eastAsiaTheme="minorEastAsia" w:hAnsiTheme="minorHAnsi" w:cstheme="minorBidi"/>
              <w:b w:val="0"/>
              <w:caps w:val="0"/>
              <w:noProof/>
              <w:szCs w:val="22"/>
              <w:lang w:eastAsia="de-CH"/>
            </w:rPr>
          </w:pPr>
          <w:hyperlink w:anchor="_Toc122350048" w:history="1">
            <w:r w:rsidR="00B567DF" w:rsidRPr="00912C63">
              <w:rPr>
                <w:rStyle w:val="Hyperlink"/>
                <w:noProof/>
              </w:rPr>
              <w:t>7</w:t>
            </w:r>
            <w:r w:rsidR="00B567DF">
              <w:rPr>
                <w:rFonts w:asciiTheme="minorHAnsi" w:eastAsiaTheme="minorEastAsia" w:hAnsiTheme="minorHAnsi" w:cstheme="minorBidi"/>
                <w:b w:val="0"/>
                <w:caps w:val="0"/>
                <w:noProof/>
                <w:szCs w:val="22"/>
                <w:lang w:eastAsia="de-CH"/>
              </w:rPr>
              <w:tab/>
            </w:r>
            <w:r w:rsidR="00B567DF" w:rsidRPr="00912C63">
              <w:rPr>
                <w:rStyle w:val="Hyperlink"/>
                <w:noProof/>
              </w:rPr>
              <w:t>Spitalkostenbeiträge</w:t>
            </w:r>
            <w:r w:rsidR="00B567DF">
              <w:rPr>
                <w:noProof/>
                <w:webHidden/>
              </w:rPr>
              <w:tab/>
            </w:r>
            <w:r w:rsidR="00B567DF">
              <w:rPr>
                <w:noProof/>
                <w:webHidden/>
              </w:rPr>
              <w:fldChar w:fldCharType="begin"/>
            </w:r>
            <w:r w:rsidR="00B567DF">
              <w:rPr>
                <w:noProof/>
                <w:webHidden/>
              </w:rPr>
              <w:instrText xml:space="preserve"> PAGEREF _Toc122350048 \h </w:instrText>
            </w:r>
            <w:r w:rsidR="00B567DF">
              <w:rPr>
                <w:noProof/>
                <w:webHidden/>
              </w:rPr>
            </w:r>
            <w:r w:rsidR="00B567DF">
              <w:rPr>
                <w:noProof/>
                <w:webHidden/>
              </w:rPr>
              <w:fldChar w:fldCharType="separate"/>
            </w:r>
            <w:r w:rsidR="00B567DF">
              <w:rPr>
                <w:noProof/>
                <w:webHidden/>
              </w:rPr>
              <w:t>6</w:t>
            </w:r>
            <w:r w:rsidR="00B567DF">
              <w:rPr>
                <w:noProof/>
                <w:webHidden/>
              </w:rPr>
              <w:fldChar w:fldCharType="end"/>
            </w:r>
          </w:hyperlink>
        </w:p>
        <w:p w14:paraId="2F938EFD" w14:textId="2391A98E" w:rsidR="008540A9" w:rsidRDefault="008540A9">
          <w:r>
            <w:rPr>
              <w:b/>
              <w:bCs/>
              <w:lang w:val="de-DE"/>
            </w:rPr>
            <w:fldChar w:fldCharType="end"/>
          </w:r>
        </w:p>
      </w:sdtContent>
    </w:sdt>
    <w:p w14:paraId="390D1271" w14:textId="77777777" w:rsidR="003937D4" w:rsidRPr="006930F7" w:rsidRDefault="003937D4" w:rsidP="00163593">
      <w:pPr>
        <w:pStyle w:val="berschrift1"/>
        <w:spacing w:after="240"/>
      </w:pPr>
      <w:bookmarkStart w:id="2" w:name="_Toc122350037"/>
      <w:r w:rsidRPr="006930F7">
        <w:t>Grundlage</w:t>
      </w:r>
      <w:bookmarkEnd w:id="2"/>
    </w:p>
    <w:p w14:paraId="45893A17" w14:textId="19AB9E4C" w:rsidR="003937D4" w:rsidRPr="006930F7" w:rsidRDefault="003937D4" w:rsidP="003937D4">
      <w:r w:rsidRPr="00493ACF">
        <w:t xml:space="preserve">Grundsätzlich wird zwischen dem </w:t>
      </w:r>
      <w:r w:rsidR="006B4A76" w:rsidRPr="00493ACF">
        <w:t>Grundbedarf (</w:t>
      </w:r>
      <w:r w:rsidRPr="00493ACF">
        <w:t>GBL</w:t>
      </w:r>
      <w:r w:rsidR="006B4A76" w:rsidRPr="00493ACF">
        <w:t>)</w:t>
      </w:r>
      <w:r w:rsidR="008301EC" w:rsidRPr="00493ACF">
        <w:t xml:space="preserve"> für Personen</w:t>
      </w:r>
      <w:r w:rsidRPr="00493ACF">
        <w:t xml:space="preserve"> in Wohnungen, Zimmern</w:t>
      </w:r>
      <w:r w:rsidRPr="006930F7">
        <w:t xml:space="preserve"> und Appartements </w:t>
      </w:r>
      <w:r w:rsidR="008E0768" w:rsidRPr="00911BD9">
        <w:rPr>
          <w:highlight w:val="yellow"/>
        </w:rPr>
        <w:t>(Kap. 2)</w:t>
      </w:r>
      <w:r w:rsidR="008E0768">
        <w:t xml:space="preserve"> </w:t>
      </w:r>
      <w:r w:rsidRPr="006930F7">
        <w:t xml:space="preserve">und dem GBL in stationären Einrichtungen </w:t>
      </w:r>
      <w:r w:rsidR="008E0768" w:rsidRPr="00911BD9">
        <w:rPr>
          <w:highlight w:val="yellow"/>
        </w:rPr>
        <w:t>(Kap. 3)</w:t>
      </w:r>
      <w:r w:rsidR="008E0768">
        <w:t xml:space="preserve"> </w:t>
      </w:r>
      <w:r w:rsidRPr="006930F7">
        <w:t>unterschieden.</w:t>
      </w:r>
      <w:r w:rsidR="008E0768" w:rsidRPr="006930F7" w:rsidDel="008E0768">
        <w:t xml:space="preserve"> </w:t>
      </w:r>
      <w:r w:rsidR="00223816" w:rsidRPr="00911BD9">
        <w:rPr>
          <w:highlight w:val="yellow"/>
        </w:rPr>
        <w:t xml:space="preserve">Für die Berechnung des GBL für Personen in Hotels oder hotelähnlichen Angeboten siehe </w:t>
      </w:r>
      <w:hyperlink r:id="rId13" w:history="1">
        <w:r w:rsidR="00223816" w:rsidRPr="00911BD9">
          <w:rPr>
            <w:rStyle w:val="Hyperlink"/>
            <w:highlight w:val="yellow"/>
          </w:rPr>
          <w:t>HAW Befristete Notunterbringung in Hotels und hotelähnlichen Angeboten</w:t>
        </w:r>
      </w:hyperlink>
      <w:r w:rsidR="00223816">
        <w:t>.</w:t>
      </w:r>
    </w:p>
    <w:p w14:paraId="4124076D" w14:textId="360F73B1" w:rsidR="008E0768" w:rsidRPr="006930F7" w:rsidRDefault="008E0768" w:rsidP="003937D4"/>
    <w:p w14:paraId="07EA0C15" w14:textId="77777777" w:rsidR="003937D4" w:rsidRPr="006930F7" w:rsidRDefault="003937D4" w:rsidP="003937D4">
      <w:pPr>
        <w:pStyle w:val="berschrift1"/>
        <w:spacing w:after="240"/>
      </w:pPr>
      <w:bookmarkStart w:id="3" w:name="_Toc122350038"/>
      <w:r w:rsidRPr="006930F7">
        <w:t xml:space="preserve">Grundbedarf für </w:t>
      </w:r>
      <w:r w:rsidR="00BC7F9C" w:rsidRPr="006930F7">
        <w:t>Personen</w:t>
      </w:r>
      <w:r w:rsidRPr="006930F7">
        <w:t xml:space="preserve"> in Wohnungen, Zimmern und Appartements</w:t>
      </w:r>
      <w:bookmarkEnd w:id="3"/>
    </w:p>
    <w:p w14:paraId="1A884487" w14:textId="174B88C9" w:rsidR="007C3DDE" w:rsidRDefault="003937D4">
      <w:pPr>
        <w:rPr>
          <w:rFonts w:cs="Times New Roman"/>
          <w:b/>
          <w:szCs w:val="24"/>
        </w:rPr>
      </w:pPr>
      <w:r w:rsidRPr="00493ACF">
        <w:t xml:space="preserve">Die Beträge für den GBL beinhalten alle in </w:t>
      </w:r>
      <w:r w:rsidRPr="006629E6">
        <w:t xml:space="preserve">Kap. </w:t>
      </w:r>
      <w:r w:rsidR="00BC33AF" w:rsidRPr="006629E6">
        <w:t>C.3.1</w:t>
      </w:r>
      <w:r w:rsidR="006E0899" w:rsidRPr="006629E6">
        <w:t xml:space="preserve"> </w:t>
      </w:r>
      <w:r w:rsidRPr="006629E6">
        <w:t>der</w:t>
      </w:r>
      <w:r w:rsidRPr="00493ACF">
        <w:t xml:space="preserve"> SKOS-Richtlinien enthaltenen</w:t>
      </w:r>
      <w:r w:rsidRPr="006930F7">
        <w:t xml:space="preserve"> Aus</w:t>
      </w:r>
      <w:r w:rsidR="00D45F1B" w:rsidRPr="006930F7">
        <w:t>l</w:t>
      </w:r>
      <w:r w:rsidRPr="006930F7">
        <w:t xml:space="preserve">agen für den Lebensunterhalt, die in </w:t>
      </w:r>
      <w:r w:rsidR="00BC7F9C" w:rsidRPr="006930F7">
        <w:t xml:space="preserve">dieser </w:t>
      </w:r>
      <w:r w:rsidRPr="006930F7">
        <w:t xml:space="preserve">Wohnform anfallen. </w:t>
      </w:r>
      <w:r w:rsidR="007C3DDE">
        <w:br w:type="page"/>
      </w:r>
    </w:p>
    <w:p w14:paraId="42543FB3" w14:textId="2BAE2BC9" w:rsidR="003937D4" w:rsidRPr="00D9662C" w:rsidRDefault="00DC6C01" w:rsidP="003937D4">
      <w:pPr>
        <w:pStyle w:val="berschrift2"/>
        <w:tabs>
          <w:tab w:val="clear" w:pos="709"/>
          <w:tab w:val="left" w:pos="550"/>
        </w:tabs>
        <w:spacing w:after="240"/>
        <w:ind w:left="550" w:hanging="550"/>
      </w:pPr>
      <w:bookmarkStart w:id="4" w:name="_Toc122350039"/>
      <w:r w:rsidRPr="00D9662C">
        <w:lastRenderedPageBreak/>
        <w:t xml:space="preserve">GBL für Ein- und </w:t>
      </w:r>
      <w:r w:rsidR="009250E9" w:rsidRPr="00D9662C">
        <w:t>Mehrpersonenhaushalt</w:t>
      </w:r>
      <w:r w:rsidR="00BC7F9C" w:rsidRPr="00D9662C">
        <w:t>e</w:t>
      </w:r>
      <w:r w:rsidR="009250E9" w:rsidRPr="00D9662C">
        <w:t xml:space="preserve"> mit gemeinsamer </w:t>
      </w:r>
      <w:r w:rsidR="006930F7" w:rsidRPr="00D9662C">
        <w:t>Ausübung der Haushaltfunktionen</w:t>
      </w:r>
      <w:r w:rsidR="003937D4" w:rsidRPr="00D9662C">
        <w:t xml:space="preserve"> </w:t>
      </w:r>
      <w:r w:rsidR="009250E9" w:rsidRPr="00D9662C">
        <w:t>(</w:t>
      </w:r>
      <w:r w:rsidR="003937D4" w:rsidRPr="00D9662C">
        <w:t xml:space="preserve">Ehepaare, Familien, </w:t>
      </w:r>
      <w:r w:rsidR="006E0899" w:rsidRPr="00D9662C">
        <w:t xml:space="preserve">familienähnliche </w:t>
      </w:r>
      <w:r w:rsidR="003937D4" w:rsidRPr="00D9662C">
        <w:t>Wohn- und Lebensgemeinschaften</w:t>
      </w:r>
      <w:r w:rsidR="009250E9" w:rsidRPr="00D9662C">
        <w:t>)</w:t>
      </w:r>
      <w:r w:rsidRPr="00D9662C">
        <w:t xml:space="preserve"> - SKOS Kap</w:t>
      </w:r>
      <w:r w:rsidRPr="006629E6">
        <w:t xml:space="preserve">. </w:t>
      </w:r>
      <w:r w:rsidR="006629E6">
        <w:t>C.3</w:t>
      </w:r>
      <w:r w:rsidR="0001293B" w:rsidRPr="006629E6">
        <w:t>.1 und C.3.2</w:t>
      </w:r>
      <w:bookmarkEnd w:id="4"/>
    </w:p>
    <w:p w14:paraId="351CA00D" w14:textId="77777777" w:rsidR="003937D4" w:rsidRPr="006930F7" w:rsidRDefault="003937D4" w:rsidP="004C0A05">
      <w:pPr>
        <w:pStyle w:val="Absatz0"/>
        <w:spacing w:after="120"/>
      </w:pPr>
      <w:r w:rsidRPr="006930F7">
        <w:t xml:space="preserve">Dieser GBL wird </w:t>
      </w:r>
      <w:proofErr w:type="gramStart"/>
      <w:r w:rsidRPr="006930F7">
        <w:t>bei folgenden</w:t>
      </w:r>
      <w:proofErr w:type="gramEnd"/>
      <w:r w:rsidRPr="006930F7">
        <w:t xml:space="preserve"> Wohn</w:t>
      </w:r>
      <w:r w:rsidR="004862A2" w:rsidRPr="006930F7">
        <w:t>formen</w:t>
      </w:r>
      <w:r w:rsidRPr="006930F7">
        <w:t xml:space="preserve"> gewährt:</w:t>
      </w:r>
    </w:p>
    <w:p w14:paraId="2634ED63" w14:textId="09B90672" w:rsidR="003937D4" w:rsidRPr="006930F7" w:rsidRDefault="006930F7" w:rsidP="003937D4">
      <w:pPr>
        <w:pStyle w:val="Absatz0"/>
        <w:numPr>
          <w:ilvl w:val="0"/>
          <w:numId w:val="11"/>
        </w:numPr>
      </w:pPr>
      <w:r>
        <w:t>b</w:t>
      </w:r>
      <w:r w:rsidR="003937D4" w:rsidRPr="006930F7">
        <w:t>ei allen Mietverhältnissen, in denen der individuelle Energieverbrauch (Strom, Gas) zusätzlich zur Miete anfällt.</w:t>
      </w:r>
    </w:p>
    <w:p w14:paraId="5783C090" w14:textId="1F32CE5C" w:rsidR="003937D4" w:rsidRPr="006930F7" w:rsidRDefault="006930F7" w:rsidP="003937D4">
      <w:pPr>
        <w:pStyle w:val="Absatz0"/>
        <w:numPr>
          <w:ilvl w:val="0"/>
          <w:numId w:val="11"/>
        </w:numPr>
      </w:pPr>
      <w:r>
        <w:t>b</w:t>
      </w:r>
      <w:r w:rsidR="003937D4" w:rsidRPr="006930F7">
        <w:t xml:space="preserve">ei Mietverhältnissen in Zimmern </w:t>
      </w:r>
      <w:r w:rsidR="003937D4" w:rsidRPr="006930F7">
        <w:rPr>
          <w:u w:val="single"/>
        </w:rPr>
        <w:t>ohne</w:t>
      </w:r>
      <w:r w:rsidR="003937D4" w:rsidRPr="006930F7">
        <w:t xml:space="preserve"> Kochgelegenhe</w:t>
      </w:r>
      <w:r w:rsidR="00E56AED">
        <w:t>it: Zwar entfallen einzelne Aus</w:t>
      </w:r>
      <w:r w:rsidR="003937D4" w:rsidRPr="006930F7">
        <w:t>lagen für Wohnnebenkosten, dafür entsteht ein finanzieller Me</w:t>
      </w:r>
      <w:r w:rsidR="00E56AED">
        <w:t>hraufwand wegen fehlen</w:t>
      </w:r>
      <w:r w:rsidR="006B4A76" w:rsidRPr="006930F7">
        <w:t>der Koch</w:t>
      </w:r>
      <w:r w:rsidR="003937D4" w:rsidRPr="006930F7">
        <w:t>gelegenheit.</w:t>
      </w:r>
    </w:p>
    <w:p w14:paraId="747F26BB" w14:textId="77777777" w:rsidR="003937D4" w:rsidRPr="006930F7" w:rsidRDefault="003937D4" w:rsidP="003937D4">
      <w:pPr>
        <w:pStyle w:val="Absatz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96"/>
        <w:gridCol w:w="2043"/>
        <w:gridCol w:w="2073"/>
        <w:gridCol w:w="1749"/>
      </w:tblGrid>
      <w:tr w:rsidR="003937D4" w:rsidRPr="007C3DDE" w14:paraId="6640C393" w14:textId="77777777" w:rsidTr="00FC56B2">
        <w:tc>
          <w:tcPr>
            <w:tcW w:w="3260" w:type="dxa"/>
          </w:tcPr>
          <w:p w14:paraId="4CFDCCA5" w14:textId="77777777" w:rsidR="003937D4" w:rsidRPr="007C3DDE" w:rsidRDefault="003937D4" w:rsidP="003937D4">
            <w:pPr>
              <w:pStyle w:val="Tabelle"/>
              <w:rPr>
                <w:b/>
                <w:bCs/>
                <w:sz w:val="22"/>
                <w:lang w:val="de-CH"/>
              </w:rPr>
            </w:pPr>
            <w:r w:rsidRPr="007C3DDE">
              <w:rPr>
                <w:b/>
                <w:bCs/>
                <w:sz w:val="22"/>
                <w:lang w:val="de-CH"/>
              </w:rPr>
              <w:t>Haushaltgrösse</w:t>
            </w:r>
          </w:p>
        </w:tc>
        <w:tc>
          <w:tcPr>
            <w:tcW w:w="2072" w:type="dxa"/>
          </w:tcPr>
          <w:p w14:paraId="3FA0A165" w14:textId="77777777" w:rsidR="003937D4" w:rsidRPr="007C3DDE" w:rsidRDefault="003937D4" w:rsidP="003937D4">
            <w:pPr>
              <w:pStyle w:val="Tabelle"/>
              <w:jc w:val="center"/>
              <w:rPr>
                <w:b/>
                <w:bCs/>
                <w:sz w:val="22"/>
                <w:lang w:val="de-CH"/>
              </w:rPr>
            </w:pPr>
            <w:r w:rsidRPr="007C3DDE">
              <w:rPr>
                <w:b/>
                <w:bCs/>
                <w:sz w:val="22"/>
                <w:lang w:val="de-CH"/>
              </w:rPr>
              <w:t>Pauschale / Haushalt / Monat</w:t>
            </w:r>
          </w:p>
        </w:tc>
        <w:tc>
          <w:tcPr>
            <w:tcW w:w="2109" w:type="dxa"/>
          </w:tcPr>
          <w:p w14:paraId="105C7629" w14:textId="77777777" w:rsidR="003937D4" w:rsidRPr="007C3DDE" w:rsidRDefault="003937D4" w:rsidP="00FC56B2">
            <w:pPr>
              <w:pStyle w:val="Tabelle"/>
              <w:jc w:val="center"/>
              <w:rPr>
                <w:b/>
                <w:bCs/>
                <w:sz w:val="22"/>
                <w:lang w:val="de-CH"/>
              </w:rPr>
            </w:pPr>
            <w:r w:rsidRPr="007C3DDE">
              <w:rPr>
                <w:b/>
                <w:bCs/>
                <w:sz w:val="22"/>
                <w:lang w:val="de-CH"/>
              </w:rPr>
              <w:t>Äquivalenzskala: Multiplikator</w:t>
            </w:r>
          </w:p>
        </w:tc>
        <w:tc>
          <w:tcPr>
            <w:tcW w:w="1770" w:type="dxa"/>
          </w:tcPr>
          <w:p w14:paraId="462DCDE6" w14:textId="77777777" w:rsidR="003937D4" w:rsidRPr="007C3DDE" w:rsidRDefault="003937D4" w:rsidP="00FC56B2">
            <w:pPr>
              <w:pStyle w:val="Tabelle"/>
              <w:ind w:left="45"/>
              <w:jc w:val="center"/>
              <w:rPr>
                <w:b/>
                <w:bCs/>
                <w:sz w:val="22"/>
                <w:lang w:val="de-CH"/>
              </w:rPr>
            </w:pPr>
            <w:r w:rsidRPr="007C3DDE">
              <w:rPr>
                <w:b/>
                <w:bCs/>
                <w:sz w:val="22"/>
                <w:lang w:val="de-CH"/>
              </w:rPr>
              <w:t>Pauschale / Person / Monat</w:t>
            </w:r>
          </w:p>
        </w:tc>
      </w:tr>
      <w:tr w:rsidR="003937D4" w:rsidRPr="007C3DDE" w14:paraId="1545B806" w14:textId="77777777" w:rsidTr="00FC56B2">
        <w:tc>
          <w:tcPr>
            <w:tcW w:w="3260" w:type="dxa"/>
          </w:tcPr>
          <w:p w14:paraId="5D9BC221" w14:textId="3AB6CE5F" w:rsidR="003937D4" w:rsidRPr="007C3DDE" w:rsidRDefault="003937D4" w:rsidP="003937D4">
            <w:pPr>
              <w:pStyle w:val="Tabelle"/>
              <w:rPr>
                <w:sz w:val="22"/>
                <w:lang w:val="de-CH"/>
              </w:rPr>
            </w:pPr>
            <w:r w:rsidRPr="007C3DDE">
              <w:rPr>
                <w:sz w:val="22"/>
                <w:lang w:val="de-CH"/>
              </w:rPr>
              <w:t>1 Person</w:t>
            </w:r>
          </w:p>
        </w:tc>
        <w:tc>
          <w:tcPr>
            <w:tcW w:w="2072" w:type="dxa"/>
          </w:tcPr>
          <w:p w14:paraId="3B736320" w14:textId="410ABAD4" w:rsidR="003937D4" w:rsidRPr="007C3DDE" w:rsidRDefault="006D5E55" w:rsidP="003937D4">
            <w:pPr>
              <w:pStyle w:val="Tabelle"/>
              <w:jc w:val="center"/>
              <w:rPr>
                <w:sz w:val="22"/>
                <w:lang w:val="de-CH"/>
              </w:rPr>
            </w:pPr>
            <w:r w:rsidRPr="00911BD9">
              <w:rPr>
                <w:sz w:val="22"/>
                <w:highlight w:val="yellow"/>
                <w:lang w:val="de-CH"/>
              </w:rPr>
              <w:t>1'031.00</w:t>
            </w:r>
          </w:p>
        </w:tc>
        <w:tc>
          <w:tcPr>
            <w:tcW w:w="2109" w:type="dxa"/>
          </w:tcPr>
          <w:p w14:paraId="54AE951F" w14:textId="7C354B11" w:rsidR="003937D4" w:rsidRPr="007C3DDE" w:rsidRDefault="003937D4" w:rsidP="003937D4">
            <w:pPr>
              <w:pStyle w:val="Tabelle"/>
              <w:jc w:val="center"/>
              <w:rPr>
                <w:sz w:val="22"/>
                <w:lang w:val="de-CH"/>
              </w:rPr>
            </w:pPr>
            <w:r w:rsidRPr="007C3DDE">
              <w:rPr>
                <w:sz w:val="22"/>
                <w:lang w:val="de-CH"/>
              </w:rPr>
              <w:t>1.00</w:t>
            </w:r>
          </w:p>
        </w:tc>
        <w:tc>
          <w:tcPr>
            <w:tcW w:w="1770" w:type="dxa"/>
          </w:tcPr>
          <w:p w14:paraId="489B9F93" w14:textId="5201FE87" w:rsidR="003937D4" w:rsidRPr="00911BD9" w:rsidRDefault="006D5E55" w:rsidP="003937D4">
            <w:pPr>
              <w:pStyle w:val="Tabelle"/>
              <w:jc w:val="center"/>
              <w:rPr>
                <w:sz w:val="22"/>
                <w:highlight w:val="yellow"/>
                <w:lang w:val="de-CH"/>
              </w:rPr>
            </w:pPr>
            <w:r w:rsidRPr="00911BD9">
              <w:rPr>
                <w:sz w:val="22"/>
                <w:highlight w:val="yellow"/>
                <w:lang w:val="de-CH"/>
              </w:rPr>
              <w:t>1'031.00</w:t>
            </w:r>
          </w:p>
        </w:tc>
      </w:tr>
      <w:tr w:rsidR="005121BD" w:rsidRPr="007C3DDE" w14:paraId="4CAA038E" w14:textId="77777777" w:rsidTr="00FC56B2">
        <w:tc>
          <w:tcPr>
            <w:tcW w:w="3260" w:type="dxa"/>
          </w:tcPr>
          <w:p w14:paraId="4BF648D3" w14:textId="116D23BD" w:rsidR="005121BD" w:rsidRPr="007C3DDE" w:rsidRDefault="005121BD" w:rsidP="00AA5F6D">
            <w:pPr>
              <w:pStyle w:val="Tabelle"/>
              <w:rPr>
                <w:sz w:val="22"/>
                <w:lang w:val="de-CH"/>
              </w:rPr>
            </w:pPr>
            <w:r w:rsidRPr="007C3DDE">
              <w:rPr>
                <w:sz w:val="22"/>
                <w:lang w:val="de-CH"/>
              </w:rPr>
              <w:t>1 Person (18-</w:t>
            </w:r>
            <w:proofErr w:type="gramStart"/>
            <w:r w:rsidR="00AA5F6D" w:rsidRPr="007C3DDE">
              <w:rPr>
                <w:sz w:val="22"/>
                <w:lang w:val="de-CH"/>
              </w:rPr>
              <w:t>24</w:t>
            </w:r>
            <w:r w:rsidRPr="007C3DDE">
              <w:rPr>
                <w:sz w:val="22"/>
                <w:lang w:val="de-CH"/>
              </w:rPr>
              <w:t>)*</w:t>
            </w:r>
            <w:proofErr w:type="gramEnd"/>
          </w:p>
        </w:tc>
        <w:tc>
          <w:tcPr>
            <w:tcW w:w="2072" w:type="dxa"/>
          </w:tcPr>
          <w:p w14:paraId="4254A86F" w14:textId="2725E5E5" w:rsidR="005121BD" w:rsidRPr="007C3DDE" w:rsidRDefault="006D5E55" w:rsidP="003937D4">
            <w:pPr>
              <w:pStyle w:val="Tabelle"/>
              <w:jc w:val="center"/>
              <w:rPr>
                <w:sz w:val="22"/>
                <w:lang w:val="de-CH"/>
              </w:rPr>
            </w:pPr>
            <w:r w:rsidRPr="00911BD9">
              <w:rPr>
                <w:sz w:val="22"/>
                <w:highlight w:val="yellow"/>
                <w:lang w:val="de-CH"/>
              </w:rPr>
              <w:t>825.00</w:t>
            </w:r>
          </w:p>
        </w:tc>
        <w:tc>
          <w:tcPr>
            <w:tcW w:w="2109" w:type="dxa"/>
          </w:tcPr>
          <w:p w14:paraId="44CE85BD" w14:textId="752188B4" w:rsidR="005121BD" w:rsidRPr="007C3DDE" w:rsidRDefault="00A46F6A" w:rsidP="003937D4">
            <w:pPr>
              <w:pStyle w:val="Tabelle"/>
              <w:jc w:val="center"/>
              <w:rPr>
                <w:sz w:val="22"/>
                <w:lang w:val="de-CH"/>
              </w:rPr>
            </w:pPr>
            <w:r w:rsidRPr="007C3DDE">
              <w:rPr>
                <w:sz w:val="22"/>
                <w:lang w:val="de-CH"/>
              </w:rPr>
              <w:t>-</w:t>
            </w:r>
            <w:r w:rsidR="00FC56B2" w:rsidRPr="007C3DDE">
              <w:rPr>
                <w:sz w:val="22"/>
                <w:lang w:val="de-CH"/>
              </w:rPr>
              <w:t xml:space="preserve"> </w:t>
            </w:r>
            <w:r w:rsidRPr="007C3DDE">
              <w:rPr>
                <w:sz w:val="22"/>
                <w:lang w:val="de-CH"/>
              </w:rPr>
              <w:t>20%</w:t>
            </w:r>
          </w:p>
        </w:tc>
        <w:tc>
          <w:tcPr>
            <w:tcW w:w="1770" w:type="dxa"/>
          </w:tcPr>
          <w:p w14:paraId="41ED6E37" w14:textId="5BA658B8" w:rsidR="005121BD" w:rsidRPr="00911BD9" w:rsidRDefault="006D5E55" w:rsidP="003937D4">
            <w:pPr>
              <w:pStyle w:val="Tabelle"/>
              <w:jc w:val="center"/>
              <w:rPr>
                <w:sz w:val="22"/>
                <w:highlight w:val="yellow"/>
                <w:lang w:val="de-CH"/>
              </w:rPr>
            </w:pPr>
            <w:r w:rsidRPr="00911BD9">
              <w:rPr>
                <w:sz w:val="22"/>
                <w:highlight w:val="yellow"/>
                <w:lang w:val="de-CH"/>
              </w:rPr>
              <w:t>825.00</w:t>
            </w:r>
          </w:p>
        </w:tc>
      </w:tr>
      <w:tr w:rsidR="003937D4" w:rsidRPr="007C3DDE" w14:paraId="3D0B89B4" w14:textId="77777777" w:rsidTr="00FC56B2">
        <w:tc>
          <w:tcPr>
            <w:tcW w:w="3260" w:type="dxa"/>
          </w:tcPr>
          <w:p w14:paraId="2EB18E0E" w14:textId="6E47E0D5" w:rsidR="003937D4" w:rsidRPr="007C3DDE" w:rsidRDefault="003937D4" w:rsidP="003937D4">
            <w:pPr>
              <w:pStyle w:val="Tabelle"/>
              <w:rPr>
                <w:sz w:val="22"/>
                <w:lang w:val="de-CH"/>
              </w:rPr>
            </w:pPr>
            <w:r w:rsidRPr="007C3DDE">
              <w:rPr>
                <w:sz w:val="22"/>
                <w:lang w:val="de-CH"/>
              </w:rPr>
              <w:t>2 Personen</w:t>
            </w:r>
          </w:p>
        </w:tc>
        <w:tc>
          <w:tcPr>
            <w:tcW w:w="2072" w:type="dxa"/>
          </w:tcPr>
          <w:p w14:paraId="6CA37AB0" w14:textId="1AD4630C" w:rsidR="003937D4" w:rsidRPr="007C3DDE" w:rsidRDefault="00340936" w:rsidP="003937D4">
            <w:pPr>
              <w:pStyle w:val="Tabelle"/>
              <w:jc w:val="center"/>
              <w:rPr>
                <w:sz w:val="22"/>
                <w:lang w:val="de-CH"/>
              </w:rPr>
            </w:pPr>
            <w:r w:rsidRPr="00911BD9">
              <w:rPr>
                <w:sz w:val="22"/>
                <w:highlight w:val="yellow"/>
                <w:lang w:val="de-CH"/>
              </w:rPr>
              <w:t>1'577.00</w:t>
            </w:r>
          </w:p>
        </w:tc>
        <w:tc>
          <w:tcPr>
            <w:tcW w:w="2109" w:type="dxa"/>
          </w:tcPr>
          <w:p w14:paraId="56A69657" w14:textId="238DC576" w:rsidR="003937D4" w:rsidRPr="007C3DDE" w:rsidRDefault="003937D4" w:rsidP="003937D4">
            <w:pPr>
              <w:pStyle w:val="Tabelle"/>
              <w:jc w:val="center"/>
              <w:rPr>
                <w:sz w:val="22"/>
                <w:lang w:val="de-CH"/>
              </w:rPr>
            </w:pPr>
            <w:r w:rsidRPr="007C3DDE">
              <w:rPr>
                <w:sz w:val="22"/>
                <w:lang w:val="de-CH"/>
              </w:rPr>
              <w:t>1.53</w:t>
            </w:r>
          </w:p>
        </w:tc>
        <w:tc>
          <w:tcPr>
            <w:tcW w:w="1770" w:type="dxa"/>
          </w:tcPr>
          <w:p w14:paraId="4FE270BB" w14:textId="766DA41D" w:rsidR="003937D4" w:rsidRPr="00911BD9" w:rsidRDefault="00340936" w:rsidP="00E42E77">
            <w:pPr>
              <w:pStyle w:val="Tabelle"/>
              <w:jc w:val="center"/>
              <w:rPr>
                <w:sz w:val="22"/>
                <w:highlight w:val="yellow"/>
                <w:lang w:val="de-CH"/>
              </w:rPr>
            </w:pPr>
            <w:r w:rsidRPr="00911BD9">
              <w:rPr>
                <w:sz w:val="22"/>
                <w:highlight w:val="yellow"/>
                <w:lang w:val="de-CH"/>
              </w:rPr>
              <w:t>789.00</w:t>
            </w:r>
          </w:p>
        </w:tc>
      </w:tr>
      <w:tr w:rsidR="003937D4" w:rsidRPr="007C3DDE" w14:paraId="74DE4BE2" w14:textId="77777777" w:rsidTr="00FC56B2">
        <w:tc>
          <w:tcPr>
            <w:tcW w:w="3260" w:type="dxa"/>
          </w:tcPr>
          <w:p w14:paraId="7EAE9B13" w14:textId="77777777" w:rsidR="003937D4" w:rsidRPr="007C3DDE" w:rsidRDefault="003937D4" w:rsidP="003937D4">
            <w:pPr>
              <w:pStyle w:val="Tabelle"/>
              <w:rPr>
                <w:sz w:val="22"/>
                <w:lang w:val="de-CH"/>
              </w:rPr>
            </w:pPr>
            <w:r w:rsidRPr="007C3DDE">
              <w:rPr>
                <w:sz w:val="22"/>
                <w:lang w:val="de-CH"/>
              </w:rPr>
              <w:t>3 Personen</w:t>
            </w:r>
          </w:p>
        </w:tc>
        <w:tc>
          <w:tcPr>
            <w:tcW w:w="2072" w:type="dxa"/>
          </w:tcPr>
          <w:p w14:paraId="0B801C32" w14:textId="54F32F13" w:rsidR="003937D4" w:rsidRPr="007C3DDE" w:rsidRDefault="00340936" w:rsidP="00E42E77">
            <w:pPr>
              <w:pStyle w:val="Tabelle"/>
              <w:jc w:val="center"/>
              <w:rPr>
                <w:sz w:val="22"/>
                <w:lang w:val="de-CH"/>
              </w:rPr>
            </w:pPr>
            <w:r w:rsidRPr="00911BD9">
              <w:rPr>
                <w:sz w:val="22"/>
                <w:highlight w:val="yellow"/>
                <w:lang w:val="de-CH"/>
              </w:rPr>
              <w:t>1'918.00</w:t>
            </w:r>
          </w:p>
        </w:tc>
        <w:tc>
          <w:tcPr>
            <w:tcW w:w="2109" w:type="dxa"/>
          </w:tcPr>
          <w:p w14:paraId="4CC65A0B" w14:textId="10DD0421" w:rsidR="003937D4" w:rsidRPr="007C3DDE" w:rsidRDefault="003937D4" w:rsidP="003937D4">
            <w:pPr>
              <w:pStyle w:val="Tabelle"/>
              <w:jc w:val="center"/>
              <w:rPr>
                <w:sz w:val="22"/>
                <w:lang w:val="de-CH"/>
              </w:rPr>
            </w:pPr>
            <w:r w:rsidRPr="007C3DDE">
              <w:rPr>
                <w:sz w:val="22"/>
                <w:lang w:val="de-CH"/>
              </w:rPr>
              <w:t>1.86</w:t>
            </w:r>
          </w:p>
        </w:tc>
        <w:tc>
          <w:tcPr>
            <w:tcW w:w="1770" w:type="dxa"/>
          </w:tcPr>
          <w:p w14:paraId="70793474" w14:textId="6BC6674B" w:rsidR="003937D4" w:rsidRPr="00911BD9" w:rsidRDefault="00340936" w:rsidP="003937D4">
            <w:pPr>
              <w:pStyle w:val="Tabelle"/>
              <w:jc w:val="center"/>
              <w:rPr>
                <w:sz w:val="22"/>
                <w:highlight w:val="yellow"/>
                <w:lang w:val="de-CH"/>
              </w:rPr>
            </w:pPr>
            <w:r w:rsidRPr="00911BD9">
              <w:rPr>
                <w:sz w:val="22"/>
                <w:highlight w:val="yellow"/>
                <w:lang w:val="de-CH"/>
              </w:rPr>
              <w:t>639.00</w:t>
            </w:r>
          </w:p>
        </w:tc>
      </w:tr>
      <w:tr w:rsidR="003937D4" w:rsidRPr="007C3DDE" w14:paraId="6A18331F" w14:textId="77777777" w:rsidTr="00FC56B2">
        <w:tc>
          <w:tcPr>
            <w:tcW w:w="3260" w:type="dxa"/>
          </w:tcPr>
          <w:p w14:paraId="0F122626" w14:textId="77777777" w:rsidR="003937D4" w:rsidRPr="007C3DDE" w:rsidRDefault="003937D4" w:rsidP="003937D4">
            <w:pPr>
              <w:pStyle w:val="Tabelle"/>
              <w:rPr>
                <w:sz w:val="22"/>
                <w:lang w:val="de-CH"/>
              </w:rPr>
            </w:pPr>
            <w:r w:rsidRPr="007C3DDE">
              <w:rPr>
                <w:sz w:val="22"/>
                <w:lang w:val="de-CH"/>
              </w:rPr>
              <w:t>4 Personen</w:t>
            </w:r>
          </w:p>
        </w:tc>
        <w:tc>
          <w:tcPr>
            <w:tcW w:w="2072" w:type="dxa"/>
          </w:tcPr>
          <w:p w14:paraId="464E3BD2" w14:textId="45DC11E7" w:rsidR="003937D4" w:rsidRPr="007C3DDE" w:rsidRDefault="00340936" w:rsidP="003937D4">
            <w:pPr>
              <w:pStyle w:val="Tabelle"/>
              <w:jc w:val="center"/>
              <w:rPr>
                <w:sz w:val="22"/>
                <w:lang w:val="de-CH"/>
              </w:rPr>
            </w:pPr>
            <w:r w:rsidRPr="00911BD9">
              <w:rPr>
                <w:sz w:val="22"/>
                <w:highlight w:val="yellow"/>
                <w:lang w:val="de-CH"/>
              </w:rPr>
              <w:t>2'206.00</w:t>
            </w:r>
          </w:p>
        </w:tc>
        <w:tc>
          <w:tcPr>
            <w:tcW w:w="2109" w:type="dxa"/>
          </w:tcPr>
          <w:p w14:paraId="4259D416" w14:textId="09F42BAD" w:rsidR="003937D4" w:rsidRPr="007C3DDE" w:rsidRDefault="003937D4" w:rsidP="003937D4">
            <w:pPr>
              <w:pStyle w:val="Tabelle"/>
              <w:jc w:val="center"/>
              <w:rPr>
                <w:sz w:val="22"/>
                <w:lang w:val="de-CH"/>
              </w:rPr>
            </w:pPr>
            <w:r w:rsidRPr="007C3DDE">
              <w:rPr>
                <w:sz w:val="22"/>
                <w:lang w:val="de-CH"/>
              </w:rPr>
              <w:t>2.14</w:t>
            </w:r>
          </w:p>
        </w:tc>
        <w:tc>
          <w:tcPr>
            <w:tcW w:w="1770" w:type="dxa"/>
          </w:tcPr>
          <w:p w14:paraId="0B2A1FF2" w14:textId="3E6163F3" w:rsidR="003937D4" w:rsidRPr="00911BD9" w:rsidRDefault="00340936" w:rsidP="003937D4">
            <w:pPr>
              <w:pStyle w:val="Tabelle"/>
              <w:jc w:val="center"/>
              <w:rPr>
                <w:sz w:val="22"/>
                <w:highlight w:val="yellow"/>
                <w:lang w:val="de-CH"/>
              </w:rPr>
            </w:pPr>
            <w:r w:rsidRPr="00911BD9">
              <w:rPr>
                <w:sz w:val="22"/>
                <w:highlight w:val="yellow"/>
                <w:lang w:val="de-CH"/>
              </w:rPr>
              <w:t>552.00</w:t>
            </w:r>
          </w:p>
        </w:tc>
      </w:tr>
      <w:tr w:rsidR="003937D4" w:rsidRPr="007C3DDE" w14:paraId="05E419A9" w14:textId="77777777" w:rsidTr="00FC56B2">
        <w:tc>
          <w:tcPr>
            <w:tcW w:w="3260" w:type="dxa"/>
          </w:tcPr>
          <w:p w14:paraId="3D6E0C8C" w14:textId="77777777" w:rsidR="003937D4" w:rsidRPr="007C3DDE" w:rsidRDefault="003937D4" w:rsidP="003937D4">
            <w:pPr>
              <w:pStyle w:val="Tabelle"/>
              <w:rPr>
                <w:sz w:val="22"/>
                <w:lang w:val="de-CH"/>
              </w:rPr>
            </w:pPr>
            <w:r w:rsidRPr="007C3DDE">
              <w:rPr>
                <w:sz w:val="22"/>
                <w:lang w:val="de-CH"/>
              </w:rPr>
              <w:t>5 Personen</w:t>
            </w:r>
          </w:p>
        </w:tc>
        <w:tc>
          <w:tcPr>
            <w:tcW w:w="2072" w:type="dxa"/>
          </w:tcPr>
          <w:p w14:paraId="41E419FF" w14:textId="32598450" w:rsidR="003937D4" w:rsidRPr="007C3DDE" w:rsidRDefault="00340936" w:rsidP="003937D4">
            <w:pPr>
              <w:pStyle w:val="Tabelle"/>
              <w:jc w:val="center"/>
              <w:rPr>
                <w:sz w:val="22"/>
                <w:lang w:val="de-CH"/>
              </w:rPr>
            </w:pPr>
            <w:r w:rsidRPr="00911BD9">
              <w:rPr>
                <w:sz w:val="22"/>
                <w:highlight w:val="yellow"/>
                <w:lang w:val="de-CH"/>
              </w:rPr>
              <w:t>2'495.00</w:t>
            </w:r>
          </w:p>
        </w:tc>
        <w:tc>
          <w:tcPr>
            <w:tcW w:w="2109" w:type="dxa"/>
          </w:tcPr>
          <w:p w14:paraId="66C61BE2" w14:textId="773C3C79" w:rsidR="003937D4" w:rsidRPr="007C3DDE" w:rsidRDefault="003937D4" w:rsidP="003937D4">
            <w:pPr>
              <w:pStyle w:val="Tabelle"/>
              <w:jc w:val="center"/>
              <w:rPr>
                <w:sz w:val="22"/>
                <w:lang w:val="de-CH"/>
              </w:rPr>
            </w:pPr>
            <w:r w:rsidRPr="007C3DDE">
              <w:rPr>
                <w:sz w:val="22"/>
                <w:lang w:val="de-CH"/>
              </w:rPr>
              <w:t>2.42</w:t>
            </w:r>
          </w:p>
        </w:tc>
        <w:tc>
          <w:tcPr>
            <w:tcW w:w="1770" w:type="dxa"/>
          </w:tcPr>
          <w:p w14:paraId="59289B8B" w14:textId="114CE01F" w:rsidR="003937D4" w:rsidRPr="00911BD9" w:rsidRDefault="00340936" w:rsidP="003937D4">
            <w:pPr>
              <w:pStyle w:val="Tabelle"/>
              <w:jc w:val="center"/>
              <w:rPr>
                <w:sz w:val="22"/>
                <w:highlight w:val="yellow"/>
                <w:lang w:val="de-CH"/>
              </w:rPr>
            </w:pPr>
            <w:r w:rsidRPr="00911BD9">
              <w:rPr>
                <w:sz w:val="22"/>
                <w:highlight w:val="yellow"/>
                <w:lang w:val="de-CH"/>
              </w:rPr>
              <w:t>499.00</w:t>
            </w:r>
          </w:p>
        </w:tc>
      </w:tr>
      <w:tr w:rsidR="00A46F6A" w:rsidRPr="007C3DDE" w14:paraId="4A4F8134" w14:textId="77777777" w:rsidTr="006B5D15">
        <w:tc>
          <w:tcPr>
            <w:tcW w:w="3260" w:type="dxa"/>
          </w:tcPr>
          <w:p w14:paraId="7CA44E77" w14:textId="77777777" w:rsidR="00A46F6A" w:rsidRPr="007C3DDE" w:rsidRDefault="00A46F6A" w:rsidP="003937D4">
            <w:pPr>
              <w:pStyle w:val="Tabelle"/>
              <w:rPr>
                <w:sz w:val="22"/>
                <w:lang w:val="de-CH"/>
              </w:rPr>
            </w:pPr>
            <w:r w:rsidRPr="007C3DDE">
              <w:rPr>
                <w:sz w:val="22"/>
                <w:lang w:val="de-CH"/>
              </w:rPr>
              <w:t>pro weitere Person plus</w:t>
            </w:r>
          </w:p>
        </w:tc>
        <w:tc>
          <w:tcPr>
            <w:tcW w:w="2072" w:type="dxa"/>
          </w:tcPr>
          <w:p w14:paraId="46632F54" w14:textId="1E1408D3" w:rsidR="00A46F6A" w:rsidRPr="00911BD9" w:rsidRDefault="00A46F6A" w:rsidP="00340936">
            <w:pPr>
              <w:pStyle w:val="Tabelle"/>
              <w:jc w:val="center"/>
              <w:rPr>
                <w:sz w:val="22"/>
                <w:highlight w:val="yellow"/>
                <w:lang w:val="de-CH"/>
              </w:rPr>
            </w:pPr>
            <w:r w:rsidRPr="00911BD9">
              <w:rPr>
                <w:sz w:val="22"/>
                <w:highlight w:val="yellow"/>
                <w:lang w:val="de-CH"/>
              </w:rPr>
              <w:t xml:space="preserve"> +</w:t>
            </w:r>
            <w:r w:rsidR="00FC56B2" w:rsidRPr="00911BD9">
              <w:rPr>
                <w:sz w:val="22"/>
                <w:highlight w:val="yellow"/>
                <w:lang w:val="de-CH"/>
              </w:rPr>
              <w:t xml:space="preserve"> </w:t>
            </w:r>
            <w:r w:rsidR="00340936" w:rsidRPr="00911BD9">
              <w:rPr>
                <w:sz w:val="22"/>
                <w:highlight w:val="yellow"/>
                <w:lang w:val="de-CH"/>
              </w:rPr>
              <w:t>209.00</w:t>
            </w:r>
          </w:p>
        </w:tc>
        <w:tc>
          <w:tcPr>
            <w:tcW w:w="3879" w:type="dxa"/>
            <w:gridSpan w:val="2"/>
          </w:tcPr>
          <w:p w14:paraId="49E3FC36" w14:textId="7E272DE1" w:rsidR="00A46F6A" w:rsidRPr="007C3DDE" w:rsidRDefault="00832BAF" w:rsidP="006A2FDE">
            <w:pPr>
              <w:pStyle w:val="Tabelle"/>
              <w:rPr>
                <w:sz w:val="16"/>
                <w:szCs w:val="16"/>
                <w:lang w:val="de-CH"/>
              </w:rPr>
            </w:pPr>
            <w:r w:rsidRPr="007C3DDE">
              <w:rPr>
                <w:sz w:val="16"/>
                <w:szCs w:val="16"/>
                <w:lang w:val="de-CH"/>
              </w:rPr>
              <w:t xml:space="preserve">Pauschale 5 Personen </w:t>
            </w:r>
            <w:r w:rsidR="00314E34" w:rsidRPr="007C3DDE">
              <w:rPr>
                <w:sz w:val="16"/>
                <w:szCs w:val="16"/>
                <w:lang w:val="de-CH"/>
              </w:rPr>
              <w:t>+</w:t>
            </w:r>
            <w:r w:rsidRPr="007C3DDE">
              <w:rPr>
                <w:sz w:val="16"/>
                <w:szCs w:val="16"/>
                <w:lang w:val="de-CH"/>
              </w:rPr>
              <w:t xml:space="preserve"> </w:t>
            </w:r>
            <w:r w:rsidR="004245D6" w:rsidRPr="007C3DDE">
              <w:rPr>
                <w:sz w:val="16"/>
                <w:szCs w:val="16"/>
                <w:lang w:val="de-CH"/>
              </w:rPr>
              <w:t>(</w:t>
            </w:r>
            <w:r w:rsidR="00340936" w:rsidRPr="00911BD9">
              <w:rPr>
                <w:sz w:val="16"/>
                <w:szCs w:val="16"/>
                <w:highlight w:val="yellow"/>
                <w:lang w:val="de-CH"/>
              </w:rPr>
              <w:t>209.00</w:t>
            </w:r>
            <w:r w:rsidRPr="007C3DDE">
              <w:rPr>
                <w:sz w:val="16"/>
                <w:szCs w:val="16"/>
                <w:lang w:val="de-CH"/>
              </w:rPr>
              <w:t xml:space="preserve"> </w:t>
            </w:r>
            <w:r w:rsidR="00314E34" w:rsidRPr="007C3DDE">
              <w:rPr>
                <w:sz w:val="16"/>
                <w:szCs w:val="16"/>
                <w:lang w:val="de-CH"/>
              </w:rPr>
              <w:t>x Anzahl</w:t>
            </w:r>
            <w:r w:rsidRPr="007C3DDE">
              <w:rPr>
                <w:sz w:val="16"/>
                <w:szCs w:val="16"/>
                <w:lang w:val="de-CH"/>
              </w:rPr>
              <w:t xml:space="preserve"> Person</w:t>
            </w:r>
            <w:r w:rsidR="00F27FB0" w:rsidRPr="007C3DDE">
              <w:rPr>
                <w:sz w:val="16"/>
                <w:szCs w:val="16"/>
                <w:lang w:val="de-CH"/>
              </w:rPr>
              <w:t xml:space="preserve"> plus</w:t>
            </w:r>
            <w:proofErr w:type="gramStart"/>
            <w:r w:rsidR="00314E34" w:rsidRPr="007C3DDE">
              <w:rPr>
                <w:sz w:val="16"/>
                <w:szCs w:val="16"/>
                <w:lang w:val="de-CH"/>
              </w:rPr>
              <w:t>)</w:t>
            </w:r>
            <w:r w:rsidRPr="007C3DDE">
              <w:rPr>
                <w:sz w:val="16"/>
                <w:szCs w:val="16"/>
                <w:lang w:val="de-CH"/>
              </w:rPr>
              <w:t xml:space="preserve"> :</w:t>
            </w:r>
            <w:proofErr w:type="gramEnd"/>
            <w:r w:rsidRPr="007C3DDE">
              <w:rPr>
                <w:sz w:val="16"/>
                <w:szCs w:val="16"/>
                <w:lang w:val="de-CH"/>
              </w:rPr>
              <w:t xml:space="preserve"> Total Personen im Haushalt = Pauschale Person Monat. </w:t>
            </w:r>
          </w:p>
        </w:tc>
      </w:tr>
      <w:tr w:rsidR="005121BD" w:rsidRPr="006930F7" w14:paraId="161935D3" w14:textId="77777777" w:rsidTr="006B5D15">
        <w:tc>
          <w:tcPr>
            <w:tcW w:w="9211" w:type="dxa"/>
            <w:gridSpan w:val="4"/>
          </w:tcPr>
          <w:p w14:paraId="2DB50F50" w14:textId="2190D86D" w:rsidR="00FC56B2" w:rsidRPr="00FC56B2" w:rsidRDefault="005121BD" w:rsidP="00FC56B2">
            <w:pPr>
              <w:pStyle w:val="Tabelle"/>
              <w:rPr>
                <w:sz w:val="16"/>
                <w:szCs w:val="16"/>
                <w:lang w:val="de-CH"/>
              </w:rPr>
            </w:pPr>
            <w:r w:rsidRPr="007C3DDE">
              <w:rPr>
                <w:sz w:val="22"/>
                <w:szCs w:val="22"/>
                <w:lang w:val="de-CH"/>
              </w:rPr>
              <w:t>*</w:t>
            </w:r>
            <w:r w:rsidRPr="007C3DDE">
              <w:rPr>
                <w:sz w:val="16"/>
                <w:szCs w:val="16"/>
                <w:lang w:val="de-CH"/>
              </w:rPr>
              <w:t>Junge Erwachsene</w:t>
            </w:r>
            <w:r w:rsidR="00072AD1" w:rsidRPr="007C3DDE">
              <w:rPr>
                <w:sz w:val="16"/>
                <w:szCs w:val="16"/>
                <w:lang w:val="de-CH"/>
              </w:rPr>
              <w:t>,</w:t>
            </w:r>
            <w:r w:rsidRPr="007C3DDE">
              <w:rPr>
                <w:sz w:val="16"/>
                <w:szCs w:val="16"/>
                <w:lang w:val="de-CH"/>
              </w:rPr>
              <w:t xml:space="preserve"> die in einem Einpersonenhaushalt leben, werden mit einem um 20</w:t>
            </w:r>
            <w:r w:rsidR="00FC56B2" w:rsidRPr="007C3DDE">
              <w:rPr>
                <w:sz w:val="16"/>
                <w:szCs w:val="16"/>
                <w:lang w:val="de-CH"/>
              </w:rPr>
              <w:t xml:space="preserve"> </w:t>
            </w:r>
            <w:r w:rsidRPr="007C3DDE">
              <w:rPr>
                <w:sz w:val="16"/>
                <w:szCs w:val="16"/>
                <w:lang w:val="de-CH"/>
              </w:rPr>
              <w:t>% reduzierten</w:t>
            </w:r>
            <w:r w:rsidR="004C0A05" w:rsidRPr="007C3DDE">
              <w:rPr>
                <w:sz w:val="16"/>
                <w:szCs w:val="16"/>
                <w:lang w:val="de-CH"/>
              </w:rPr>
              <w:t xml:space="preserve"> GBL unterstützt, w</w:t>
            </w:r>
            <w:r w:rsidRPr="007C3DDE">
              <w:rPr>
                <w:sz w:val="16"/>
                <w:szCs w:val="16"/>
                <w:lang w:val="de-CH"/>
              </w:rPr>
              <w:t>enn sie nicht an einer auf die arbeitsmarktliche Integration ausgerichteten Ausbildung oder Massnahme teilnehmen, keiner angemessenen Erwerbstätigkeit nachgehen oder keine eigenen Kinder betreuen.</w:t>
            </w:r>
          </w:p>
        </w:tc>
      </w:tr>
    </w:tbl>
    <w:p w14:paraId="084B0228" w14:textId="44A58D13" w:rsidR="00072AD1" w:rsidRDefault="00072AD1">
      <w:pPr>
        <w:rPr>
          <w:rFonts w:cs="Times New Roman"/>
          <w:b/>
          <w:szCs w:val="24"/>
        </w:rPr>
      </w:pPr>
    </w:p>
    <w:p w14:paraId="671C7CB5" w14:textId="443768B2" w:rsidR="003937D4" w:rsidRPr="00D9662C" w:rsidRDefault="00DC6C01" w:rsidP="003937D4">
      <w:pPr>
        <w:pStyle w:val="berschrift2"/>
        <w:tabs>
          <w:tab w:val="clear" w:pos="709"/>
          <w:tab w:val="left" w:pos="550"/>
        </w:tabs>
        <w:spacing w:after="240"/>
        <w:ind w:left="550" w:hanging="550"/>
      </w:pPr>
      <w:bookmarkStart w:id="5" w:name="_Toc122350040"/>
      <w:r w:rsidRPr="00D9662C">
        <w:t>GBL für</w:t>
      </w:r>
      <w:r w:rsidR="00493ACF" w:rsidRPr="00D9662C">
        <w:t xml:space="preserve"> </w:t>
      </w:r>
      <w:r w:rsidR="003937D4" w:rsidRPr="00D9662C">
        <w:t>Ein</w:t>
      </w:r>
      <w:r w:rsidRPr="00D9662C">
        <w:t>- und</w:t>
      </w:r>
      <w:r w:rsidR="009250E9" w:rsidRPr="00D9662C">
        <w:t xml:space="preserve"> </w:t>
      </w:r>
      <w:r w:rsidR="003937D4" w:rsidRPr="00D9662C">
        <w:t>Mehrpersonenhaushalte</w:t>
      </w:r>
      <w:r w:rsidR="009250E9" w:rsidRPr="00D9662C">
        <w:t xml:space="preserve"> mit gemeinsamer </w:t>
      </w:r>
      <w:r w:rsidR="006930F7" w:rsidRPr="00D9662C">
        <w:t>Ausübung der Haushaltfunktionen</w:t>
      </w:r>
      <w:r w:rsidR="009250E9" w:rsidRPr="00D9662C">
        <w:t xml:space="preserve">, wenn </w:t>
      </w:r>
      <w:r w:rsidR="00C95B24" w:rsidRPr="00D9662C">
        <w:t xml:space="preserve">die </w:t>
      </w:r>
      <w:r w:rsidR="009250E9" w:rsidRPr="00D9662C">
        <w:t xml:space="preserve">Energiekosten im </w:t>
      </w:r>
      <w:r w:rsidRPr="00D9662C">
        <w:t>Mietzins enthalten</w:t>
      </w:r>
      <w:r w:rsidR="009250E9" w:rsidRPr="00D9662C">
        <w:t xml:space="preserve"> </w:t>
      </w:r>
      <w:r w:rsidR="00C95B24" w:rsidRPr="00D9662C">
        <w:t>sind</w:t>
      </w:r>
      <w:r w:rsidRPr="00D9662C">
        <w:t>.</w:t>
      </w:r>
      <w:bookmarkEnd w:id="5"/>
    </w:p>
    <w:p w14:paraId="4AE91D45" w14:textId="2EA3BD59" w:rsidR="003937D4" w:rsidRPr="007C3DDE" w:rsidRDefault="003937D4" w:rsidP="003937D4">
      <w:r w:rsidRPr="007C3DDE">
        <w:t>Die Auslagen für den individuellen Energieverbrauch (Strom, Gas) sind im Mietzins pauschal inbegriffen und fallen deshalb beim Lebensunterhalt nicht an.</w:t>
      </w:r>
      <w:r w:rsidR="009800B0" w:rsidRPr="007C3DDE">
        <w:t xml:space="preserve"> Die nachfolgenden Beträge entsprechen dem GBL nach Abzug der Energiekosten von 4.7% gemäss SKOS-Warenkorb (Stand Januar 2021)</w:t>
      </w:r>
      <w:r w:rsidR="00976133" w:rsidRPr="007C3DDE">
        <w:t>.</w:t>
      </w:r>
    </w:p>
    <w:p w14:paraId="6C14C105" w14:textId="77777777" w:rsidR="003937D4" w:rsidRPr="007C3DDE" w:rsidRDefault="003937D4" w:rsidP="003937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18"/>
        <w:gridCol w:w="2107"/>
        <w:gridCol w:w="2084"/>
        <w:gridCol w:w="1752"/>
      </w:tblGrid>
      <w:tr w:rsidR="003937D4" w:rsidRPr="007C3DDE" w14:paraId="3847FEFE" w14:textId="77777777" w:rsidTr="000B1720">
        <w:tc>
          <w:tcPr>
            <w:tcW w:w="3118" w:type="dxa"/>
          </w:tcPr>
          <w:p w14:paraId="733DDEAA" w14:textId="77777777" w:rsidR="003937D4" w:rsidRPr="007C3DDE" w:rsidRDefault="003937D4" w:rsidP="00FC56B2">
            <w:pPr>
              <w:pStyle w:val="Tabelle"/>
              <w:tabs>
                <w:tab w:val="left" w:pos="3191"/>
                <w:tab w:val="left" w:pos="5265"/>
                <w:tab w:val="left" w:pos="7373"/>
              </w:tabs>
              <w:rPr>
                <w:b/>
                <w:bCs/>
                <w:sz w:val="22"/>
                <w:lang w:val="de-CH"/>
              </w:rPr>
            </w:pPr>
            <w:r w:rsidRPr="007C3DDE">
              <w:rPr>
                <w:b/>
                <w:bCs/>
                <w:sz w:val="22"/>
                <w:lang w:val="de-CH"/>
              </w:rPr>
              <w:t>Haushaltgrösse</w:t>
            </w:r>
          </w:p>
        </w:tc>
        <w:tc>
          <w:tcPr>
            <w:tcW w:w="2107" w:type="dxa"/>
          </w:tcPr>
          <w:p w14:paraId="279417B8" w14:textId="77777777" w:rsidR="003937D4" w:rsidRPr="007C3DDE" w:rsidRDefault="003937D4" w:rsidP="00FC56B2">
            <w:pPr>
              <w:pStyle w:val="Tabelle"/>
              <w:tabs>
                <w:tab w:val="left" w:pos="3191"/>
                <w:tab w:val="left" w:pos="5265"/>
                <w:tab w:val="left" w:pos="7373"/>
              </w:tabs>
              <w:jc w:val="center"/>
              <w:rPr>
                <w:b/>
                <w:bCs/>
                <w:sz w:val="22"/>
                <w:lang w:val="de-CH"/>
              </w:rPr>
            </w:pPr>
            <w:r w:rsidRPr="007C3DDE">
              <w:rPr>
                <w:b/>
                <w:bCs/>
                <w:sz w:val="22"/>
                <w:lang w:val="de-CH"/>
              </w:rPr>
              <w:t>Pauschale / Haushalt / Monat</w:t>
            </w:r>
          </w:p>
        </w:tc>
        <w:tc>
          <w:tcPr>
            <w:tcW w:w="2084" w:type="dxa"/>
          </w:tcPr>
          <w:p w14:paraId="775EC056" w14:textId="77777777" w:rsidR="003937D4" w:rsidRPr="007C3DDE" w:rsidRDefault="003937D4" w:rsidP="00FC56B2">
            <w:pPr>
              <w:pStyle w:val="Tabelle"/>
              <w:tabs>
                <w:tab w:val="left" w:pos="3191"/>
                <w:tab w:val="left" w:pos="5265"/>
                <w:tab w:val="left" w:pos="7373"/>
              </w:tabs>
              <w:jc w:val="center"/>
              <w:rPr>
                <w:b/>
                <w:bCs/>
                <w:sz w:val="22"/>
                <w:lang w:val="de-CH"/>
              </w:rPr>
            </w:pPr>
            <w:r w:rsidRPr="007C3DDE">
              <w:rPr>
                <w:b/>
                <w:bCs/>
                <w:sz w:val="22"/>
                <w:lang w:val="de-CH"/>
              </w:rPr>
              <w:t>Äquivalenzskala: Multiplikator</w:t>
            </w:r>
          </w:p>
        </w:tc>
        <w:tc>
          <w:tcPr>
            <w:tcW w:w="1752" w:type="dxa"/>
          </w:tcPr>
          <w:p w14:paraId="0905A2EC" w14:textId="77777777" w:rsidR="003937D4" w:rsidRPr="007C3DDE" w:rsidRDefault="003937D4" w:rsidP="00FC56B2">
            <w:pPr>
              <w:pStyle w:val="Tabelle"/>
              <w:tabs>
                <w:tab w:val="left" w:pos="3191"/>
                <w:tab w:val="left" w:pos="5265"/>
                <w:tab w:val="left" w:pos="7373"/>
              </w:tabs>
              <w:jc w:val="center"/>
              <w:rPr>
                <w:b/>
                <w:bCs/>
                <w:sz w:val="22"/>
                <w:lang w:val="de-CH"/>
              </w:rPr>
            </w:pPr>
            <w:r w:rsidRPr="007C3DDE">
              <w:rPr>
                <w:b/>
                <w:bCs/>
                <w:sz w:val="22"/>
                <w:lang w:val="de-CH"/>
              </w:rPr>
              <w:t>Pauschale / Person / Monat</w:t>
            </w:r>
          </w:p>
        </w:tc>
      </w:tr>
      <w:tr w:rsidR="003937D4" w:rsidRPr="007C3DDE" w14:paraId="06D55D60" w14:textId="77777777" w:rsidTr="000B1720">
        <w:tc>
          <w:tcPr>
            <w:tcW w:w="3118" w:type="dxa"/>
          </w:tcPr>
          <w:p w14:paraId="3D0E2626" w14:textId="2A398879" w:rsidR="003937D4" w:rsidRPr="007C3DDE" w:rsidRDefault="003937D4" w:rsidP="00FC56B2">
            <w:pPr>
              <w:pStyle w:val="Tabelle"/>
              <w:tabs>
                <w:tab w:val="left" w:pos="3191"/>
                <w:tab w:val="left" w:pos="5265"/>
                <w:tab w:val="left" w:pos="7373"/>
              </w:tabs>
              <w:rPr>
                <w:sz w:val="22"/>
                <w:lang w:val="de-CH"/>
              </w:rPr>
            </w:pPr>
            <w:r w:rsidRPr="007C3DDE">
              <w:rPr>
                <w:sz w:val="22"/>
                <w:lang w:val="de-CH"/>
              </w:rPr>
              <w:t>1 Person</w:t>
            </w:r>
          </w:p>
        </w:tc>
        <w:tc>
          <w:tcPr>
            <w:tcW w:w="2107" w:type="dxa"/>
          </w:tcPr>
          <w:p w14:paraId="62DA4B68" w14:textId="407C567C" w:rsidR="003937D4" w:rsidRPr="00911BD9" w:rsidRDefault="00CC0EA3" w:rsidP="00FC56B2">
            <w:pPr>
              <w:pStyle w:val="Tabelle"/>
              <w:tabs>
                <w:tab w:val="left" w:pos="3191"/>
                <w:tab w:val="left" w:pos="5265"/>
                <w:tab w:val="left" w:pos="7373"/>
              </w:tabs>
              <w:jc w:val="center"/>
              <w:rPr>
                <w:sz w:val="22"/>
                <w:highlight w:val="yellow"/>
                <w:lang w:val="de-CH"/>
              </w:rPr>
            </w:pPr>
            <w:r w:rsidRPr="00911BD9">
              <w:rPr>
                <w:sz w:val="22"/>
                <w:highlight w:val="yellow"/>
                <w:lang w:val="de-CH"/>
              </w:rPr>
              <w:t>983.00</w:t>
            </w:r>
          </w:p>
        </w:tc>
        <w:tc>
          <w:tcPr>
            <w:tcW w:w="2084" w:type="dxa"/>
          </w:tcPr>
          <w:p w14:paraId="6B8BB92F" w14:textId="77777777" w:rsidR="003937D4" w:rsidRPr="007C3DDE" w:rsidRDefault="003937D4" w:rsidP="00FC56B2">
            <w:pPr>
              <w:pStyle w:val="Tabelle"/>
              <w:tabs>
                <w:tab w:val="left" w:pos="3191"/>
                <w:tab w:val="left" w:pos="5265"/>
                <w:tab w:val="left" w:pos="7373"/>
              </w:tabs>
              <w:jc w:val="center"/>
              <w:rPr>
                <w:sz w:val="22"/>
                <w:lang w:val="de-CH"/>
              </w:rPr>
            </w:pPr>
            <w:r w:rsidRPr="007C3DDE">
              <w:rPr>
                <w:sz w:val="22"/>
                <w:lang w:val="de-CH"/>
              </w:rPr>
              <w:t>1.00</w:t>
            </w:r>
          </w:p>
        </w:tc>
        <w:tc>
          <w:tcPr>
            <w:tcW w:w="1752" w:type="dxa"/>
          </w:tcPr>
          <w:p w14:paraId="6A4C2932" w14:textId="2E6C81DC" w:rsidR="003937D4" w:rsidRPr="00911BD9" w:rsidRDefault="002D141E" w:rsidP="00FC56B2">
            <w:pPr>
              <w:pStyle w:val="Tabelle"/>
              <w:tabs>
                <w:tab w:val="left" w:pos="3191"/>
                <w:tab w:val="left" w:pos="5265"/>
                <w:tab w:val="left" w:pos="7373"/>
              </w:tabs>
              <w:jc w:val="center"/>
              <w:rPr>
                <w:sz w:val="22"/>
                <w:highlight w:val="yellow"/>
                <w:lang w:val="de-CH"/>
              </w:rPr>
            </w:pPr>
            <w:r w:rsidRPr="00911BD9">
              <w:rPr>
                <w:sz w:val="22"/>
                <w:highlight w:val="yellow"/>
                <w:lang w:val="de-CH"/>
              </w:rPr>
              <w:t>983.00</w:t>
            </w:r>
          </w:p>
        </w:tc>
      </w:tr>
      <w:tr w:rsidR="0072486F" w:rsidRPr="007C3DDE" w14:paraId="6BEA3851" w14:textId="77777777" w:rsidTr="000B1720">
        <w:tc>
          <w:tcPr>
            <w:tcW w:w="3118" w:type="dxa"/>
          </w:tcPr>
          <w:p w14:paraId="230460E2" w14:textId="0F005E50" w:rsidR="0072486F" w:rsidRPr="007C3DDE" w:rsidRDefault="0072486F" w:rsidP="00FC56B2">
            <w:pPr>
              <w:pStyle w:val="Tabelle"/>
              <w:tabs>
                <w:tab w:val="left" w:pos="3191"/>
                <w:tab w:val="left" w:pos="5265"/>
                <w:tab w:val="left" w:pos="7373"/>
              </w:tabs>
              <w:rPr>
                <w:sz w:val="22"/>
                <w:lang w:val="de-CH"/>
              </w:rPr>
            </w:pPr>
            <w:r w:rsidRPr="007C3DDE">
              <w:rPr>
                <w:sz w:val="22"/>
                <w:lang w:val="de-CH"/>
              </w:rPr>
              <w:t>1 Person (18-</w:t>
            </w:r>
            <w:proofErr w:type="gramStart"/>
            <w:r w:rsidR="00AA5F6D" w:rsidRPr="007C3DDE">
              <w:rPr>
                <w:sz w:val="22"/>
                <w:lang w:val="de-CH"/>
              </w:rPr>
              <w:t>24</w:t>
            </w:r>
            <w:r w:rsidRPr="007C3DDE">
              <w:rPr>
                <w:sz w:val="22"/>
                <w:lang w:val="de-CH"/>
              </w:rPr>
              <w:t>)*</w:t>
            </w:r>
            <w:proofErr w:type="gramEnd"/>
          </w:p>
        </w:tc>
        <w:tc>
          <w:tcPr>
            <w:tcW w:w="2107" w:type="dxa"/>
          </w:tcPr>
          <w:p w14:paraId="7A0590F8" w14:textId="6B6B6013" w:rsidR="0072486F" w:rsidRPr="00911BD9" w:rsidRDefault="00CC0EA3" w:rsidP="00FC56B2">
            <w:pPr>
              <w:pStyle w:val="Tabelle"/>
              <w:tabs>
                <w:tab w:val="left" w:pos="3191"/>
                <w:tab w:val="left" w:pos="5265"/>
                <w:tab w:val="left" w:pos="7373"/>
              </w:tabs>
              <w:jc w:val="center"/>
              <w:rPr>
                <w:sz w:val="22"/>
                <w:highlight w:val="yellow"/>
                <w:lang w:val="de-CH"/>
              </w:rPr>
            </w:pPr>
            <w:r w:rsidRPr="00911BD9">
              <w:rPr>
                <w:sz w:val="22"/>
                <w:highlight w:val="yellow"/>
                <w:lang w:val="de-CH"/>
              </w:rPr>
              <w:t>786.00</w:t>
            </w:r>
          </w:p>
        </w:tc>
        <w:tc>
          <w:tcPr>
            <w:tcW w:w="2084" w:type="dxa"/>
          </w:tcPr>
          <w:p w14:paraId="42977640" w14:textId="10160292" w:rsidR="0072486F" w:rsidRPr="007C3DDE" w:rsidDel="00452E7E" w:rsidRDefault="00832BAF" w:rsidP="00FC56B2">
            <w:pPr>
              <w:pStyle w:val="Tabelle"/>
              <w:tabs>
                <w:tab w:val="left" w:pos="3191"/>
                <w:tab w:val="left" w:pos="5265"/>
                <w:tab w:val="left" w:pos="7373"/>
              </w:tabs>
              <w:jc w:val="center"/>
              <w:rPr>
                <w:sz w:val="22"/>
                <w:lang w:val="de-CH"/>
              </w:rPr>
            </w:pPr>
            <w:r w:rsidRPr="007C3DDE">
              <w:rPr>
                <w:sz w:val="22"/>
                <w:lang w:val="de-CH"/>
              </w:rPr>
              <w:t>-</w:t>
            </w:r>
            <w:r w:rsidR="00FC56B2" w:rsidRPr="007C3DDE">
              <w:rPr>
                <w:sz w:val="22"/>
                <w:lang w:val="de-CH"/>
              </w:rPr>
              <w:t xml:space="preserve"> </w:t>
            </w:r>
            <w:r w:rsidR="00EA0463" w:rsidRPr="007C3DDE">
              <w:rPr>
                <w:sz w:val="22"/>
                <w:lang w:val="de-CH"/>
              </w:rPr>
              <w:t>20</w:t>
            </w:r>
            <w:r w:rsidRPr="007C3DDE">
              <w:rPr>
                <w:sz w:val="22"/>
                <w:lang w:val="de-CH"/>
              </w:rPr>
              <w:t>%</w:t>
            </w:r>
          </w:p>
        </w:tc>
        <w:tc>
          <w:tcPr>
            <w:tcW w:w="1752" w:type="dxa"/>
          </w:tcPr>
          <w:p w14:paraId="47A04E57" w14:textId="313A54E1" w:rsidR="0072486F" w:rsidRPr="00911BD9" w:rsidRDefault="002D141E" w:rsidP="00FC56B2">
            <w:pPr>
              <w:pStyle w:val="Tabelle"/>
              <w:tabs>
                <w:tab w:val="left" w:pos="3191"/>
                <w:tab w:val="left" w:pos="5265"/>
                <w:tab w:val="left" w:pos="7373"/>
              </w:tabs>
              <w:jc w:val="center"/>
              <w:rPr>
                <w:sz w:val="22"/>
                <w:highlight w:val="yellow"/>
                <w:lang w:val="de-CH"/>
              </w:rPr>
            </w:pPr>
            <w:r w:rsidRPr="00911BD9">
              <w:rPr>
                <w:sz w:val="22"/>
                <w:highlight w:val="yellow"/>
                <w:lang w:val="de-CH"/>
              </w:rPr>
              <w:t>786.00</w:t>
            </w:r>
          </w:p>
        </w:tc>
      </w:tr>
      <w:tr w:rsidR="003937D4" w:rsidRPr="007C3DDE" w14:paraId="2DD11297" w14:textId="77777777" w:rsidTr="000B1720">
        <w:tc>
          <w:tcPr>
            <w:tcW w:w="3118" w:type="dxa"/>
          </w:tcPr>
          <w:p w14:paraId="426BE92B" w14:textId="77777777" w:rsidR="003937D4" w:rsidRPr="007C3DDE" w:rsidRDefault="003937D4" w:rsidP="00FC56B2">
            <w:pPr>
              <w:pStyle w:val="Tabelle"/>
              <w:tabs>
                <w:tab w:val="left" w:pos="3191"/>
                <w:tab w:val="left" w:pos="5265"/>
                <w:tab w:val="left" w:pos="7373"/>
              </w:tabs>
              <w:rPr>
                <w:sz w:val="22"/>
                <w:lang w:val="de-CH"/>
              </w:rPr>
            </w:pPr>
            <w:r w:rsidRPr="007C3DDE">
              <w:rPr>
                <w:sz w:val="22"/>
                <w:lang w:val="de-CH"/>
              </w:rPr>
              <w:t>2 Personen</w:t>
            </w:r>
          </w:p>
        </w:tc>
        <w:tc>
          <w:tcPr>
            <w:tcW w:w="2107" w:type="dxa"/>
          </w:tcPr>
          <w:p w14:paraId="40DCE06D" w14:textId="63C2CDCD" w:rsidR="003937D4" w:rsidRPr="00911BD9" w:rsidRDefault="00CC0EA3" w:rsidP="00FC56B2">
            <w:pPr>
              <w:pStyle w:val="Tabelle"/>
              <w:tabs>
                <w:tab w:val="left" w:pos="3191"/>
                <w:tab w:val="left" w:pos="5265"/>
                <w:tab w:val="left" w:pos="7373"/>
              </w:tabs>
              <w:jc w:val="center"/>
              <w:rPr>
                <w:sz w:val="22"/>
                <w:highlight w:val="yellow"/>
                <w:lang w:val="de-CH"/>
              </w:rPr>
            </w:pPr>
            <w:r w:rsidRPr="00911BD9">
              <w:rPr>
                <w:sz w:val="22"/>
                <w:highlight w:val="yellow"/>
                <w:lang w:val="de-CH"/>
              </w:rPr>
              <w:t>1'503.00</w:t>
            </w:r>
          </w:p>
        </w:tc>
        <w:tc>
          <w:tcPr>
            <w:tcW w:w="2084" w:type="dxa"/>
          </w:tcPr>
          <w:p w14:paraId="749A8C36" w14:textId="77777777" w:rsidR="003937D4" w:rsidRPr="007C3DDE" w:rsidRDefault="003937D4" w:rsidP="00FC56B2">
            <w:pPr>
              <w:pStyle w:val="Tabelle"/>
              <w:tabs>
                <w:tab w:val="left" w:pos="3191"/>
                <w:tab w:val="left" w:pos="5265"/>
                <w:tab w:val="left" w:pos="7373"/>
              </w:tabs>
              <w:jc w:val="center"/>
              <w:rPr>
                <w:sz w:val="22"/>
                <w:lang w:val="de-CH"/>
              </w:rPr>
            </w:pPr>
            <w:r w:rsidRPr="007C3DDE">
              <w:rPr>
                <w:sz w:val="22"/>
                <w:lang w:val="de-CH"/>
              </w:rPr>
              <w:t>1.53</w:t>
            </w:r>
          </w:p>
        </w:tc>
        <w:tc>
          <w:tcPr>
            <w:tcW w:w="1752" w:type="dxa"/>
          </w:tcPr>
          <w:p w14:paraId="6801F2EB" w14:textId="4060B314" w:rsidR="003937D4" w:rsidRPr="00911BD9" w:rsidRDefault="002D141E" w:rsidP="00FC56B2">
            <w:pPr>
              <w:pStyle w:val="Tabelle"/>
              <w:tabs>
                <w:tab w:val="left" w:pos="3191"/>
                <w:tab w:val="left" w:pos="5265"/>
                <w:tab w:val="left" w:pos="7373"/>
              </w:tabs>
              <w:jc w:val="center"/>
              <w:rPr>
                <w:sz w:val="22"/>
                <w:highlight w:val="yellow"/>
                <w:lang w:val="de-CH"/>
              </w:rPr>
            </w:pPr>
            <w:r w:rsidRPr="00911BD9">
              <w:rPr>
                <w:sz w:val="22"/>
                <w:highlight w:val="yellow"/>
                <w:lang w:val="de-CH"/>
              </w:rPr>
              <w:t>752.00</w:t>
            </w:r>
          </w:p>
        </w:tc>
      </w:tr>
      <w:tr w:rsidR="003937D4" w:rsidRPr="007C3DDE" w14:paraId="71A5B8CE" w14:textId="77777777" w:rsidTr="000B1720">
        <w:tc>
          <w:tcPr>
            <w:tcW w:w="3118" w:type="dxa"/>
          </w:tcPr>
          <w:p w14:paraId="48C2EFF0" w14:textId="77777777" w:rsidR="003937D4" w:rsidRPr="007C3DDE" w:rsidRDefault="003937D4" w:rsidP="00FC56B2">
            <w:pPr>
              <w:pStyle w:val="Tabelle"/>
              <w:tabs>
                <w:tab w:val="left" w:pos="3191"/>
                <w:tab w:val="left" w:pos="5265"/>
                <w:tab w:val="left" w:pos="7373"/>
              </w:tabs>
              <w:rPr>
                <w:sz w:val="22"/>
                <w:lang w:val="de-CH"/>
              </w:rPr>
            </w:pPr>
            <w:r w:rsidRPr="007C3DDE">
              <w:rPr>
                <w:sz w:val="22"/>
                <w:lang w:val="de-CH"/>
              </w:rPr>
              <w:t>3 Personen</w:t>
            </w:r>
          </w:p>
        </w:tc>
        <w:tc>
          <w:tcPr>
            <w:tcW w:w="2107" w:type="dxa"/>
          </w:tcPr>
          <w:p w14:paraId="797BB628" w14:textId="603D486D" w:rsidR="003937D4" w:rsidRPr="00911BD9" w:rsidRDefault="00CC0EA3" w:rsidP="00FC56B2">
            <w:pPr>
              <w:pStyle w:val="Tabelle"/>
              <w:tabs>
                <w:tab w:val="left" w:pos="3191"/>
                <w:tab w:val="left" w:pos="5265"/>
                <w:tab w:val="left" w:pos="7373"/>
              </w:tabs>
              <w:jc w:val="center"/>
              <w:rPr>
                <w:sz w:val="22"/>
                <w:highlight w:val="yellow"/>
                <w:lang w:val="de-CH"/>
              </w:rPr>
            </w:pPr>
            <w:r w:rsidRPr="00911BD9">
              <w:rPr>
                <w:sz w:val="22"/>
                <w:highlight w:val="yellow"/>
                <w:lang w:val="de-CH"/>
              </w:rPr>
              <w:t>1'828.00</w:t>
            </w:r>
          </w:p>
        </w:tc>
        <w:tc>
          <w:tcPr>
            <w:tcW w:w="2084" w:type="dxa"/>
          </w:tcPr>
          <w:p w14:paraId="1A0812EC" w14:textId="77777777" w:rsidR="003937D4" w:rsidRPr="007C3DDE" w:rsidRDefault="003937D4" w:rsidP="00FC56B2">
            <w:pPr>
              <w:pStyle w:val="Tabelle"/>
              <w:tabs>
                <w:tab w:val="left" w:pos="3191"/>
                <w:tab w:val="left" w:pos="5265"/>
                <w:tab w:val="left" w:pos="7373"/>
              </w:tabs>
              <w:jc w:val="center"/>
              <w:rPr>
                <w:sz w:val="22"/>
                <w:lang w:val="de-CH"/>
              </w:rPr>
            </w:pPr>
            <w:r w:rsidRPr="007C3DDE">
              <w:rPr>
                <w:sz w:val="22"/>
                <w:lang w:val="de-CH"/>
              </w:rPr>
              <w:t>1.86</w:t>
            </w:r>
          </w:p>
        </w:tc>
        <w:tc>
          <w:tcPr>
            <w:tcW w:w="1752" w:type="dxa"/>
          </w:tcPr>
          <w:p w14:paraId="42CA9AE9" w14:textId="134A2F6F" w:rsidR="003937D4" w:rsidRPr="00911BD9" w:rsidRDefault="002D141E" w:rsidP="00FC56B2">
            <w:pPr>
              <w:pStyle w:val="Tabelle"/>
              <w:tabs>
                <w:tab w:val="left" w:pos="3191"/>
                <w:tab w:val="left" w:pos="5265"/>
                <w:tab w:val="left" w:pos="7373"/>
              </w:tabs>
              <w:jc w:val="center"/>
              <w:rPr>
                <w:sz w:val="22"/>
                <w:highlight w:val="yellow"/>
                <w:lang w:val="de-CH"/>
              </w:rPr>
            </w:pPr>
            <w:r w:rsidRPr="00911BD9">
              <w:rPr>
                <w:sz w:val="22"/>
                <w:highlight w:val="yellow"/>
                <w:lang w:val="de-CH"/>
              </w:rPr>
              <w:t>609.00</w:t>
            </w:r>
          </w:p>
        </w:tc>
      </w:tr>
      <w:tr w:rsidR="00452E7E" w:rsidRPr="007C3DDE" w14:paraId="1C58CCED" w14:textId="77777777" w:rsidTr="000B1720">
        <w:tc>
          <w:tcPr>
            <w:tcW w:w="3118" w:type="dxa"/>
          </w:tcPr>
          <w:p w14:paraId="40C96238" w14:textId="15BA64CF" w:rsidR="00452E7E" w:rsidRPr="007C3DDE" w:rsidRDefault="00452E7E" w:rsidP="00FC56B2">
            <w:pPr>
              <w:pStyle w:val="Tabelle"/>
              <w:tabs>
                <w:tab w:val="left" w:pos="3191"/>
                <w:tab w:val="left" w:pos="5265"/>
                <w:tab w:val="left" w:pos="7373"/>
              </w:tabs>
              <w:rPr>
                <w:sz w:val="22"/>
                <w:lang w:val="de-CH"/>
              </w:rPr>
            </w:pPr>
            <w:r w:rsidRPr="007C3DDE">
              <w:rPr>
                <w:sz w:val="22"/>
                <w:lang w:val="de-CH"/>
              </w:rPr>
              <w:t>4 Personen</w:t>
            </w:r>
          </w:p>
        </w:tc>
        <w:tc>
          <w:tcPr>
            <w:tcW w:w="2107" w:type="dxa"/>
          </w:tcPr>
          <w:p w14:paraId="08C9D856" w14:textId="1597F1E5" w:rsidR="00452E7E" w:rsidRPr="00911BD9" w:rsidRDefault="00CC0EA3" w:rsidP="00CE2B11">
            <w:pPr>
              <w:pStyle w:val="Tabelle"/>
              <w:tabs>
                <w:tab w:val="left" w:pos="3191"/>
                <w:tab w:val="left" w:pos="5265"/>
                <w:tab w:val="left" w:pos="7373"/>
              </w:tabs>
              <w:jc w:val="center"/>
              <w:rPr>
                <w:sz w:val="22"/>
                <w:highlight w:val="yellow"/>
                <w:lang w:val="de-CH"/>
              </w:rPr>
            </w:pPr>
            <w:r w:rsidRPr="00911BD9">
              <w:rPr>
                <w:sz w:val="22"/>
                <w:highlight w:val="yellow"/>
                <w:lang w:val="de-CH"/>
              </w:rPr>
              <w:t>2'103.00</w:t>
            </w:r>
          </w:p>
        </w:tc>
        <w:tc>
          <w:tcPr>
            <w:tcW w:w="2084" w:type="dxa"/>
          </w:tcPr>
          <w:p w14:paraId="427D147D" w14:textId="48DAF289" w:rsidR="00452E7E" w:rsidRPr="007C3DDE" w:rsidRDefault="00832BAF" w:rsidP="00FC56B2">
            <w:pPr>
              <w:pStyle w:val="Tabelle"/>
              <w:tabs>
                <w:tab w:val="left" w:pos="3191"/>
                <w:tab w:val="left" w:pos="5265"/>
                <w:tab w:val="left" w:pos="7373"/>
              </w:tabs>
              <w:jc w:val="center"/>
              <w:rPr>
                <w:sz w:val="22"/>
                <w:lang w:val="de-CH"/>
              </w:rPr>
            </w:pPr>
            <w:r w:rsidRPr="007C3DDE">
              <w:rPr>
                <w:sz w:val="22"/>
                <w:lang w:val="de-CH"/>
              </w:rPr>
              <w:t>2.14</w:t>
            </w:r>
          </w:p>
        </w:tc>
        <w:tc>
          <w:tcPr>
            <w:tcW w:w="1752" w:type="dxa"/>
          </w:tcPr>
          <w:p w14:paraId="5387D08E" w14:textId="393E00B7" w:rsidR="00452E7E" w:rsidRPr="00911BD9" w:rsidRDefault="002D141E" w:rsidP="00CE2B11">
            <w:pPr>
              <w:pStyle w:val="Tabelle"/>
              <w:tabs>
                <w:tab w:val="left" w:pos="3191"/>
                <w:tab w:val="left" w:pos="5265"/>
                <w:tab w:val="left" w:pos="7373"/>
              </w:tabs>
              <w:jc w:val="center"/>
              <w:rPr>
                <w:sz w:val="22"/>
                <w:highlight w:val="yellow"/>
                <w:lang w:val="de-CH"/>
              </w:rPr>
            </w:pPr>
            <w:r w:rsidRPr="00911BD9">
              <w:rPr>
                <w:sz w:val="22"/>
                <w:highlight w:val="yellow"/>
                <w:lang w:val="de-CH"/>
              </w:rPr>
              <w:t>526.00</w:t>
            </w:r>
          </w:p>
        </w:tc>
      </w:tr>
      <w:tr w:rsidR="00452E7E" w:rsidRPr="007C3DDE" w14:paraId="3755FEF4" w14:textId="77777777" w:rsidTr="000B1720">
        <w:tc>
          <w:tcPr>
            <w:tcW w:w="3118" w:type="dxa"/>
          </w:tcPr>
          <w:p w14:paraId="0D51B140" w14:textId="7922A157" w:rsidR="00452E7E" w:rsidRPr="007C3DDE" w:rsidRDefault="00452E7E" w:rsidP="00FC56B2">
            <w:pPr>
              <w:pStyle w:val="Tabelle"/>
              <w:tabs>
                <w:tab w:val="left" w:pos="3191"/>
                <w:tab w:val="left" w:pos="5265"/>
                <w:tab w:val="left" w:pos="7373"/>
              </w:tabs>
              <w:rPr>
                <w:sz w:val="22"/>
                <w:lang w:val="de-CH"/>
              </w:rPr>
            </w:pPr>
            <w:r w:rsidRPr="007C3DDE">
              <w:rPr>
                <w:sz w:val="22"/>
                <w:lang w:val="de-CH"/>
              </w:rPr>
              <w:t>5 Personen</w:t>
            </w:r>
          </w:p>
        </w:tc>
        <w:tc>
          <w:tcPr>
            <w:tcW w:w="2107" w:type="dxa"/>
          </w:tcPr>
          <w:p w14:paraId="12098AB1" w14:textId="231863D3" w:rsidR="00452E7E" w:rsidRPr="00911BD9" w:rsidRDefault="00CC0EA3" w:rsidP="00CE2B11">
            <w:pPr>
              <w:pStyle w:val="Tabelle"/>
              <w:tabs>
                <w:tab w:val="left" w:pos="3191"/>
                <w:tab w:val="left" w:pos="5265"/>
                <w:tab w:val="left" w:pos="7373"/>
              </w:tabs>
              <w:jc w:val="center"/>
              <w:rPr>
                <w:sz w:val="22"/>
                <w:highlight w:val="yellow"/>
                <w:lang w:val="de-CH"/>
              </w:rPr>
            </w:pPr>
            <w:r w:rsidRPr="00911BD9">
              <w:rPr>
                <w:sz w:val="22"/>
                <w:highlight w:val="yellow"/>
                <w:lang w:val="de-CH"/>
              </w:rPr>
              <w:t>2'378.00</w:t>
            </w:r>
          </w:p>
        </w:tc>
        <w:tc>
          <w:tcPr>
            <w:tcW w:w="2084" w:type="dxa"/>
          </w:tcPr>
          <w:p w14:paraId="131A62BF" w14:textId="12975DF8" w:rsidR="00452E7E" w:rsidRPr="007C3DDE" w:rsidRDefault="00832BAF" w:rsidP="00FC56B2">
            <w:pPr>
              <w:pStyle w:val="Tabelle"/>
              <w:tabs>
                <w:tab w:val="left" w:pos="3191"/>
                <w:tab w:val="left" w:pos="5265"/>
                <w:tab w:val="left" w:pos="7373"/>
              </w:tabs>
              <w:jc w:val="center"/>
              <w:rPr>
                <w:sz w:val="22"/>
                <w:lang w:val="de-CH"/>
              </w:rPr>
            </w:pPr>
            <w:r w:rsidRPr="007C3DDE">
              <w:rPr>
                <w:sz w:val="22"/>
                <w:lang w:val="de-CH"/>
              </w:rPr>
              <w:t>2.42</w:t>
            </w:r>
          </w:p>
        </w:tc>
        <w:tc>
          <w:tcPr>
            <w:tcW w:w="1752" w:type="dxa"/>
          </w:tcPr>
          <w:p w14:paraId="764B06EF" w14:textId="180CE518" w:rsidR="00452E7E" w:rsidRPr="00911BD9" w:rsidRDefault="002D141E" w:rsidP="00CE2B11">
            <w:pPr>
              <w:pStyle w:val="Tabelle"/>
              <w:tabs>
                <w:tab w:val="left" w:pos="3191"/>
                <w:tab w:val="left" w:pos="5265"/>
                <w:tab w:val="left" w:pos="7373"/>
              </w:tabs>
              <w:jc w:val="center"/>
              <w:rPr>
                <w:sz w:val="22"/>
                <w:highlight w:val="yellow"/>
                <w:lang w:val="de-CH"/>
              </w:rPr>
            </w:pPr>
            <w:r w:rsidRPr="00911BD9">
              <w:rPr>
                <w:sz w:val="22"/>
                <w:highlight w:val="yellow"/>
                <w:lang w:val="de-CH"/>
              </w:rPr>
              <w:t>476.00</w:t>
            </w:r>
          </w:p>
        </w:tc>
      </w:tr>
      <w:tr w:rsidR="00F27FB0" w:rsidRPr="006930F7" w14:paraId="236F4241" w14:textId="77777777" w:rsidTr="000B1720">
        <w:trPr>
          <w:cantSplit/>
        </w:trPr>
        <w:tc>
          <w:tcPr>
            <w:tcW w:w="3118" w:type="dxa"/>
          </w:tcPr>
          <w:p w14:paraId="7DAFA0B5" w14:textId="51039D14" w:rsidR="00F27FB0" w:rsidRPr="007C3DDE" w:rsidRDefault="00F27FB0" w:rsidP="00FC56B2">
            <w:pPr>
              <w:pStyle w:val="Tabelle"/>
              <w:tabs>
                <w:tab w:val="left" w:pos="3191"/>
                <w:tab w:val="left" w:pos="5265"/>
                <w:tab w:val="left" w:pos="7373"/>
              </w:tabs>
              <w:rPr>
                <w:sz w:val="22"/>
                <w:lang w:val="de-CH"/>
              </w:rPr>
            </w:pPr>
            <w:r w:rsidRPr="007C3DDE">
              <w:rPr>
                <w:sz w:val="22"/>
                <w:lang w:val="de-CH"/>
              </w:rPr>
              <w:t>Pro weitere Person plus</w:t>
            </w:r>
          </w:p>
        </w:tc>
        <w:tc>
          <w:tcPr>
            <w:tcW w:w="2107" w:type="dxa"/>
          </w:tcPr>
          <w:p w14:paraId="401C1C33" w14:textId="15E7640C" w:rsidR="00F27FB0" w:rsidRPr="00911BD9" w:rsidRDefault="00FC56B2" w:rsidP="00CC0EA3">
            <w:pPr>
              <w:pStyle w:val="Tabelle"/>
              <w:tabs>
                <w:tab w:val="left" w:pos="3191"/>
                <w:tab w:val="left" w:pos="5265"/>
                <w:tab w:val="left" w:pos="7373"/>
              </w:tabs>
              <w:jc w:val="center"/>
              <w:rPr>
                <w:sz w:val="22"/>
                <w:highlight w:val="yellow"/>
                <w:lang w:val="de-CH"/>
              </w:rPr>
            </w:pPr>
            <w:r w:rsidRPr="00911BD9">
              <w:rPr>
                <w:sz w:val="22"/>
                <w:highlight w:val="yellow"/>
                <w:lang w:val="de-CH"/>
              </w:rPr>
              <w:t xml:space="preserve">+ </w:t>
            </w:r>
            <w:r w:rsidR="00CC0EA3" w:rsidRPr="00911BD9">
              <w:rPr>
                <w:sz w:val="22"/>
                <w:highlight w:val="yellow"/>
                <w:lang w:val="de-CH"/>
              </w:rPr>
              <w:t>199.00</w:t>
            </w:r>
          </w:p>
        </w:tc>
        <w:tc>
          <w:tcPr>
            <w:tcW w:w="3836" w:type="dxa"/>
            <w:gridSpan w:val="2"/>
          </w:tcPr>
          <w:p w14:paraId="55B532EB" w14:textId="1DED8A30" w:rsidR="00F27FB0" w:rsidRPr="0082515F" w:rsidRDefault="004245D6" w:rsidP="00CC0EA3">
            <w:pPr>
              <w:pStyle w:val="Tabelle"/>
              <w:tabs>
                <w:tab w:val="left" w:pos="3191"/>
                <w:tab w:val="left" w:pos="5265"/>
                <w:tab w:val="left" w:pos="7373"/>
              </w:tabs>
              <w:rPr>
                <w:sz w:val="22"/>
                <w:lang w:val="de-CH"/>
              </w:rPr>
            </w:pPr>
            <w:r w:rsidRPr="007C3DDE">
              <w:rPr>
                <w:sz w:val="16"/>
                <w:szCs w:val="16"/>
                <w:lang w:val="de-CH"/>
              </w:rPr>
              <w:t>Pauschale 5 Personen + (</w:t>
            </w:r>
            <w:r w:rsidR="00CC0EA3" w:rsidRPr="00911BD9">
              <w:rPr>
                <w:sz w:val="16"/>
                <w:szCs w:val="16"/>
                <w:highlight w:val="yellow"/>
                <w:lang w:val="de-CH"/>
              </w:rPr>
              <w:t>199.00</w:t>
            </w:r>
            <w:r w:rsidR="00F27FB0" w:rsidRPr="007C3DDE">
              <w:rPr>
                <w:sz w:val="16"/>
                <w:szCs w:val="16"/>
                <w:lang w:val="de-CH"/>
              </w:rPr>
              <w:t xml:space="preserve"> x Anzahl Person plus</w:t>
            </w:r>
            <w:proofErr w:type="gramStart"/>
            <w:r w:rsidR="00F27FB0" w:rsidRPr="007C3DDE">
              <w:rPr>
                <w:sz w:val="16"/>
                <w:szCs w:val="16"/>
                <w:lang w:val="de-CH"/>
              </w:rPr>
              <w:t>) :</w:t>
            </w:r>
            <w:proofErr w:type="gramEnd"/>
            <w:r w:rsidR="00F27FB0" w:rsidRPr="007C3DDE">
              <w:rPr>
                <w:sz w:val="16"/>
                <w:szCs w:val="16"/>
                <w:lang w:val="de-CH"/>
              </w:rPr>
              <w:t xml:space="preserve"> Total Personen im Haushalt = Pauschale Person Monat.</w:t>
            </w:r>
          </w:p>
        </w:tc>
      </w:tr>
      <w:tr w:rsidR="0072486F" w:rsidRPr="006930F7" w14:paraId="22AD0235" w14:textId="77777777" w:rsidTr="000B1720">
        <w:trPr>
          <w:cantSplit/>
        </w:trPr>
        <w:tc>
          <w:tcPr>
            <w:tcW w:w="9061" w:type="dxa"/>
            <w:gridSpan w:val="4"/>
          </w:tcPr>
          <w:p w14:paraId="18CD9A81" w14:textId="59C7BD45" w:rsidR="0072486F" w:rsidRPr="00FC56B2" w:rsidRDefault="00FC56B2" w:rsidP="00FC56B2">
            <w:pPr>
              <w:pStyle w:val="Tabelle"/>
              <w:rPr>
                <w:sz w:val="16"/>
                <w:szCs w:val="16"/>
                <w:lang w:val="de-CH"/>
              </w:rPr>
            </w:pPr>
            <w:r w:rsidRPr="007A1309">
              <w:rPr>
                <w:sz w:val="22"/>
                <w:szCs w:val="22"/>
                <w:lang w:val="de-CH"/>
              </w:rPr>
              <w:t>*</w:t>
            </w:r>
            <w:r w:rsidRPr="007A1309">
              <w:rPr>
                <w:sz w:val="16"/>
                <w:szCs w:val="16"/>
                <w:lang w:val="de-CH"/>
              </w:rPr>
              <w:t xml:space="preserve">Junge Erwachsene, die in einem Einpersonenhaushalt leben, </w:t>
            </w:r>
            <w:r w:rsidR="00EA0463">
              <w:rPr>
                <w:sz w:val="16"/>
                <w:szCs w:val="16"/>
                <w:lang w:val="de-CH"/>
              </w:rPr>
              <w:t>werden mit einem um 20</w:t>
            </w:r>
            <w:r w:rsidRPr="007A1309">
              <w:rPr>
                <w:sz w:val="16"/>
                <w:szCs w:val="16"/>
                <w:lang w:val="de-CH"/>
              </w:rPr>
              <w:t>% reduzierten GBL unterstützt, wenn sie nicht an einer auf die arbeitsmarktliche Integration ausgerichteten Ausbildung oder Massnahme teilnehmen, keiner angemessenen Erwerbstätigkeit nachgehen oder keine eigenen Kinder betreuen.</w:t>
            </w:r>
          </w:p>
        </w:tc>
      </w:tr>
    </w:tbl>
    <w:p w14:paraId="7D17C368" w14:textId="78D4A46A" w:rsidR="007C3DDE" w:rsidRDefault="007C3DDE"/>
    <w:p w14:paraId="10B461A9" w14:textId="77777777" w:rsidR="007C3DDE" w:rsidRDefault="007C3DDE">
      <w:r>
        <w:br w:type="page"/>
      </w:r>
    </w:p>
    <w:p w14:paraId="7E4D8C21" w14:textId="0F5E12C2" w:rsidR="003937D4" w:rsidRPr="00D9662C" w:rsidRDefault="00DC6C01" w:rsidP="003937D4">
      <w:pPr>
        <w:pStyle w:val="berschrift2"/>
        <w:tabs>
          <w:tab w:val="clear" w:pos="709"/>
          <w:tab w:val="left" w:pos="550"/>
        </w:tabs>
        <w:spacing w:after="240"/>
        <w:ind w:left="550" w:hanging="550"/>
      </w:pPr>
      <w:bookmarkStart w:id="6" w:name="_Toc122350041"/>
      <w:r w:rsidRPr="00D9662C">
        <w:lastRenderedPageBreak/>
        <w:t>GBL für</w:t>
      </w:r>
      <w:r w:rsidR="00F0526C" w:rsidRPr="00D9662C">
        <w:t xml:space="preserve"> Personen in Zweck-Wohngemeinschaften </w:t>
      </w:r>
      <w:r w:rsidR="003937D4" w:rsidRPr="00D9662C">
        <w:t>ohne gemeinsame</w:t>
      </w:r>
      <w:r w:rsidR="009250E9" w:rsidRPr="00D9662C">
        <w:t xml:space="preserve"> </w:t>
      </w:r>
      <w:r w:rsidR="00F0526C" w:rsidRPr="00D9662C">
        <w:t>Ausübung und Finanzierung der Haushaltfunktionen</w:t>
      </w:r>
      <w:r w:rsidR="008301EC" w:rsidRPr="00D9662C">
        <w:t xml:space="preserve"> (inkl. Jugendwohngruppen, Aussenwoh</w:t>
      </w:r>
      <w:r w:rsidR="00FD0895" w:rsidRPr="00D9662C">
        <w:t>n</w:t>
      </w:r>
      <w:r w:rsidR="008301EC" w:rsidRPr="00D9662C">
        <w:t>gruppen etc.)</w:t>
      </w:r>
      <w:r w:rsidR="00EE0434" w:rsidRPr="00D9662C">
        <w:t xml:space="preserve"> - SKOS </w:t>
      </w:r>
      <w:r w:rsidR="00EE0434" w:rsidRPr="008540A9">
        <w:t xml:space="preserve">Kap. </w:t>
      </w:r>
      <w:r w:rsidR="0001293B" w:rsidRPr="008540A9">
        <w:t>C.3.2</w:t>
      </w:r>
      <w:bookmarkEnd w:id="6"/>
    </w:p>
    <w:p w14:paraId="792306C9" w14:textId="49CF0C01" w:rsidR="008C473D" w:rsidRPr="006930F7" w:rsidRDefault="003937D4" w:rsidP="003937D4">
      <w:pPr>
        <w:pStyle w:val="Tabelle"/>
        <w:rPr>
          <w:sz w:val="22"/>
          <w:szCs w:val="22"/>
          <w:lang w:val="de-CH"/>
        </w:rPr>
      </w:pPr>
      <w:r w:rsidRPr="00493ACF">
        <w:rPr>
          <w:sz w:val="22"/>
          <w:szCs w:val="22"/>
          <w:lang w:val="de-CH"/>
        </w:rPr>
        <w:t>In dieser Wohnform entstehen keine Einsparungen durch gemeinsames</w:t>
      </w:r>
      <w:r w:rsidR="008301EC" w:rsidRPr="00493ACF">
        <w:rPr>
          <w:sz w:val="22"/>
          <w:szCs w:val="22"/>
          <w:lang w:val="de-CH"/>
        </w:rPr>
        <w:t xml:space="preserve"> Einkaufen,</w:t>
      </w:r>
      <w:r w:rsidRPr="00493ACF">
        <w:rPr>
          <w:sz w:val="22"/>
          <w:szCs w:val="22"/>
          <w:lang w:val="de-CH"/>
        </w:rPr>
        <w:t xml:space="preserve"> Kochen</w:t>
      </w:r>
      <w:r w:rsidR="008301EC" w:rsidRPr="00493ACF">
        <w:rPr>
          <w:sz w:val="22"/>
          <w:szCs w:val="22"/>
          <w:lang w:val="de-CH"/>
        </w:rPr>
        <w:t>, Waschen etc.,</w:t>
      </w:r>
      <w:r w:rsidRPr="00493ACF">
        <w:rPr>
          <w:sz w:val="22"/>
          <w:szCs w:val="22"/>
          <w:lang w:val="de-CH"/>
        </w:rPr>
        <w:t xml:space="preserve"> hingegen fallen einzelne Kosten der Haushaltführung</w:t>
      </w:r>
      <w:r w:rsidR="00F0526C" w:rsidRPr="00493ACF">
        <w:rPr>
          <w:sz w:val="22"/>
          <w:szCs w:val="22"/>
          <w:lang w:val="de-CH"/>
        </w:rPr>
        <w:t>, welche im GBL enthalten sind</w:t>
      </w:r>
      <w:r w:rsidRPr="00493ACF">
        <w:rPr>
          <w:sz w:val="22"/>
          <w:szCs w:val="22"/>
          <w:lang w:val="de-CH"/>
        </w:rPr>
        <w:t xml:space="preserve"> (</w:t>
      </w:r>
      <w:r w:rsidR="0041218B" w:rsidRPr="00493ACF">
        <w:rPr>
          <w:sz w:val="22"/>
          <w:szCs w:val="22"/>
          <w:lang w:val="de-CH"/>
        </w:rPr>
        <w:t>z.B</w:t>
      </w:r>
      <w:r w:rsidR="006B4A76" w:rsidRPr="00493ACF">
        <w:rPr>
          <w:sz w:val="22"/>
          <w:szCs w:val="22"/>
          <w:lang w:val="de-CH"/>
        </w:rPr>
        <w:t>.</w:t>
      </w:r>
      <w:r w:rsidR="0041218B" w:rsidRPr="00493ACF">
        <w:rPr>
          <w:sz w:val="22"/>
          <w:szCs w:val="22"/>
          <w:lang w:val="de-CH"/>
        </w:rPr>
        <w:t xml:space="preserve"> </w:t>
      </w:r>
      <w:r w:rsidRPr="00493ACF">
        <w:rPr>
          <w:sz w:val="22"/>
          <w:szCs w:val="22"/>
          <w:lang w:val="de-CH"/>
        </w:rPr>
        <w:t>Abfall</w:t>
      </w:r>
      <w:r w:rsidR="00C95B24" w:rsidRPr="00493ACF">
        <w:rPr>
          <w:sz w:val="22"/>
          <w:szCs w:val="22"/>
          <w:lang w:val="de-CH"/>
        </w:rPr>
        <w:t>entsorgung</w:t>
      </w:r>
      <w:r w:rsidRPr="00493ACF">
        <w:rPr>
          <w:sz w:val="22"/>
          <w:szCs w:val="22"/>
          <w:lang w:val="de-CH"/>
        </w:rPr>
        <w:t>, Reinigung</w:t>
      </w:r>
      <w:r w:rsidR="0041218B" w:rsidRPr="00493ACF">
        <w:rPr>
          <w:sz w:val="22"/>
          <w:szCs w:val="22"/>
          <w:lang w:val="de-CH"/>
        </w:rPr>
        <w:t>, Energieverbrauch, Internetanschluss</w:t>
      </w:r>
      <w:r w:rsidRPr="00493ACF">
        <w:rPr>
          <w:sz w:val="22"/>
          <w:szCs w:val="22"/>
          <w:lang w:val="de-CH"/>
        </w:rPr>
        <w:t>)</w:t>
      </w:r>
      <w:r w:rsidR="00F0526C" w:rsidRPr="00493ACF">
        <w:rPr>
          <w:sz w:val="22"/>
          <w:szCs w:val="22"/>
          <w:lang w:val="de-CH"/>
        </w:rPr>
        <w:t>,</w:t>
      </w:r>
      <w:r w:rsidRPr="00493ACF">
        <w:rPr>
          <w:sz w:val="22"/>
          <w:szCs w:val="22"/>
          <w:lang w:val="de-CH"/>
        </w:rPr>
        <w:t xml:space="preserve"> gemeinsam </w:t>
      </w:r>
      <w:r w:rsidR="00F0526C" w:rsidRPr="00493ACF">
        <w:rPr>
          <w:sz w:val="22"/>
          <w:szCs w:val="22"/>
          <w:lang w:val="de-CH"/>
        </w:rPr>
        <w:t xml:space="preserve">und somit pro Person verringert </w:t>
      </w:r>
      <w:r w:rsidRPr="00493ACF">
        <w:rPr>
          <w:sz w:val="22"/>
          <w:szCs w:val="22"/>
          <w:lang w:val="de-CH"/>
        </w:rPr>
        <w:t>an (Indizien: getrennte Essenskassen und Kühlschränke, glaubhafte Schilderung des Alltags in der Wohngemeinschaft).</w:t>
      </w:r>
      <w:r w:rsidRPr="006930F7">
        <w:rPr>
          <w:sz w:val="22"/>
          <w:szCs w:val="22"/>
          <w:lang w:val="de-CH"/>
        </w:rPr>
        <w:t xml:space="preserve"> </w:t>
      </w:r>
    </w:p>
    <w:p w14:paraId="4FC85457" w14:textId="242BF74F" w:rsidR="008301EC" w:rsidRPr="00BF2223" w:rsidRDefault="008301EC" w:rsidP="003937D4">
      <w:pPr>
        <w:pStyle w:val="Tabelle"/>
        <w:rPr>
          <w:sz w:val="22"/>
          <w:szCs w:val="22"/>
          <w:highlight w:val="yellow"/>
          <w:lang w:val="de-CH"/>
        </w:rPr>
      </w:pPr>
    </w:p>
    <w:p w14:paraId="535876E1" w14:textId="4D2C627C" w:rsidR="008C473D" w:rsidRPr="007C3DDE" w:rsidRDefault="00F0526C" w:rsidP="003937D4">
      <w:pPr>
        <w:pStyle w:val="Tabelle"/>
        <w:rPr>
          <w:sz w:val="22"/>
          <w:szCs w:val="22"/>
          <w:lang w:val="de-CH"/>
        </w:rPr>
      </w:pPr>
      <w:r w:rsidRPr="007C3DDE">
        <w:rPr>
          <w:sz w:val="22"/>
          <w:szCs w:val="22"/>
          <w:lang w:val="de-CH"/>
        </w:rPr>
        <w:t xml:space="preserve">In solchen Haushalten wird der GBL unabhängig von der Haushaltgrösse festgelegt. Der GBL bemisst sich nach der Anzahl Personen, die zur Unterstützungseinheit gehören, und wird aufgrund der Einsparungen </w:t>
      </w:r>
      <w:r w:rsidR="00BA6B7A" w:rsidRPr="00911BD9">
        <w:rPr>
          <w:sz w:val="22"/>
          <w:szCs w:val="22"/>
          <w:highlight w:val="yellow"/>
          <w:lang w:val="de-CH"/>
        </w:rPr>
        <w:t>pauschal</w:t>
      </w:r>
      <w:r w:rsidR="00BA6B7A">
        <w:rPr>
          <w:sz w:val="22"/>
          <w:szCs w:val="22"/>
          <w:lang w:val="de-CH"/>
        </w:rPr>
        <w:t xml:space="preserve"> </w:t>
      </w:r>
      <w:r w:rsidRPr="007C3DDE">
        <w:rPr>
          <w:sz w:val="22"/>
          <w:szCs w:val="22"/>
          <w:lang w:val="de-CH"/>
        </w:rPr>
        <w:t xml:space="preserve">um 10% reduziert (z.B. </w:t>
      </w:r>
      <w:r w:rsidR="004245D6" w:rsidRPr="007C3DDE">
        <w:rPr>
          <w:sz w:val="22"/>
          <w:szCs w:val="22"/>
          <w:lang w:val="de-CH"/>
        </w:rPr>
        <w:t xml:space="preserve">1 Person: Fr. </w:t>
      </w:r>
      <w:r w:rsidR="00F90F60" w:rsidRPr="00911BD9">
        <w:rPr>
          <w:sz w:val="22"/>
          <w:szCs w:val="22"/>
          <w:highlight w:val="yellow"/>
          <w:lang w:val="de-CH"/>
        </w:rPr>
        <w:t>928.00</w:t>
      </w:r>
      <w:r w:rsidR="00EE0434" w:rsidRPr="007C3DDE">
        <w:rPr>
          <w:sz w:val="22"/>
          <w:szCs w:val="22"/>
          <w:lang w:val="de-CH"/>
        </w:rPr>
        <w:t xml:space="preserve"> / 2 Personen:</w:t>
      </w:r>
      <w:r w:rsidR="004245D6" w:rsidRPr="007C3DDE">
        <w:rPr>
          <w:sz w:val="22"/>
          <w:szCs w:val="22"/>
          <w:lang w:val="de-CH"/>
        </w:rPr>
        <w:t xml:space="preserve"> Fr. </w:t>
      </w:r>
      <w:r w:rsidR="00F90F60" w:rsidRPr="00911BD9">
        <w:rPr>
          <w:sz w:val="22"/>
          <w:szCs w:val="22"/>
          <w:highlight w:val="yellow"/>
          <w:lang w:val="de-CH"/>
        </w:rPr>
        <w:t>1'420.00</w:t>
      </w:r>
      <w:r w:rsidR="00EE0434" w:rsidRPr="007C3DDE">
        <w:rPr>
          <w:sz w:val="22"/>
          <w:szCs w:val="22"/>
          <w:lang w:val="de-CH"/>
        </w:rPr>
        <w:t>).</w:t>
      </w:r>
      <w:r w:rsidR="00BA6B7A">
        <w:rPr>
          <w:sz w:val="22"/>
          <w:szCs w:val="22"/>
          <w:lang w:val="de-CH"/>
        </w:rPr>
        <w:t xml:space="preserve"> </w:t>
      </w:r>
      <w:r w:rsidR="00BA6B7A" w:rsidRPr="00911BD9">
        <w:rPr>
          <w:sz w:val="22"/>
          <w:szCs w:val="22"/>
          <w:highlight w:val="yellow"/>
          <w:lang w:val="de-CH"/>
        </w:rPr>
        <w:t xml:space="preserve">Bei Zweck-Wohngemeinschaften erfolgt keine Differenzierung, ob die Energiekosten im Mietzins enthalten sind oder nicht. </w:t>
      </w:r>
    </w:p>
    <w:p w14:paraId="734FD806" w14:textId="77777777" w:rsidR="00141B08" w:rsidRPr="007C3DDE" w:rsidRDefault="00141B08" w:rsidP="003937D4">
      <w:pPr>
        <w:pStyle w:val="Tabelle"/>
        <w:rPr>
          <w:sz w:val="22"/>
          <w:szCs w:val="22"/>
          <w:lang w:val="de-CH"/>
        </w:rPr>
      </w:pPr>
    </w:p>
    <w:p w14:paraId="03D57773" w14:textId="6F43082D" w:rsidR="003937D4" w:rsidRDefault="008C473D" w:rsidP="00C95B24">
      <w:pPr>
        <w:rPr>
          <w:szCs w:val="22"/>
        </w:rPr>
      </w:pPr>
      <w:r w:rsidRPr="007C3DDE">
        <w:rPr>
          <w:szCs w:val="22"/>
        </w:rPr>
        <w:t>Junge Erwach</w:t>
      </w:r>
      <w:r w:rsidR="00400CA8" w:rsidRPr="007C3DDE">
        <w:rPr>
          <w:szCs w:val="22"/>
        </w:rPr>
        <w:t>sene</w:t>
      </w:r>
      <w:r w:rsidRPr="007C3DDE">
        <w:rPr>
          <w:szCs w:val="22"/>
        </w:rPr>
        <w:t xml:space="preserve"> </w:t>
      </w:r>
      <w:r w:rsidR="00EE0434" w:rsidRPr="007C3DDE">
        <w:rPr>
          <w:szCs w:val="22"/>
        </w:rPr>
        <w:t xml:space="preserve">in Zweck-Wohngemeinschaften </w:t>
      </w:r>
      <w:r w:rsidRPr="007C3DDE">
        <w:rPr>
          <w:szCs w:val="22"/>
        </w:rPr>
        <w:t xml:space="preserve">werden mit dem </w:t>
      </w:r>
      <w:r w:rsidR="00EE0434" w:rsidRPr="007C3DDE">
        <w:rPr>
          <w:szCs w:val="22"/>
        </w:rPr>
        <w:t xml:space="preserve">halben GBL </w:t>
      </w:r>
      <w:r w:rsidR="00493ACF" w:rsidRPr="007C3DDE">
        <w:t>eines Zweipersonenhaushaltes</w:t>
      </w:r>
      <w:r w:rsidR="00BC7F9C" w:rsidRPr="007C3DDE">
        <w:t xml:space="preserve"> unterstützt</w:t>
      </w:r>
      <w:r w:rsidR="004245D6" w:rsidRPr="007C3DDE">
        <w:t xml:space="preserve"> (Fr. </w:t>
      </w:r>
      <w:r w:rsidR="00F90F60" w:rsidRPr="00911BD9">
        <w:rPr>
          <w:highlight w:val="yellow"/>
        </w:rPr>
        <w:t>789.00</w:t>
      </w:r>
      <w:r w:rsidR="00EE0434" w:rsidRPr="007C3DDE">
        <w:t>)</w:t>
      </w:r>
      <w:r w:rsidR="00BC7F9C" w:rsidRPr="007C3DDE">
        <w:t>,</w:t>
      </w:r>
      <w:r w:rsidRPr="007C3DDE">
        <w:t xml:space="preserve"> </w:t>
      </w:r>
      <w:r w:rsidR="00BC7F9C" w:rsidRPr="007C3DDE">
        <w:rPr>
          <w:szCs w:val="22"/>
        </w:rPr>
        <w:t xml:space="preserve">unabhängig von der </w:t>
      </w:r>
      <w:r w:rsidR="00400CA8" w:rsidRPr="007C3DDE">
        <w:rPr>
          <w:szCs w:val="22"/>
        </w:rPr>
        <w:t>Anzahl Personen im Haushalt.</w:t>
      </w:r>
    </w:p>
    <w:p w14:paraId="4B4D9AC4" w14:textId="77777777" w:rsidR="00E7551D" w:rsidRPr="006930F7" w:rsidRDefault="00E7551D" w:rsidP="00C95B24"/>
    <w:p w14:paraId="08CE5E4E" w14:textId="1445970C" w:rsidR="00D30A72" w:rsidRDefault="0099502B" w:rsidP="00286CAB">
      <w:pPr>
        <w:pStyle w:val="berschrift2"/>
        <w:tabs>
          <w:tab w:val="clear" w:pos="709"/>
          <w:tab w:val="left" w:pos="550"/>
        </w:tabs>
        <w:spacing w:after="240"/>
        <w:ind w:left="550" w:hanging="550"/>
      </w:pPr>
      <w:bookmarkStart w:id="7" w:name="_Toc122350042"/>
      <w:r>
        <w:t>Beträge für Auslagen im Zusammenhang mit der Ausübung des Besuchsrechtes</w:t>
      </w:r>
      <w:bookmarkEnd w:id="7"/>
    </w:p>
    <w:p w14:paraId="79E84972" w14:textId="0EE368E9" w:rsidR="00286CAB" w:rsidRPr="007C3DDE" w:rsidRDefault="00286CAB" w:rsidP="00286CAB">
      <w:pPr>
        <w:pStyle w:val="Absatz0"/>
        <w:rPr>
          <w:rFonts w:cs="Times New Roman"/>
          <w:szCs w:val="24"/>
        </w:rPr>
      </w:pPr>
      <w:r w:rsidRPr="007C3DDE">
        <w:rPr>
          <w:rFonts w:cs="Times New Roman"/>
          <w:szCs w:val="24"/>
        </w:rPr>
        <w:t xml:space="preserve">Der Grundbedarf von Eltern </w:t>
      </w:r>
      <w:r w:rsidR="006009A6" w:rsidRPr="007C3DDE">
        <w:rPr>
          <w:rFonts w:cs="Times New Roman"/>
          <w:szCs w:val="24"/>
        </w:rPr>
        <w:t xml:space="preserve">oder einem Elternteil </w:t>
      </w:r>
      <w:r w:rsidRPr="007C3DDE">
        <w:rPr>
          <w:rFonts w:cs="Times New Roman"/>
          <w:szCs w:val="24"/>
        </w:rPr>
        <w:t>mit Besuchsrechten wird gemäss SKOS C.3.2 um die Auslagen erweitert, die durch den Besuch ihrer Kinder entstehen.</w:t>
      </w:r>
    </w:p>
    <w:p w14:paraId="5ADF6BD2" w14:textId="5EF22674" w:rsidR="00986789" w:rsidRPr="007C3DDE" w:rsidRDefault="00986789" w:rsidP="009A7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46"/>
        <w:gridCol w:w="1893"/>
        <w:gridCol w:w="2202"/>
        <w:gridCol w:w="3320"/>
      </w:tblGrid>
      <w:tr w:rsidR="00594E1C" w:rsidRPr="007C3DDE" w14:paraId="02DCAEA4" w14:textId="77777777" w:rsidTr="00971DAB">
        <w:tc>
          <w:tcPr>
            <w:tcW w:w="1646" w:type="dxa"/>
            <w:vMerge w:val="restart"/>
          </w:tcPr>
          <w:p w14:paraId="4838456F" w14:textId="77777777" w:rsidR="00594E1C" w:rsidRPr="007C3DDE" w:rsidRDefault="00594E1C" w:rsidP="00E912FE">
            <w:pPr>
              <w:numPr>
                <w:ilvl w:val="12"/>
                <w:numId w:val="0"/>
              </w:numPr>
              <w:overflowPunct w:val="0"/>
              <w:autoSpaceDE w:val="0"/>
              <w:autoSpaceDN w:val="0"/>
              <w:adjustRightInd w:val="0"/>
              <w:spacing w:before="20" w:after="20"/>
              <w:textAlignment w:val="baseline"/>
              <w:rPr>
                <w:rFonts w:ascii="Arial (W1)" w:hAnsi="Arial (W1)" w:cs="Times New Roman"/>
                <w:b/>
                <w:bCs/>
                <w:color w:val="000000"/>
              </w:rPr>
            </w:pPr>
            <w:r w:rsidRPr="007C3DDE">
              <w:rPr>
                <w:rFonts w:ascii="Arial (W1)" w:hAnsi="Arial (W1)" w:cs="Times New Roman"/>
                <w:b/>
                <w:bCs/>
                <w:color w:val="000000"/>
              </w:rPr>
              <w:t>Anzahl Kinder</w:t>
            </w:r>
          </w:p>
        </w:tc>
        <w:tc>
          <w:tcPr>
            <w:tcW w:w="4095" w:type="dxa"/>
            <w:gridSpan w:val="2"/>
          </w:tcPr>
          <w:p w14:paraId="530B1F15" w14:textId="34AA6CA8" w:rsidR="00594E1C" w:rsidRPr="007C3DDE" w:rsidRDefault="00594E1C" w:rsidP="002A60E4">
            <w:pPr>
              <w:numPr>
                <w:ilvl w:val="12"/>
                <w:numId w:val="0"/>
              </w:numPr>
              <w:overflowPunct w:val="0"/>
              <w:autoSpaceDE w:val="0"/>
              <w:autoSpaceDN w:val="0"/>
              <w:adjustRightInd w:val="0"/>
              <w:spacing w:before="20" w:after="20"/>
              <w:jc w:val="center"/>
              <w:textAlignment w:val="baseline"/>
              <w:rPr>
                <w:rFonts w:ascii="Arial (W1)" w:hAnsi="Arial (W1)" w:cs="Times New Roman"/>
                <w:bCs/>
                <w:color w:val="000000"/>
              </w:rPr>
            </w:pPr>
            <w:r w:rsidRPr="007C3DDE">
              <w:rPr>
                <w:rFonts w:ascii="Arial (W1)" w:hAnsi="Arial (W1)" w:cs="Times New Roman"/>
                <w:b/>
                <w:bCs/>
                <w:color w:val="000000"/>
              </w:rPr>
              <w:t>Bei Aufenthalt bis zu 5 Tagen pro Monat bei einem Elternteil</w:t>
            </w:r>
          </w:p>
        </w:tc>
        <w:tc>
          <w:tcPr>
            <w:tcW w:w="3320" w:type="dxa"/>
          </w:tcPr>
          <w:p w14:paraId="0F619528" w14:textId="1E26D6CC" w:rsidR="00594E1C" w:rsidRPr="007C3DDE" w:rsidRDefault="00594E1C" w:rsidP="00E912FE">
            <w:pPr>
              <w:numPr>
                <w:ilvl w:val="12"/>
                <w:numId w:val="0"/>
              </w:numPr>
              <w:overflowPunct w:val="0"/>
              <w:autoSpaceDE w:val="0"/>
              <w:autoSpaceDN w:val="0"/>
              <w:adjustRightInd w:val="0"/>
              <w:spacing w:before="20" w:after="20"/>
              <w:jc w:val="center"/>
              <w:textAlignment w:val="baseline"/>
              <w:rPr>
                <w:rFonts w:ascii="Arial (W1)" w:hAnsi="Arial (W1)" w:cs="Times New Roman"/>
                <w:b/>
                <w:bCs/>
                <w:color w:val="000000"/>
              </w:rPr>
            </w:pPr>
            <w:r w:rsidRPr="007C3DDE">
              <w:rPr>
                <w:rFonts w:ascii="Arial (W1)" w:hAnsi="Arial (W1)" w:cs="Times New Roman"/>
                <w:b/>
                <w:bCs/>
                <w:color w:val="000000"/>
              </w:rPr>
              <w:t>Bei Aufenthalt ab 6 Tagen</w:t>
            </w:r>
          </w:p>
          <w:p w14:paraId="2DA3E032" w14:textId="3C5DEDB4" w:rsidR="00594E1C" w:rsidRPr="007C3DDE" w:rsidRDefault="00594E1C" w:rsidP="00E912FE">
            <w:pPr>
              <w:numPr>
                <w:ilvl w:val="12"/>
                <w:numId w:val="0"/>
              </w:numPr>
              <w:overflowPunct w:val="0"/>
              <w:autoSpaceDE w:val="0"/>
              <w:autoSpaceDN w:val="0"/>
              <w:adjustRightInd w:val="0"/>
              <w:spacing w:before="20" w:after="20"/>
              <w:jc w:val="center"/>
              <w:textAlignment w:val="baseline"/>
              <w:rPr>
                <w:rFonts w:ascii="Arial (W1)" w:hAnsi="Arial (W1)" w:cs="Times New Roman"/>
                <w:b/>
                <w:bCs/>
                <w:color w:val="000000"/>
              </w:rPr>
            </w:pPr>
            <w:r w:rsidRPr="007C3DDE">
              <w:rPr>
                <w:rFonts w:ascii="Arial (W1)" w:hAnsi="Arial (W1)" w:cs="Times New Roman"/>
                <w:b/>
                <w:bCs/>
                <w:color w:val="000000"/>
              </w:rPr>
              <w:t>pro Monat bei einem Elternteil</w:t>
            </w:r>
            <w:r w:rsidRPr="007C3DDE">
              <w:rPr>
                <w:szCs w:val="22"/>
              </w:rPr>
              <w:t>*</w:t>
            </w:r>
          </w:p>
        </w:tc>
      </w:tr>
      <w:tr w:rsidR="00594E1C" w:rsidRPr="007C3DDE" w14:paraId="647CA167" w14:textId="77777777" w:rsidTr="00594E1C">
        <w:tc>
          <w:tcPr>
            <w:tcW w:w="1646" w:type="dxa"/>
            <w:vMerge/>
          </w:tcPr>
          <w:p w14:paraId="7ED72564" w14:textId="77777777" w:rsidR="00594E1C" w:rsidRPr="007C3DDE" w:rsidRDefault="00594E1C" w:rsidP="00E912FE">
            <w:pPr>
              <w:numPr>
                <w:ilvl w:val="12"/>
                <w:numId w:val="0"/>
              </w:numPr>
              <w:overflowPunct w:val="0"/>
              <w:autoSpaceDE w:val="0"/>
              <w:autoSpaceDN w:val="0"/>
              <w:adjustRightInd w:val="0"/>
              <w:spacing w:before="20" w:after="20"/>
              <w:textAlignment w:val="baseline"/>
              <w:rPr>
                <w:rFonts w:ascii="Arial (W1)" w:hAnsi="Arial (W1)" w:cs="Times New Roman"/>
                <w:b/>
                <w:bCs/>
                <w:color w:val="000000"/>
              </w:rPr>
            </w:pPr>
          </w:p>
        </w:tc>
        <w:tc>
          <w:tcPr>
            <w:tcW w:w="1893" w:type="dxa"/>
          </w:tcPr>
          <w:p w14:paraId="1EC25ED9" w14:textId="4399FB6C" w:rsidR="00594E1C" w:rsidRPr="007C3DDE" w:rsidRDefault="00594E1C" w:rsidP="00DB054A">
            <w:pPr>
              <w:numPr>
                <w:ilvl w:val="12"/>
                <w:numId w:val="0"/>
              </w:numPr>
              <w:overflowPunct w:val="0"/>
              <w:autoSpaceDE w:val="0"/>
              <w:autoSpaceDN w:val="0"/>
              <w:adjustRightInd w:val="0"/>
              <w:spacing w:before="20" w:after="20"/>
              <w:jc w:val="center"/>
              <w:textAlignment w:val="baseline"/>
              <w:rPr>
                <w:rFonts w:ascii="Arial (W1)" w:hAnsi="Arial (W1)" w:cs="Times New Roman"/>
                <w:bCs/>
                <w:color w:val="000000"/>
              </w:rPr>
            </w:pPr>
            <w:r w:rsidRPr="007C3DDE">
              <w:rPr>
                <w:rFonts w:ascii="Arial (W1)" w:hAnsi="Arial (W1)" w:cs="Times New Roman"/>
                <w:bCs/>
                <w:color w:val="000000"/>
              </w:rPr>
              <w:t>Pauschale pro Tag</w:t>
            </w:r>
          </w:p>
        </w:tc>
        <w:tc>
          <w:tcPr>
            <w:tcW w:w="2202" w:type="dxa"/>
          </w:tcPr>
          <w:p w14:paraId="21BD6581" w14:textId="14F20D1E" w:rsidR="00594E1C" w:rsidRPr="007C3DDE" w:rsidRDefault="00594E1C" w:rsidP="002A60E4">
            <w:pPr>
              <w:numPr>
                <w:ilvl w:val="12"/>
                <w:numId w:val="0"/>
              </w:numPr>
              <w:overflowPunct w:val="0"/>
              <w:autoSpaceDE w:val="0"/>
              <w:autoSpaceDN w:val="0"/>
              <w:adjustRightInd w:val="0"/>
              <w:spacing w:before="20" w:after="20"/>
              <w:jc w:val="center"/>
              <w:textAlignment w:val="baseline"/>
              <w:rPr>
                <w:bCs/>
              </w:rPr>
            </w:pPr>
            <w:r w:rsidRPr="007C3DDE">
              <w:rPr>
                <w:bCs/>
              </w:rPr>
              <w:t xml:space="preserve">Äquivalenzskala: </w:t>
            </w:r>
            <w:proofErr w:type="spellStart"/>
            <w:r w:rsidRPr="007C3DDE">
              <w:rPr>
                <w:bCs/>
              </w:rPr>
              <w:t>Mulitiplikator</w:t>
            </w:r>
            <w:proofErr w:type="spellEnd"/>
          </w:p>
        </w:tc>
        <w:tc>
          <w:tcPr>
            <w:tcW w:w="3320" w:type="dxa"/>
            <w:vMerge w:val="restart"/>
          </w:tcPr>
          <w:p w14:paraId="545417CD" w14:textId="23682AC9" w:rsidR="00594E1C" w:rsidRPr="007C3DDE" w:rsidRDefault="00594E1C" w:rsidP="00E912FE">
            <w:pPr>
              <w:numPr>
                <w:ilvl w:val="12"/>
                <w:numId w:val="0"/>
              </w:numPr>
              <w:overflowPunct w:val="0"/>
              <w:autoSpaceDE w:val="0"/>
              <w:autoSpaceDN w:val="0"/>
              <w:adjustRightInd w:val="0"/>
              <w:spacing w:before="20" w:after="20"/>
              <w:jc w:val="center"/>
              <w:textAlignment w:val="baseline"/>
              <w:rPr>
                <w:rFonts w:ascii="Arial (W1)" w:hAnsi="Arial (W1)" w:cs="Times New Roman"/>
                <w:color w:val="000000"/>
              </w:rPr>
            </w:pPr>
            <w:r w:rsidRPr="007C3DDE">
              <w:rPr>
                <w:rFonts w:ascii="Arial (W1)" w:hAnsi="Arial (W1)" w:cs="Times New Roman"/>
                <w:color w:val="000000"/>
              </w:rPr>
              <w:t xml:space="preserve">Anteilmässige Berechnung auf Basis des GBL nach </w:t>
            </w:r>
            <w:r w:rsidR="004F7764" w:rsidRPr="00911BD9">
              <w:rPr>
                <w:rFonts w:ascii="Arial (W1)" w:hAnsi="Arial (W1)" w:cs="Times New Roman"/>
                <w:color w:val="000000"/>
                <w:highlight w:val="yellow"/>
              </w:rPr>
              <w:t>Kap</w:t>
            </w:r>
            <w:r w:rsidRPr="00911BD9">
              <w:rPr>
                <w:rFonts w:ascii="Arial (W1)" w:hAnsi="Arial (W1)" w:cs="Times New Roman"/>
                <w:color w:val="000000"/>
                <w:highlight w:val="yellow"/>
              </w:rPr>
              <w:t>. 2.1</w:t>
            </w:r>
            <w:r w:rsidR="004F7764" w:rsidRPr="00911BD9">
              <w:rPr>
                <w:rFonts w:ascii="Arial (W1)" w:hAnsi="Arial (W1)" w:cs="Times New Roman"/>
                <w:color w:val="000000"/>
                <w:highlight w:val="yellow"/>
              </w:rPr>
              <w:t>; 2.2; 2.3</w:t>
            </w:r>
          </w:p>
          <w:p w14:paraId="79EBC1F4" w14:textId="3921ED16" w:rsidR="00594E1C" w:rsidRPr="007C3DDE" w:rsidRDefault="00594E1C" w:rsidP="00E912FE">
            <w:pPr>
              <w:numPr>
                <w:ilvl w:val="12"/>
                <w:numId w:val="0"/>
              </w:numPr>
              <w:overflowPunct w:val="0"/>
              <w:autoSpaceDE w:val="0"/>
              <w:autoSpaceDN w:val="0"/>
              <w:adjustRightInd w:val="0"/>
              <w:spacing w:before="20" w:after="20"/>
              <w:jc w:val="center"/>
              <w:textAlignment w:val="baseline"/>
              <w:rPr>
                <w:rFonts w:ascii="Arial (W1)" w:hAnsi="Arial (W1)" w:cs="Times New Roman"/>
                <w:b/>
                <w:bCs/>
                <w:color w:val="000000"/>
              </w:rPr>
            </w:pPr>
            <w:r w:rsidRPr="007C3DDE">
              <w:rPr>
                <w:noProof/>
                <w:lang w:eastAsia="de-CH"/>
              </w:rPr>
              <w:drawing>
                <wp:inline distT="0" distB="0" distL="0" distR="0" wp14:anchorId="6591481F" wp14:editId="1188B304">
                  <wp:extent cx="2016000" cy="739377"/>
                  <wp:effectExtent l="0" t="0" r="381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6000" cy="739377"/>
                          </a:xfrm>
                          <a:prstGeom prst="rect">
                            <a:avLst/>
                          </a:prstGeom>
                        </pic:spPr>
                      </pic:pic>
                    </a:graphicData>
                  </a:graphic>
                </wp:inline>
              </w:drawing>
            </w:r>
          </w:p>
        </w:tc>
      </w:tr>
      <w:tr w:rsidR="00594E1C" w:rsidRPr="007C3DDE" w14:paraId="51091AE0" w14:textId="77777777" w:rsidTr="00594E1C">
        <w:tc>
          <w:tcPr>
            <w:tcW w:w="1646" w:type="dxa"/>
          </w:tcPr>
          <w:p w14:paraId="67248033" w14:textId="77777777" w:rsidR="00594E1C" w:rsidRPr="007C3DDE" w:rsidRDefault="00594E1C" w:rsidP="00E912FE">
            <w:pPr>
              <w:numPr>
                <w:ilvl w:val="12"/>
                <w:numId w:val="0"/>
              </w:numPr>
              <w:overflowPunct w:val="0"/>
              <w:autoSpaceDE w:val="0"/>
              <w:autoSpaceDN w:val="0"/>
              <w:adjustRightInd w:val="0"/>
              <w:spacing w:before="20" w:after="20"/>
              <w:textAlignment w:val="baseline"/>
              <w:rPr>
                <w:rFonts w:ascii="Arial (W1)" w:hAnsi="Arial (W1)" w:cs="Times New Roman"/>
                <w:color w:val="000000"/>
              </w:rPr>
            </w:pPr>
            <w:r w:rsidRPr="007C3DDE">
              <w:rPr>
                <w:rFonts w:ascii="Arial (W1)" w:hAnsi="Arial (W1)" w:cs="Times New Roman"/>
                <w:color w:val="000000"/>
              </w:rPr>
              <w:t>1 Kind</w:t>
            </w:r>
          </w:p>
        </w:tc>
        <w:tc>
          <w:tcPr>
            <w:tcW w:w="1893" w:type="dxa"/>
          </w:tcPr>
          <w:p w14:paraId="7E570E53" w14:textId="6E6E8456" w:rsidR="00594E1C" w:rsidRPr="007C3DDE" w:rsidRDefault="00594E1C" w:rsidP="00E912FE">
            <w:pPr>
              <w:numPr>
                <w:ilvl w:val="12"/>
                <w:numId w:val="0"/>
              </w:numPr>
              <w:overflowPunct w:val="0"/>
              <w:autoSpaceDE w:val="0"/>
              <w:autoSpaceDN w:val="0"/>
              <w:adjustRightInd w:val="0"/>
              <w:spacing w:before="20" w:after="20"/>
              <w:jc w:val="center"/>
              <w:textAlignment w:val="baseline"/>
              <w:rPr>
                <w:rFonts w:ascii="Arial (W1)" w:hAnsi="Arial (W1)" w:cs="Times New Roman"/>
                <w:color w:val="000000"/>
              </w:rPr>
            </w:pPr>
            <w:r w:rsidRPr="007C3DDE">
              <w:rPr>
                <w:rFonts w:ascii="Arial (W1)" w:hAnsi="Arial (W1)" w:cs="Times New Roman"/>
                <w:color w:val="000000"/>
              </w:rPr>
              <w:t>20.00</w:t>
            </w:r>
          </w:p>
        </w:tc>
        <w:tc>
          <w:tcPr>
            <w:tcW w:w="2202" w:type="dxa"/>
          </w:tcPr>
          <w:p w14:paraId="5CFBE985" w14:textId="6024C891" w:rsidR="00594E1C" w:rsidRPr="007C3DDE" w:rsidRDefault="00594E1C" w:rsidP="00E912FE">
            <w:pPr>
              <w:numPr>
                <w:ilvl w:val="12"/>
                <w:numId w:val="0"/>
              </w:numPr>
              <w:overflowPunct w:val="0"/>
              <w:autoSpaceDE w:val="0"/>
              <w:autoSpaceDN w:val="0"/>
              <w:adjustRightInd w:val="0"/>
              <w:spacing w:before="20" w:after="20"/>
              <w:jc w:val="center"/>
              <w:textAlignment w:val="baseline"/>
              <w:rPr>
                <w:rFonts w:ascii="Arial (W1)" w:hAnsi="Arial (W1)" w:cs="Times New Roman"/>
                <w:color w:val="000000"/>
              </w:rPr>
            </w:pPr>
            <w:r w:rsidRPr="007C3DDE">
              <w:rPr>
                <w:rFonts w:ascii="Arial (W1)" w:hAnsi="Arial (W1)" w:cs="Times New Roman"/>
                <w:color w:val="000000"/>
              </w:rPr>
              <w:t>1</w:t>
            </w:r>
          </w:p>
        </w:tc>
        <w:tc>
          <w:tcPr>
            <w:tcW w:w="3320" w:type="dxa"/>
            <w:vMerge/>
          </w:tcPr>
          <w:p w14:paraId="24183DD7" w14:textId="183F6D62" w:rsidR="00594E1C" w:rsidRPr="007C3DDE" w:rsidRDefault="00594E1C" w:rsidP="00E912FE">
            <w:pPr>
              <w:numPr>
                <w:ilvl w:val="12"/>
                <w:numId w:val="0"/>
              </w:numPr>
              <w:overflowPunct w:val="0"/>
              <w:autoSpaceDE w:val="0"/>
              <w:autoSpaceDN w:val="0"/>
              <w:adjustRightInd w:val="0"/>
              <w:spacing w:before="20" w:after="20"/>
              <w:jc w:val="center"/>
              <w:textAlignment w:val="baseline"/>
              <w:rPr>
                <w:rFonts w:ascii="Arial (W1)" w:hAnsi="Arial (W1)" w:cs="Times New Roman"/>
                <w:color w:val="000000"/>
                <w:sz w:val="16"/>
                <w:szCs w:val="16"/>
              </w:rPr>
            </w:pPr>
          </w:p>
        </w:tc>
      </w:tr>
      <w:tr w:rsidR="00594E1C" w:rsidRPr="007C3DDE" w14:paraId="71ECBA56" w14:textId="77777777" w:rsidTr="00594E1C">
        <w:tc>
          <w:tcPr>
            <w:tcW w:w="1646" w:type="dxa"/>
          </w:tcPr>
          <w:p w14:paraId="6558DEEF" w14:textId="77777777" w:rsidR="00594E1C" w:rsidRPr="007C3DDE" w:rsidRDefault="00594E1C" w:rsidP="00E912FE">
            <w:pPr>
              <w:numPr>
                <w:ilvl w:val="12"/>
                <w:numId w:val="0"/>
              </w:numPr>
              <w:overflowPunct w:val="0"/>
              <w:autoSpaceDE w:val="0"/>
              <w:autoSpaceDN w:val="0"/>
              <w:adjustRightInd w:val="0"/>
              <w:spacing w:before="20" w:after="20"/>
              <w:textAlignment w:val="baseline"/>
              <w:rPr>
                <w:rFonts w:ascii="Arial (W1)" w:hAnsi="Arial (W1)" w:cs="Times New Roman"/>
                <w:color w:val="000000"/>
              </w:rPr>
            </w:pPr>
            <w:r w:rsidRPr="007C3DDE">
              <w:rPr>
                <w:rFonts w:ascii="Arial (W1)" w:hAnsi="Arial (W1)" w:cs="Times New Roman"/>
                <w:color w:val="000000"/>
              </w:rPr>
              <w:t>2 Kinder</w:t>
            </w:r>
          </w:p>
        </w:tc>
        <w:tc>
          <w:tcPr>
            <w:tcW w:w="1893" w:type="dxa"/>
          </w:tcPr>
          <w:p w14:paraId="1D6D75AE" w14:textId="47F66A82" w:rsidR="00594E1C" w:rsidRPr="007C3DDE" w:rsidRDefault="00594E1C" w:rsidP="00E912FE">
            <w:pPr>
              <w:numPr>
                <w:ilvl w:val="12"/>
                <w:numId w:val="0"/>
              </w:numPr>
              <w:overflowPunct w:val="0"/>
              <w:autoSpaceDE w:val="0"/>
              <w:autoSpaceDN w:val="0"/>
              <w:adjustRightInd w:val="0"/>
              <w:spacing w:before="20" w:after="20"/>
              <w:jc w:val="center"/>
              <w:textAlignment w:val="baseline"/>
              <w:rPr>
                <w:rFonts w:ascii="Arial (W1)" w:hAnsi="Arial (W1)" w:cs="Times New Roman"/>
                <w:color w:val="000000"/>
              </w:rPr>
            </w:pPr>
            <w:r w:rsidRPr="007C3DDE">
              <w:rPr>
                <w:rFonts w:ascii="Arial (W1)" w:hAnsi="Arial (W1)" w:cs="Times New Roman"/>
                <w:color w:val="000000"/>
              </w:rPr>
              <w:t>31.00</w:t>
            </w:r>
          </w:p>
        </w:tc>
        <w:tc>
          <w:tcPr>
            <w:tcW w:w="2202" w:type="dxa"/>
          </w:tcPr>
          <w:p w14:paraId="29185695" w14:textId="671C8463" w:rsidR="00594E1C" w:rsidRPr="007C3DDE" w:rsidRDefault="00594E1C" w:rsidP="00E912FE">
            <w:pPr>
              <w:numPr>
                <w:ilvl w:val="12"/>
                <w:numId w:val="0"/>
              </w:numPr>
              <w:overflowPunct w:val="0"/>
              <w:autoSpaceDE w:val="0"/>
              <w:autoSpaceDN w:val="0"/>
              <w:adjustRightInd w:val="0"/>
              <w:spacing w:before="20" w:after="20"/>
              <w:jc w:val="center"/>
              <w:textAlignment w:val="baseline"/>
              <w:rPr>
                <w:rFonts w:ascii="Arial (W1)" w:hAnsi="Arial (W1)" w:cs="Times New Roman"/>
                <w:color w:val="000000"/>
              </w:rPr>
            </w:pPr>
            <w:r w:rsidRPr="007C3DDE">
              <w:rPr>
                <w:rFonts w:ascii="Arial (W1)" w:hAnsi="Arial (W1)" w:cs="Times New Roman"/>
                <w:color w:val="000000"/>
              </w:rPr>
              <w:t>1.53</w:t>
            </w:r>
          </w:p>
        </w:tc>
        <w:tc>
          <w:tcPr>
            <w:tcW w:w="3320" w:type="dxa"/>
            <w:vMerge/>
          </w:tcPr>
          <w:p w14:paraId="0B485B8C" w14:textId="473A77F2" w:rsidR="00594E1C" w:rsidRPr="007C3DDE" w:rsidRDefault="00594E1C" w:rsidP="00E912FE">
            <w:pPr>
              <w:numPr>
                <w:ilvl w:val="12"/>
                <w:numId w:val="0"/>
              </w:numPr>
              <w:overflowPunct w:val="0"/>
              <w:autoSpaceDE w:val="0"/>
              <w:autoSpaceDN w:val="0"/>
              <w:adjustRightInd w:val="0"/>
              <w:spacing w:before="20" w:after="20"/>
              <w:jc w:val="center"/>
              <w:textAlignment w:val="baseline"/>
              <w:rPr>
                <w:rFonts w:ascii="Arial (W1)" w:hAnsi="Arial (W1)" w:cs="Times New Roman"/>
                <w:color w:val="000000"/>
              </w:rPr>
            </w:pPr>
          </w:p>
        </w:tc>
      </w:tr>
      <w:tr w:rsidR="00594E1C" w:rsidRPr="007C3DDE" w14:paraId="1BF3A8EF" w14:textId="77777777" w:rsidTr="00594E1C">
        <w:tc>
          <w:tcPr>
            <w:tcW w:w="1646" w:type="dxa"/>
          </w:tcPr>
          <w:p w14:paraId="21B56317" w14:textId="77777777" w:rsidR="00594E1C" w:rsidRPr="007C3DDE" w:rsidRDefault="00594E1C" w:rsidP="00E912FE">
            <w:pPr>
              <w:numPr>
                <w:ilvl w:val="12"/>
                <w:numId w:val="0"/>
              </w:numPr>
              <w:overflowPunct w:val="0"/>
              <w:autoSpaceDE w:val="0"/>
              <w:autoSpaceDN w:val="0"/>
              <w:adjustRightInd w:val="0"/>
              <w:spacing w:before="20" w:after="20"/>
              <w:textAlignment w:val="baseline"/>
              <w:rPr>
                <w:rFonts w:ascii="Arial (W1)" w:hAnsi="Arial (W1)" w:cs="Times New Roman"/>
                <w:color w:val="000000"/>
              </w:rPr>
            </w:pPr>
            <w:r w:rsidRPr="007C3DDE">
              <w:rPr>
                <w:rFonts w:ascii="Arial (W1)" w:hAnsi="Arial (W1)" w:cs="Times New Roman"/>
                <w:color w:val="000000"/>
              </w:rPr>
              <w:t>3 Kinder</w:t>
            </w:r>
          </w:p>
        </w:tc>
        <w:tc>
          <w:tcPr>
            <w:tcW w:w="1893" w:type="dxa"/>
          </w:tcPr>
          <w:p w14:paraId="46A727EC" w14:textId="53F5AAD0" w:rsidR="00594E1C" w:rsidRPr="007C3DDE" w:rsidRDefault="00594E1C" w:rsidP="00E912FE">
            <w:pPr>
              <w:numPr>
                <w:ilvl w:val="12"/>
                <w:numId w:val="0"/>
              </w:numPr>
              <w:overflowPunct w:val="0"/>
              <w:autoSpaceDE w:val="0"/>
              <w:autoSpaceDN w:val="0"/>
              <w:adjustRightInd w:val="0"/>
              <w:spacing w:before="20" w:after="20"/>
              <w:jc w:val="center"/>
              <w:textAlignment w:val="baseline"/>
              <w:rPr>
                <w:rFonts w:ascii="Arial (W1)" w:hAnsi="Arial (W1)" w:cs="Times New Roman"/>
                <w:color w:val="000000"/>
              </w:rPr>
            </w:pPr>
            <w:r w:rsidRPr="007C3DDE">
              <w:rPr>
                <w:rFonts w:ascii="Arial (W1)" w:hAnsi="Arial (W1)" w:cs="Times New Roman"/>
                <w:color w:val="000000"/>
              </w:rPr>
              <w:t>37.00</w:t>
            </w:r>
          </w:p>
        </w:tc>
        <w:tc>
          <w:tcPr>
            <w:tcW w:w="2202" w:type="dxa"/>
          </w:tcPr>
          <w:p w14:paraId="127DBA95" w14:textId="2FD037E4" w:rsidR="00594E1C" w:rsidRPr="007C3DDE" w:rsidRDefault="00594E1C" w:rsidP="00E912FE">
            <w:pPr>
              <w:numPr>
                <w:ilvl w:val="12"/>
                <w:numId w:val="0"/>
              </w:numPr>
              <w:overflowPunct w:val="0"/>
              <w:autoSpaceDE w:val="0"/>
              <w:autoSpaceDN w:val="0"/>
              <w:adjustRightInd w:val="0"/>
              <w:spacing w:before="20" w:after="20"/>
              <w:jc w:val="center"/>
              <w:textAlignment w:val="baseline"/>
              <w:rPr>
                <w:rFonts w:ascii="Arial (W1)" w:hAnsi="Arial (W1)" w:cs="Times New Roman"/>
                <w:color w:val="000000"/>
              </w:rPr>
            </w:pPr>
            <w:r w:rsidRPr="007C3DDE">
              <w:rPr>
                <w:rFonts w:ascii="Arial (W1)" w:hAnsi="Arial (W1)" w:cs="Times New Roman"/>
                <w:color w:val="000000"/>
              </w:rPr>
              <w:t>1.86</w:t>
            </w:r>
          </w:p>
        </w:tc>
        <w:tc>
          <w:tcPr>
            <w:tcW w:w="3320" w:type="dxa"/>
            <w:vMerge/>
          </w:tcPr>
          <w:p w14:paraId="15B355EA" w14:textId="25BE598A" w:rsidR="00594E1C" w:rsidRPr="007C3DDE" w:rsidRDefault="00594E1C" w:rsidP="00E912FE">
            <w:pPr>
              <w:numPr>
                <w:ilvl w:val="12"/>
                <w:numId w:val="0"/>
              </w:numPr>
              <w:overflowPunct w:val="0"/>
              <w:autoSpaceDE w:val="0"/>
              <w:autoSpaceDN w:val="0"/>
              <w:adjustRightInd w:val="0"/>
              <w:spacing w:before="20" w:after="20"/>
              <w:jc w:val="center"/>
              <w:textAlignment w:val="baseline"/>
              <w:rPr>
                <w:rFonts w:ascii="Arial (W1)" w:hAnsi="Arial (W1)" w:cs="Times New Roman"/>
                <w:color w:val="000000"/>
              </w:rPr>
            </w:pPr>
          </w:p>
        </w:tc>
      </w:tr>
      <w:tr w:rsidR="00594E1C" w:rsidRPr="00EB152D" w14:paraId="383CDFC7" w14:textId="77777777" w:rsidTr="00A60FEA">
        <w:trPr>
          <w:cantSplit/>
        </w:trPr>
        <w:tc>
          <w:tcPr>
            <w:tcW w:w="1646" w:type="dxa"/>
          </w:tcPr>
          <w:p w14:paraId="6DA491C4" w14:textId="77777777" w:rsidR="00594E1C" w:rsidRPr="007C3DDE" w:rsidRDefault="00594E1C" w:rsidP="00E912FE">
            <w:pPr>
              <w:numPr>
                <w:ilvl w:val="12"/>
                <w:numId w:val="0"/>
              </w:numPr>
              <w:overflowPunct w:val="0"/>
              <w:autoSpaceDE w:val="0"/>
              <w:autoSpaceDN w:val="0"/>
              <w:adjustRightInd w:val="0"/>
              <w:spacing w:before="20" w:after="20"/>
              <w:textAlignment w:val="baseline"/>
              <w:rPr>
                <w:rFonts w:ascii="Arial (W1)" w:hAnsi="Arial (W1)" w:cs="Times New Roman"/>
                <w:color w:val="000000"/>
              </w:rPr>
            </w:pPr>
            <w:r w:rsidRPr="007C3DDE">
              <w:rPr>
                <w:rFonts w:ascii="Arial (W1)" w:hAnsi="Arial (W1)" w:cs="Times New Roman"/>
                <w:color w:val="000000"/>
              </w:rPr>
              <w:t>mehr Kinder</w:t>
            </w:r>
          </w:p>
        </w:tc>
        <w:tc>
          <w:tcPr>
            <w:tcW w:w="4095" w:type="dxa"/>
            <w:gridSpan w:val="2"/>
          </w:tcPr>
          <w:p w14:paraId="49520590" w14:textId="58C830DE" w:rsidR="00594E1C" w:rsidRPr="00C46E62" w:rsidRDefault="00594E1C" w:rsidP="00E912FE">
            <w:pPr>
              <w:numPr>
                <w:ilvl w:val="12"/>
                <w:numId w:val="0"/>
              </w:numPr>
              <w:overflowPunct w:val="0"/>
              <w:autoSpaceDE w:val="0"/>
              <w:autoSpaceDN w:val="0"/>
              <w:adjustRightInd w:val="0"/>
              <w:spacing w:before="20" w:after="20"/>
              <w:jc w:val="center"/>
              <w:textAlignment w:val="baseline"/>
              <w:rPr>
                <w:rFonts w:ascii="Arial (W1)" w:hAnsi="Arial (W1)" w:cs="Times New Roman"/>
                <w:color w:val="000000"/>
              </w:rPr>
            </w:pPr>
            <w:r w:rsidRPr="007C3DDE">
              <w:rPr>
                <w:rFonts w:ascii="Arial (W1)" w:hAnsi="Arial (W1)" w:cs="Times New Roman"/>
                <w:color w:val="000000"/>
              </w:rPr>
              <w:t xml:space="preserve">Festsetzung des Betrages </w:t>
            </w:r>
            <w:r w:rsidRPr="007C3DDE">
              <w:rPr>
                <w:rFonts w:ascii="Arial (W1)" w:hAnsi="Arial (W1)" w:cs="Times New Roman"/>
              </w:rPr>
              <w:t xml:space="preserve">gemäss Äquivalenzskala (vgl. </w:t>
            </w:r>
            <w:proofErr w:type="spellStart"/>
            <w:r w:rsidRPr="007C3DDE">
              <w:rPr>
                <w:rFonts w:ascii="Arial (W1)" w:hAnsi="Arial (W1)" w:cs="Times New Roman"/>
              </w:rPr>
              <w:t>Ziff</w:t>
            </w:r>
            <w:proofErr w:type="spellEnd"/>
            <w:r w:rsidRPr="007C3DDE">
              <w:rPr>
                <w:rFonts w:ascii="Arial (W1)" w:hAnsi="Arial (W1)" w:cs="Times New Roman"/>
              </w:rPr>
              <w:t xml:space="preserve"> 2.1)</w:t>
            </w:r>
          </w:p>
        </w:tc>
        <w:tc>
          <w:tcPr>
            <w:tcW w:w="3320" w:type="dxa"/>
            <w:vMerge/>
          </w:tcPr>
          <w:p w14:paraId="0822C06E" w14:textId="7C6BA97C" w:rsidR="00594E1C" w:rsidRPr="00C46E62" w:rsidRDefault="00594E1C" w:rsidP="00E912FE">
            <w:pPr>
              <w:numPr>
                <w:ilvl w:val="12"/>
                <w:numId w:val="0"/>
              </w:numPr>
              <w:overflowPunct w:val="0"/>
              <w:autoSpaceDE w:val="0"/>
              <w:autoSpaceDN w:val="0"/>
              <w:adjustRightInd w:val="0"/>
              <w:spacing w:before="20" w:after="20"/>
              <w:jc w:val="center"/>
              <w:textAlignment w:val="baseline"/>
              <w:rPr>
                <w:rFonts w:ascii="Arial (W1)" w:hAnsi="Arial (W1)" w:cs="Times New Roman"/>
                <w:color w:val="000000"/>
              </w:rPr>
            </w:pPr>
          </w:p>
        </w:tc>
      </w:tr>
    </w:tbl>
    <w:p w14:paraId="1261A864" w14:textId="77777777" w:rsidR="00986789" w:rsidRPr="00C46E62" w:rsidRDefault="00986789" w:rsidP="00986789"/>
    <w:p w14:paraId="6300D65C" w14:textId="5032471E" w:rsidR="009A78BE" w:rsidRDefault="00286CAB" w:rsidP="003937D4">
      <w:pPr>
        <w:rPr>
          <w:sz w:val="16"/>
          <w:szCs w:val="16"/>
        </w:rPr>
      </w:pPr>
      <w:r w:rsidRPr="007A1309">
        <w:rPr>
          <w:szCs w:val="22"/>
        </w:rPr>
        <w:t>*</w:t>
      </w:r>
      <w:r w:rsidR="00986789" w:rsidRPr="00286CAB">
        <w:rPr>
          <w:sz w:val="16"/>
          <w:szCs w:val="16"/>
        </w:rPr>
        <w:t xml:space="preserve">Bei einem längerfristigen Aufenthalt eines Kindes beim </w:t>
      </w:r>
      <w:r w:rsidR="00DB054A" w:rsidRPr="00286CAB">
        <w:rPr>
          <w:sz w:val="16"/>
          <w:szCs w:val="16"/>
        </w:rPr>
        <w:t>anderen</w:t>
      </w:r>
      <w:r w:rsidR="00986789" w:rsidRPr="00286CAB">
        <w:rPr>
          <w:sz w:val="16"/>
          <w:szCs w:val="16"/>
        </w:rPr>
        <w:t xml:space="preserve"> Elternteil ist eine Anpassung des GBL beim Elternteil</w:t>
      </w:r>
      <w:r w:rsidR="00C46E62" w:rsidRPr="00286CAB">
        <w:rPr>
          <w:sz w:val="16"/>
          <w:szCs w:val="16"/>
        </w:rPr>
        <w:t xml:space="preserve"> des regulären Aufenthalts</w:t>
      </w:r>
      <w:r w:rsidR="00986789" w:rsidRPr="00286CAB">
        <w:rPr>
          <w:sz w:val="16"/>
          <w:szCs w:val="16"/>
        </w:rPr>
        <w:t xml:space="preserve"> zu prüfen, sofern dieser auch mit WH unterstützt wird.</w:t>
      </w:r>
    </w:p>
    <w:p w14:paraId="33DF301A" w14:textId="77777777" w:rsidR="00E7551D" w:rsidRDefault="00E7551D" w:rsidP="003937D4"/>
    <w:p w14:paraId="0108DBC6" w14:textId="7C247504" w:rsidR="003937D4" w:rsidRPr="006930F7" w:rsidRDefault="00666A34" w:rsidP="00666A34">
      <w:pPr>
        <w:pStyle w:val="berschrift2"/>
      </w:pPr>
      <w:bookmarkStart w:id="8" w:name="_Toc122350043"/>
      <w:r w:rsidRPr="00666A34">
        <w:t>Beträge für die Berechnung einzelner Essenszuschläge oder -abzüge (innerhalb des Grundbedarfs</w:t>
      </w:r>
      <w:r>
        <w:t>)</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90"/>
        <w:gridCol w:w="3300"/>
      </w:tblGrid>
      <w:tr w:rsidR="003937D4" w:rsidRPr="006930F7" w14:paraId="3DD8BC37" w14:textId="77777777">
        <w:tc>
          <w:tcPr>
            <w:tcW w:w="2490" w:type="dxa"/>
            <w:tcBorders>
              <w:left w:val="single" w:sz="4" w:space="0" w:color="auto"/>
            </w:tcBorders>
          </w:tcPr>
          <w:p w14:paraId="4BE3EE41" w14:textId="77777777" w:rsidR="003937D4" w:rsidRPr="006930F7" w:rsidRDefault="003937D4" w:rsidP="003937D4">
            <w:pPr>
              <w:pStyle w:val="Tabelle"/>
              <w:rPr>
                <w:b/>
                <w:bCs/>
                <w:sz w:val="22"/>
                <w:lang w:val="de-CH"/>
              </w:rPr>
            </w:pPr>
            <w:r w:rsidRPr="006930F7">
              <w:rPr>
                <w:b/>
                <w:bCs/>
                <w:sz w:val="22"/>
                <w:lang w:val="de-CH"/>
              </w:rPr>
              <w:t>Mahlzeit</w:t>
            </w:r>
          </w:p>
        </w:tc>
        <w:tc>
          <w:tcPr>
            <w:tcW w:w="3300" w:type="dxa"/>
          </w:tcPr>
          <w:p w14:paraId="02381DB8" w14:textId="77777777" w:rsidR="003937D4" w:rsidRPr="006930F7" w:rsidRDefault="003937D4" w:rsidP="003937D4">
            <w:pPr>
              <w:pStyle w:val="Tabelle"/>
              <w:jc w:val="center"/>
              <w:rPr>
                <w:b/>
                <w:bCs/>
                <w:sz w:val="22"/>
                <w:lang w:val="de-CH"/>
              </w:rPr>
            </w:pPr>
            <w:r w:rsidRPr="006930F7">
              <w:rPr>
                <w:b/>
                <w:bCs/>
                <w:sz w:val="22"/>
                <w:lang w:val="de-CH"/>
              </w:rPr>
              <w:t>Betrag</w:t>
            </w:r>
          </w:p>
        </w:tc>
      </w:tr>
      <w:tr w:rsidR="003937D4" w:rsidRPr="006930F7" w14:paraId="6065ECCB" w14:textId="77777777" w:rsidTr="00E7551D">
        <w:tc>
          <w:tcPr>
            <w:tcW w:w="2490" w:type="dxa"/>
            <w:tcBorders>
              <w:left w:val="single" w:sz="4" w:space="0" w:color="auto"/>
            </w:tcBorders>
            <w:shd w:val="clear" w:color="auto" w:fill="auto"/>
          </w:tcPr>
          <w:p w14:paraId="3EB94F71" w14:textId="77777777" w:rsidR="003937D4" w:rsidRPr="006930F7" w:rsidRDefault="003937D4" w:rsidP="003937D4">
            <w:pPr>
              <w:pStyle w:val="Tabelle"/>
              <w:rPr>
                <w:sz w:val="22"/>
                <w:lang w:val="de-CH"/>
              </w:rPr>
            </w:pPr>
            <w:r w:rsidRPr="006930F7">
              <w:rPr>
                <w:sz w:val="22"/>
                <w:lang w:val="de-CH"/>
              </w:rPr>
              <w:t>Frühstück</w:t>
            </w:r>
          </w:p>
        </w:tc>
        <w:tc>
          <w:tcPr>
            <w:tcW w:w="3300" w:type="dxa"/>
            <w:shd w:val="clear" w:color="auto" w:fill="auto"/>
          </w:tcPr>
          <w:p w14:paraId="66297B23" w14:textId="52635709" w:rsidR="003937D4" w:rsidRPr="005F3FEE" w:rsidRDefault="00DD313F" w:rsidP="003937D4">
            <w:pPr>
              <w:pStyle w:val="Tabelle"/>
              <w:jc w:val="center"/>
              <w:rPr>
                <w:sz w:val="22"/>
                <w:highlight w:val="yellow"/>
                <w:lang w:val="de-CH"/>
              </w:rPr>
            </w:pPr>
            <w:r w:rsidRPr="00E7551D">
              <w:rPr>
                <w:sz w:val="22"/>
                <w:lang w:val="de-CH"/>
              </w:rPr>
              <w:t>2.00</w:t>
            </w:r>
          </w:p>
        </w:tc>
      </w:tr>
      <w:tr w:rsidR="003937D4" w:rsidRPr="006930F7" w14:paraId="4542C626" w14:textId="77777777" w:rsidTr="00E7551D">
        <w:tc>
          <w:tcPr>
            <w:tcW w:w="2490" w:type="dxa"/>
            <w:tcBorders>
              <w:left w:val="single" w:sz="4" w:space="0" w:color="auto"/>
            </w:tcBorders>
            <w:shd w:val="clear" w:color="auto" w:fill="auto"/>
          </w:tcPr>
          <w:p w14:paraId="413A03FC" w14:textId="77777777" w:rsidR="003937D4" w:rsidRPr="006930F7" w:rsidRDefault="003937D4" w:rsidP="003937D4">
            <w:pPr>
              <w:pStyle w:val="Tabelle"/>
              <w:rPr>
                <w:sz w:val="22"/>
                <w:lang w:val="de-CH"/>
              </w:rPr>
            </w:pPr>
            <w:r w:rsidRPr="006930F7">
              <w:rPr>
                <w:sz w:val="22"/>
                <w:lang w:val="de-CH"/>
              </w:rPr>
              <w:t>Mittagessen</w:t>
            </w:r>
          </w:p>
        </w:tc>
        <w:tc>
          <w:tcPr>
            <w:tcW w:w="3300" w:type="dxa"/>
            <w:shd w:val="clear" w:color="auto" w:fill="auto"/>
          </w:tcPr>
          <w:p w14:paraId="69B7A506" w14:textId="66D2F091" w:rsidR="003937D4" w:rsidRPr="005F3FEE" w:rsidRDefault="00DD313F" w:rsidP="003937D4">
            <w:pPr>
              <w:pStyle w:val="Tabelle"/>
              <w:jc w:val="center"/>
              <w:rPr>
                <w:sz w:val="22"/>
                <w:highlight w:val="yellow"/>
                <w:lang w:val="de-CH"/>
              </w:rPr>
            </w:pPr>
            <w:r w:rsidRPr="00E7551D">
              <w:rPr>
                <w:sz w:val="22"/>
                <w:lang w:val="de-CH"/>
              </w:rPr>
              <w:t>4.50</w:t>
            </w:r>
          </w:p>
        </w:tc>
      </w:tr>
      <w:tr w:rsidR="003937D4" w:rsidRPr="006930F7" w14:paraId="0FF5F1E2" w14:textId="77777777" w:rsidTr="00E7551D">
        <w:tc>
          <w:tcPr>
            <w:tcW w:w="2490" w:type="dxa"/>
            <w:tcBorders>
              <w:left w:val="single" w:sz="4" w:space="0" w:color="auto"/>
            </w:tcBorders>
            <w:shd w:val="clear" w:color="auto" w:fill="auto"/>
          </w:tcPr>
          <w:p w14:paraId="2DB87A05" w14:textId="77777777" w:rsidR="003937D4" w:rsidRPr="006930F7" w:rsidRDefault="003937D4" w:rsidP="003937D4">
            <w:pPr>
              <w:pStyle w:val="Tabelle"/>
              <w:rPr>
                <w:sz w:val="22"/>
                <w:lang w:val="de-CH"/>
              </w:rPr>
            </w:pPr>
            <w:r w:rsidRPr="006930F7">
              <w:rPr>
                <w:sz w:val="22"/>
                <w:lang w:val="de-CH"/>
              </w:rPr>
              <w:t>Abendessen</w:t>
            </w:r>
          </w:p>
        </w:tc>
        <w:tc>
          <w:tcPr>
            <w:tcW w:w="3300" w:type="dxa"/>
            <w:shd w:val="clear" w:color="auto" w:fill="auto"/>
          </w:tcPr>
          <w:p w14:paraId="192DDFF8" w14:textId="7B5BF933" w:rsidR="003937D4" w:rsidRPr="005F3FEE" w:rsidRDefault="00DD313F" w:rsidP="003937D4">
            <w:pPr>
              <w:pStyle w:val="Tabelle"/>
              <w:jc w:val="center"/>
              <w:rPr>
                <w:sz w:val="22"/>
                <w:highlight w:val="yellow"/>
                <w:lang w:val="de-CH"/>
              </w:rPr>
            </w:pPr>
            <w:r w:rsidRPr="00E7551D">
              <w:rPr>
                <w:sz w:val="22"/>
                <w:lang w:val="de-CH"/>
              </w:rPr>
              <w:t>4.50</w:t>
            </w:r>
          </w:p>
        </w:tc>
      </w:tr>
    </w:tbl>
    <w:p w14:paraId="582F8CA2" w14:textId="77777777" w:rsidR="007C3DDE" w:rsidRDefault="007C3DDE"/>
    <w:p w14:paraId="1C9210D0" w14:textId="7F681D0E" w:rsidR="007C3DDE" w:rsidRDefault="007C3DDE">
      <w:pPr>
        <w:rPr>
          <w:rFonts w:cs="Times New Roman"/>
          <w:b/>
          <w:szCs w:val="24"/>
        </w:rPr>
      </w:pPr>
      <w:r>
        <w:br w:type="page"/>
      </w:r>
    </w:p>
    <w:p w14:paraId="4D253640" w14:textId="608655AF" w:rsidR="00D4538B" w:rsidRPr="006629E6" w:rsidRDefault="00D4538B" w:rsidP="009E4BF9">
      <w:pPr>
        <w:pStyle w:val="berschrift1"/>
        <w:spacing w:after="240"/>
      </w:pPr>
      <w:bookmarkStart w:id="9" w:name="_Toc122350044"/>
      <w:r w:rsidRPr="00493ACF">
        <w:lastRenderedPageBreak/>
        <w:t>Grundbedarf</w:t>
      </w:r>
      <w:r w:rsidR="00897AE6" w:rsidRPr="00493ACF">
        <w:t xml:space="preserve"> </w:t>
      </w:r>
      <w:r w:rsidRPr="00493ACF">
        <w:t xml:space="preserve">in stationären Einrichtungen </w:t>
      </w:r>
      <w:r w:rsidR="00897AE6" w:rsidRPr="00493ACF">
        <w:t xml:space="preserve">für Erwachsene </w:t>
      </w:r>
      <w:r w:rsidRPr="00493ACF">
        <w:t xml:space="preserve">(SKOS </w:t>
      </w:r>
      <w:r w:rsidR="00A52A70" w:rsidRPr="00493ACF">
        <w:t>Kap</w:t>
      </w:r>
      <w:r w:rsidR="00A52A70" w:rsidRPr="006629E6">
        <w:t xml:space="preserve">. </w:t>
      </w:r>
      <w:r w:rsidR="0001293B" w:rsidRPr="006629E6">
        <w:t>C.3.2</w:t>
      </w:r>
      <w:r w:rsidRPr="006629E6">
        <w:t>)</w:t>
      </w:r>
      <w:bookmarkEnd w:id="9"/>
    </w:p>
    <w:p w14:paraId="53A1B089" w14:textId="633B4F0B" w:rsidR="003412C8" w:rsidRDefault="003412C8" w:rsidP="00490A58">
      <w:pPr>
        <w:pStyle w:val="WeisungAufzhlung"/>
        <w:numPr>
          <w:ilvl w:val="0"/>
          <w:numId w:val="0"/>
        </w:numPr>
      </w:pPr>
      <w:r w:rsidRPr="006930F7">
        <w:t>Es gelten grundsätzlich die Ansätze gemäss Konzept der jeweili</w:t>
      </w:r>
      <w:r w:rsidR="00490A58">
        <w:t xml:space="preserve">gen Institution, jedoch für die </w:t>
      </w:r>
      <w:r w:rsidRPr="006930F7">
        <w:t xml:space="preserve">gesamten Auslagen maximal </w:t>
      </w:r>
      <w:r>
        <w:t>folgende Ansätze:</w:t>
      </w:r>
    </w:p>
    <w:p w14:paraId="75545393" w14:textId="77777777" w:rsidR="007A3261" w:rsidRPr="006930F7" w:rsidRDefault="007A3261" w:rsidP="00490A58">
      <w:pPr>
        <w:pStyle w:val="WeisungAufzhlung"/>
        <w:numPr>
          <w:ilvl w:val="0"/>
          <w:numId w:val="0"/>
        </w:numPr>
      </w:pPr>
    </w:p>
    <w:p w14:paraId="7CFE5E0B" w14:textId="77777777" w:rsidR="003412C8" w:rsidRPr="006930F7" w:rsidRDefault="003412C8" w:rsidP="003412C8">
      <w:pPr>
        <w:rPr>
          <w:sz w:val="20"/>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84"/>
        <w:gridCol w:w="2569"/>
        <w:gridCol w:w="2061"/>
      </w:tblGrid>
      <w:tr w:rsidR="003412C8" w:rsidRPr="006930F7" w14:paraId="6C965A4F" w14:textId="77777777" w:rsidTr="00145F24">
        <w:trPr>
          <w:cantSplit/>
        </w:trPr>
        <w:tc>
          <w:tcPr>
            <w:tcW w:w="4584" w:type="dxa"/>
          </w:tcPr>
          <w:p w14:paraId="456AC9E0" w14:textId="77777777" w:rsidR="003412C8" w:rsidRPr="006930F7" w:rsidRDefault="003412C8" w:rsidP="00145F24">
            <w:pPr>
              <w:pStyle w:val="Tabelle"/>
              <w:rPr>
                <w:b/>
                <w:bCs/>
                <w:sz w:val="22"/>
                <w:lang w:val="de-CH"/>
              </w:rPr>
            </w:pPr>
            <w:r w:rsidRPr="006930F7">
              <w:rPr>
                <w:b/>
                <w:bCs/>
                <w:sz w:val="22"/>
                <w:lang w:val="de-CH"/>
              </w:rPr>
              <w:t>Wohn- oder Lebensform Erwachsene</w:t>
            </w:r>
          </w:p>
        </w:tc>
        <w:tc>
          <w:tcPr>
            <w:tcW w:w="2569" w:type="dxa"/>
          </w:tcPr>
          <w:p w14:paraId="2CCF7636" w14:textId="77777777" w:rsidR="003412C8" w:rsidRPr="006930F7" w:rsidRDefault="003412C8" w:rsidP="00145F24">
            <w:pPr>
              <w:pStyle w:val="Tabelle"/>
              <w:jc w:val="center"/>
              <w:rPr>
                <w:sz w:val="22"/>
                <w:lang w:val="de-CH"/>
              </w:rPr>
            </w:pPr>
            <w:r w:rsidRPr="006930F7">
              <w:rPr>
                <w:b/>
                <w:bCs/>
                <w:sz w:val="22"/>
                <w:lang w:val="de-CH"/>
              </w:rPr>
              <w:t>GBL / Monat</w:t>
            </w:r>
          </w:p>
        </w:tc>
        <w:tc>
          <w:tcPr>
            <w:tcW w:w="2061" w:type="dxa"/>
          </w:tcPr>
          <w:p w14:paraId="2DF6B54F" w14:textId="77777777" w:rsidR="003412C8" w:rsidRPr="006930F7" w:rsidRDefault="003412C8" w:rsidP="00145F24">
            <w:pPr>
              <w:pStyle w:val="Tabelle"/>
              <w:jc w:val="center"/>
              <w:rPr>
                <w:b/>
                <w:bCs/>
                <w:sz w:val="22"/>
                <w:lang w:val="de-CH"/>
              </w:rPr>
            </w:pPr>
            <w:r w:rsidRPr="006930F7">
              <w:rPr>
                <w:b/>
                <w:bCs/>
                <w:sz w:val="22"/>
                <w:lang w:val="de-CH"/>
              </w:rPr>
              <w:t>GBL / Tag</w:t>
            </w:r>
          </w:p>
        </w:tc>
      </w:tr>
      <w:tr w:rsidR="003412C8" w:rsidRPr="00E7551D" w14:paraId="0C262471" w14:textId="77777777" w:rsidTr="00145F24">
        <w:trPr>
          <w:cantSplit/>
        </w:trPr>
        <w:tc>
          <w:tcPr>
            <w:tcW w:w="4584" w:type="dxa"/>
          </w:tcPr>
          <w:p w14:paraId="5F1374E5" w14:textId="0860E9E5" w:rsidR="003412C8" w:rsidRPr="00E7551D" w:rsidRDefault="003412C8" w:rsidP="00145F24">
            <w:pPr>
              <w:pStyle w:val="Tabelle"/>
              <w:rPr>
                <w:sz w:val="22"/>
                <w:lang w:val="de-CH"/>
              </w:rPr>
            </w:pPr>
            <w:r w:rsidRPr="00E7551D">
              <w:rPr>
                <w:sz w:val="22"/>
                <w:lang w:val="de-CH"/>
              </w:rPr>
              <w:t>Eigene Wohneinheit mit Betreuung ohne Verpflegung (</w:t>
            </w:r>
            <w:proofErr w:type="spellStart"/>
            <w:r w:rsidRPr="00E7551D">
              <w:rPr>
                <w:sz w:val="22"/>
                <w:lang w:val="de-CH"/>
              </w:rPr>
              <w:t>z.B</w:t>
            </w:r>
            <w:proofErr w:type="spellEnd"/>
            <w:r w:rsidRPr="00E7551D">
              <w:rPr>
                <w:sz w:val="22"/>
                <w:lang w:val="de-CH"/>
              </w:rPr>
              <w:t>: SEB Ambulante Wohnintegration)</w:t>
            </w:r>
          </w:p>
        </w:tc>
        <w:tc>
          <w:tcPr>
            <w:tcW w:w="4630" w:type="dxa"/>
            <w:gridSpan w:val="2"/>
          </w:tcPr>
          <w:p w14:paraId="08785A20" w14:textId="77777777" w:rsidR="003412C8" w:rsidRPr="00E7551D" w:rsidRDefault="003412C8" w:rsidP="00145F24">
            <w:pPr>
              <w:pStyle w:val="Tabelle"/>
              <w:jc w:val="center"/>
              <w:rPr>
                <w:sz w:val="22"/>
                <w:lang w:val="de-CH"/>
              </w:rPr>
            </w:pPr>
            <w:r w:rsidRPr="00E7551D">
              <w:rPr>
                <w:sz w:val="22"/>
                <w:lang w:val="de-CH"/>
              </w:rPr>
              <w:t>Bestimmungen für einen Einpersonenhaushalt, siehe Ziffer 2.2</w:t>
            </w:r>
          </w:p>
        </w:tc>
      </w:tr>
      <w:tr w:rsidR="003412C8" w:rsidRPr="00E7551D" w14:paraId="6C558ED7" w14:textId="77777777" w:rsidTr="00145F24">
        <w:trPr>
          <w:cantSplit/>
        </w:trPr>
        <w:tc>
          <w:tcPr>
            <w:tcW w:w="4584" w:type="dxa"/>
          </w:tcPr>
          <w:p w14:paraId="2E50B9FA" w14:textId="4CEA183B" w:rsidR="003412C8" w:rsidRPr="00E7551D" w:rsidRDefault="003412C8" w:rsidP="00145F24">
            <w:pPr>
              <w:pStyle w:val="Tabelle"/>
              <w:rPr>
                <w:sz w:val="22"/>
                <w:lang w:val="de-CH"/>
              </w:rPr>
            </w:pPr>
            <w:r w:rsidRPr="00E7551D">
              <w:rPr>
                <w:sz w:val="22"/>
                <w:lang w:val="de-CH"/>
              </w:rPr>
              <w:t>Wohngemeinschaften mit Betreuung ohne Verpflegung</w:t>
            </w:r>
          </w:p>
        </w:tc>
        <w:tc>
          <w:tcPr>
            <w:tcW w:w="4630" w:type="dxa"/>
            <w:gridSpan w:val="2"/>
          </w:tcPr>
          <w:p w14:paraId="69FB64C3" w14:textId="77777777" w:rsidR="003412C8" w:rsidRPr="00E7551D" w:rsidRDefault="003412C8" w:rsidP="00145F24">
            <w:pPr>
              <w:pStyle w:val="Tabelle"/>
              <w:jc w:val="center"/>
              <w:rPr>
                <w:sz w:val="22"/>
                <w:lang w:val="de-CH"/>
              </w:rPr>
            </w:pPr>
            <w:r w:rsidRPr="00E7551D">
              <w:rPr>
                <w:sz w:val="22"/>
                <w:lang w:val="de-CH"/>
              </w:rPr>
              <w:t>Bestimmungen für eine Zweckwohngemeinschaft, siehe Ziffer 2.3</w:t>
            </w:r>
          </w:p>
        </w:tc>
      </w:tr>
      <w:tr w:rsidR="003412C8" w:rsidRPr="00E7551D" w14:paraId="286CE651" w14:textId="77777777" w:rsidTr="00145F24">
        <w:trPr>
          <w:cantSplit/>
        </w:trPr>
        <w:tc>
          <w:tcPr>
            <w:tcW w:w="4584" w:type="dxa"/>
          </w:tcPr>
          <w:p w14:paraId="2955AD91" w14:textId="77777777" w:rsidR="003412C8" w:rsidRPr="00E7551D" w:rsidRDefault="003412C8" w:rsidP="00145F24">
            <w:pPr>
              <w:pStyle w:val="Tabelle"/>
              <w:rPr>
                <w:sz w:val="22"/>
                <w:lang w:val="de-CH"/>
              </w:rPr>
            </w:pPr>
            <w:r w:rsidRPr="00E7551D">
              <w:rPr>
                <w:sz w:val="22"/>
                <w:lang w:val="de-CH"/>
              </w:rPr>
              <w:t>Aufenthalt in Institution mit Bett / Frühstück</w:t>
            </w:r>
          </w:p>
        </w:tc>
        <w:tc>
          <w:tcPr>
            <w:tcW w:w="2569" w:type="dxa"/>
          </w:tcPr>
          <w:p w14:paraId="56F05709" w14:textId="276A28BF" w:rsidR="003412C8" w:rsidRPr="00911BD9" w:rsidRDefault="008D6AFB" w:rsidP="00145F24">
            <w:pPr>
              <w:pStyle w:val="Tabelle"/>
              <w:jc w:val="center"/>
              <w:rPr>
                <w:color w:val="auto"/>
                <w:sz w:val="22"/>
                <w:highlight w:val="yellow"/>
                <w:lang w:val="de-CH"/>
              </w:rPr>
            </w:pPr>
            <w:r w:rsidRPr="00911BD9">
              <w:rPr>
                <w:color w:val="auto"/>
                <w:sz w:val="22"/>
                <w:highlight w:val="yellow"/>
                <w:lang w:val="de-CH"/>
              </w:rPr>
              <w:t>832.00</w:t>
            </w:r>
          </w:p>
        </w:tc>
        <w:tc>
          <w:tcPr>
            <w:tcW w:w="2061" w:type="dxa"/>
          </w:tcPr>
          <w:p w14:paraId="5D47D96C" w14:textId="452E28D8" w:rsidR="003412C8" w:rsidRPr="00E7551D" w:rsidRDefault="009713DA" w:rsidP="00145F24">
            <w:pPr>
              <w:pStyle w:val="Tabelle"/>
              <w:jc w:val="center"/>
              <w:rPr>
                <w:sz w:val="22"/>
                <w:lang w:val="de-CH"/>
              </w:rPr>
            </w:pPr>
            <w:r w:rsidRPr="00E7551D">
              <w:rPr>
                <w:sz w:val="22"/>
                <w:lang w:val="de-CH"/>
              </w:rPr>
              <w:t>27.00</w:t>
            </w:r>
          </w:p>
        </w:tc>
      </w:tr>
      <w:tr w:rsidR="003412C8" w:rsidRPr="00E7551D" w14:paraId="5B8EABAB" w14:textId="77777777" w:rsidTr="00145F24">
        <w:trPr>
          <w:cantSplit/>
        </w:trPr>
        <w:tc>
          <w:tcPr>
            <w:tcW w:w="4584" w:type="dxa"/>
          </w:tcPr>
          <w:p w14:paraId="74CC8258" w14:textId="77777777" w:rsidR="003412C8" w:rsidRPr="00E7551D" w:rsidRDefault="003412C8" w:rsidP="00145F24">
            <w:pPr>
              <w:pStyle w:val="Tabelle"/>
              <w:rPr>
                <w:sz w:val="22"/>
                <w:lang w:val="de-CH"/>
              </w:rPr>
            </w:pPr>
            <w:r w:rsidRPr="00E7551D">
              <w:rPr>
                <w:sz w:val="22"/>
                <w:lang w:val="de-CH"/>
              </w:rPr>
              <w:t>Aufenthalt in Institution mit Halbpension</w:t>
            </w:r>
          </w:p>
        </w:tc>
        <w:tc>
          <w:tcPr>
            <w:tcW w:w="2569" w:type="dxa"/>
          </w:tcPr>
          <w:p w14:paraId="64B170C3" w14:textId="7CB8C616" w:rsidR="003412C8" w:rsidRPr="00911BD9" w:rsidRDefault="008D6AFB" w:rsidP="00145F24">
            <w:pPr>
              <w:pStyle w:val="Tabelle"/>
              <w:jc w:val="center"/>
              <w:rPr>
                <w:sz w:val="22"/>
                <w:highlight w:val="yellow"/>
                <w:lang w:val="de-CH"/>
              </w:rPr>
            </w:pPr>
            <w:r w:rsidRPr="00911BD9">
              <w:rPr>
                <w:sz w:val="22"/>
                <w:highlight w:val="yellow"/>
                <w:lang w:val="de-CH"/>
              </w:rPr>
              <w:t>695.00</w:t>
            </w:r>
          </w:p>
        </w:tc>
        <w:tc>
          <w:tcPr>
            <w:tcW w:w="2061" w:type="dxa"/>
          </w:tcPr>
          <w:p w14:paraId="063FE05B" w14:textId="38E288C2" w:rsidR="003412C8" w:rsidRPr="00E7551D" w:rsidRDefault="00060C85" w:rsidP="00145F24">
            <w:pPr>
              <w:pStyle w:val="Tabelle"/>
              <w:jc w:val="center"/>
              <w:rPr>
                <w:sz w:val="22"/>
                <w:lang w:val="de-CH"/>
              </w:rPr>
            </w:pPr>
            <w:r w:rsidRPr="00911BD9">
              <w:rPr>
                <w:sz w:val="22"/>
                <w:highlight w:val="yellow"/>
                <w:lang w:val="de-CH"/>
              </w:rPr>
              <w:t>23.00</w:t>
            </w:r>
          </w:p>
        </w:tc>
      </w:tr>
      <w:tr w:rsidR="003412C8" w:rsidRPr="00E7551D" w14:paraId="77CE771D" w14:textId="77777777" w:rsidTr="00145F24">
        <w:trPr>
          <w:cantSplit/>
        </w:trPr>
        <w:tc>
          <w:tcPr>
            <w:tcW w:w="4584" w:type="dxa"/>
          </w:tcPr>
          <w:p w14:paraId="0B5CAA32" w14:textId="77777777" w:rsidR="003412C8" w:rsidRPr="00E7551D" w:rsidRDefault="003412C8" w:rsidP="00145F24">
            <w:pPr>
              <w:pStyle w:val="Tabelle"/>
              <w:rPr>
                <w:sz w:val="22"/>
                <w:lang w:val="de-CH"/>
              </w:rPr>
            </w:pPr>
            <w:r w:rsidRPr="00E7551D">
              <w:rPr>
                <w:sz w:val="22"/>
                <w:lang w:val="de-CH"/>
              </w:rPr>
              <w:t xml:space="preserve">Aufenthalt in Institution mit Vollpension / stationärer Einrichtung </w:t>
            </w:r>
          </w:p>
        </w:tc>
        <w:tc>
          <w:tcPr>
            <w:tcW w:w="2569" w:type="dxa"/>
          </w:tcPr>
          <w:p w14:paraId="7CFA094A" w14:textId="70E9926B" w:rsidR="003412C8" w:rsidRPr="00911BD9" w:rsidRDefault="008D6AFB" w:rsidP="00B60BF4">
            <w:pPr>
              <w:pStyle w:val="Tabelle"/>
              <w:jc w:val="center"/>
              <w:rPr>
                <w:sz w:val="22"/>
                <w:highlight w:val="yellow"/>
                <w:lang w:val="de-CH"/>
              </w:rPr>
            </w:pPr>
            <w:r w:rsidRPr="00911BD9">
              <w:rPr>
                <w:sz w:val="22"/>
                <w:highlight w:val="yellow"/>
                <w:lang w:val="de-CH"/>
              </w:rPr>
              <w:t>55</w:t>
            </w:r>
            <w:r w:rsidR="00B60BF4" w:rsidRPr="00911BD9">
              <w:rPr>
                <w:sz w:val="22"/>
                <w:highlight w:val="yellow"/>
                <w:lang w:val="de-CH"/>
              </w:rPr>
              <w:t>8</w:t>
            </w:r>
            <w:r w:rsidRPr="00911BD9">
              <w:rPr>
                <w:sz w:val="22"/>
                <w:highlight w:val="yellow"/>
                <w:lang w:val="de-CH"/>
              </w:rPr>
              <w:t>.00</w:t>
            </w:r>
          </w:p>
        </w:tc>
        <w:tc>
          <w:tcPr>
            <w:tcW w:w="2061" w:type="dxa"/>
          </w:tcPr>
          <w:p w14:paraId="1F4366E1" w14:textId="683DED32" w:rsidR="003412C8" w:rsidRPr="00E7551D" w:rsidRDefault="00887D4D" w:rsidP="00145F24">
            <w:pPr>
              <w:pStyle w:val="Tabelle"/>
              <w:jc w:val="center"/>
              <w:rPr>
                <w:sz w:val="22"/>
                <w:lang w:val="de-CH"/>
              </w:rPr>
            </w:pPr>
            <w:r w:rsidRPr="00E7551D">
              <w:rPr>
                <w:sz w:val="22"/>
                <w:lang w:val="de-CH"/>
              </w:rPr>
              <w:t>18</w:t>
            </w:r>
            <w:r w:rsidR="003412C8" w:rsidRPr="00E7551D">
              <w:rPr>
                <w:sz w:val="22"/>
                <w:lang w:val="de-CH"/>
              </w:rPr>
              <w:t>.00</w:t>
            </w:r>
          </w:p>
        </w:tc>
      </w:tr>
    </w:tbl>
    <w:p w14:paraId="0FFFAB0E" w14:textId="77777777" w:rsidR="003412C8" w:rsidRPr="00E7551D" w:rsidRDefault="003412C8" w:rsidP="003412C8">
      <w:pPr>
        <w:pStyle w:val="Tabelle"/>
        <w:rPr>
          <w:rFonts w:ascii="Arial" w:hAnsi="Arial"/>
          <w:color w:val="auto"/>
          <w:sz w:val="22"/>
          <w:szCs w:val="22"/>
          <w:lang w:val="de-CH"/>
        </w:rPr>
      </w:pPr>
    </w:p>
    <w:p w14:paraId="01FB1997" w14:textId="57DA6497" w:rsidR="002E10C7" w:rsidRPr="00E7551D" w:rsidRDefault="00FC66E1" w:rsidP="00490A58">
      <w:pPr>
        <w:pStyle w:val="WeisungAufzhlung"/>
        <w:numPr>
          <w:ilvl w:val="0"/>
          <w:numId w:val="0"/>
        </w:numPr>
      </w:pPr>
      <w:r w:rsidRPr="00E7551D">
        <w:t>Für die individuelle Berechnung des GBL in stationären Einrichtungen werden alle effektiv anfallenden Auslagen der Klientin/des Klienten berücksichtigt, die im Grundbedarf gemäss SKOS Kap. C.3.1. enthalten sind. Der Grundbedarf wird um die im Tarif der Institution enthaltenen Auslagen (z.B. Verpflegung, Haushaltführung, Strom, Heizkosten, etc.) reduziert.</w:t>
      </w:r>
    </w:p>
    <w:p w14:paraId="35B4E0B1" w14:textId="528C69C8" w:rsidR="00D04C7A" w:rsidRPr="007A21F7" w:rsidRDefault="004C2C1A" w:rsidP="00C53424">
      <w:pPr>
        <w:pStyle w:val="berschrift1"/>
        <w:spacing w:after="240"/>
      </w:pPr>
      <w:bookmarkStart w:id="10" w:name="_Toc122350045"/>
      <w:r w:rsidRPr="007A21F7">
        <w:t>Nebenkosten und Verpf</w:t>
      </w:r>
      <w:r w:rsidR="00C53424" w:rsidRPr="007A21F7">
        <w:t>l</w:t>
      </w:r>
      <w:r w:rsidRPr="007A21F7">
        <w:t xml:space="preserve">egungsbeitrag </w:t>
      </w:r>
      <w:r w:rsidR="00D64559" w:rsidRPr="007A21F7">
        <w:t xml:space="preserve">als Teil des GBL </w:t>
      </w:r>
      <w:r w:rsidR="00C53424" w:rsidRPr="007A21F7">
        <w:t>bei Heim- und Familienpflege</w:t>
      </w:r>
      <w:bookmarkEnd w:id="10"/>
      <w:r w:rsidR="00C53424" w:rsidRPr="007A21F7">
        <w:t xml:space="preserve"> </w:t>
      </w:r>
    </w:p>
    <w:p w14:paraId="05922DE6" w14:textId="78621780" w:rsidR="00C53424" w:rsidRDefault="00C53424" w:rsidP="00D04C7A">
      <w:pPr>
        <w:pStyle w:val="Absatz0"/>
        <w:rPr>
          <w:b/>
        </w:rPr>
      </w:pPr>
      <w:r w:rsidRPr="007A21F7">
        <w:rPr>
          <w:b/>
        </w:rPr>
        <w:t>Nebenkosten:</w:t>
      </w:r>
    </w:p>
    <w:p w14:paraId="5064303F" w14:textId="77777777" w:rsidR="00C53424" w:rsidRDefault="00C53424" w:rsidP="00D04C7A">
      <w:pPr>
        <w:pStyle w:val="Absatz0"/>
        <w:rPr>
          <w:b/>
        </w:rPr>
      </w:pPr>
    </w:p>
    <w:p w14:paraId="771CA876" w14:textId="3F1016F4" w:rsidR="00D04C7A" w:rsidRPr="004C2C1A" w:rsidRDefault="00D04C7A" w:rsidP="00D04C7A">
      <w:pPr>
        <w:pStyle w:val="Absatz0"/>
      </w:pPr>
      <w:r w:rsidRPr="004C2C1A">
        <w:t xml:space="preserve">Die </w:t>
      </w:r>
      <w:r w:rsidR="00D4538B" w:rsidRPr="004C2C1A">
        <w:t xml:space="preserve">Nebenkostenpauschalen </w:t>
      </w:r>
      <w:r w:rsidR="004F16A9">
        <w:t>gemäss</w:t>
      </w:r>
      <w:r w:rsidR="000C0761">
        <w:t xml:space="preserve"> Empfehlungen der kantonalen Sozialkonferenz, des kantonalen Sozialamts und des Amts- für Jugend und Berufsberatung (</w:t>
      </w:r>
      <w:hyperlink r:id="rId15" w:history="1">
        <w:r w:rsidR="009625D4">
          <w:rPr>
            <w:rStyle w:val="Hyperlink"/>
          </w:rPr>
          <w:t>Empfehl</w:t>
        </w:r>
        <w:r w:rsidR="009625D4">
          <w:rPr>
            <w:rStyle w:val="Hyperlink"/>
          </w:rPr>
          <w:t>u</w:t>
        </w:r>
        <w:r w:rsidR="009625D4">
          <w:rPr>
            <w:rStyle w:val="Hyperlink"/>
          </w:rPr>
          <w:t>ngen SoKo-KSA-AJB 2024</w:t>
        </w:r>
      </w:hyperlink>
      <w:r w:rsidR="000C0761">
        <w:t xml:space="preserve">) </w:t>
      </w:r>
      <w:r w:rsidR="00D4538B" w:rsidRPr="004C2C1A">
        <w:t xml:space="preserve">sind </w:t>
      </w:r>
      <w:r w:rsidRPr="004C2C1A">
        <w:t>verbindlich</w:t>
      </w:r>
      <w:r w:rsidR="007A1309" w:rsidRPr="004C2C1A">
        <w:t xml:space="preserve"> anzu</w:t>
      </w:r>
      <w:r w:rsidR="00D4538B" w:rsidRPr="004C2C1A">
        <w:t>wenden</w:t>
      </w:r>
      <w:r w:rsidR="000C0761">
        <w:t>;</w:t>
      </w:r>
      <w:r w:rsidR="004F16A9">
        <w:t xml:space="preserve"> sie </w:t>
      </w:r>
      <w:r w:rsidR="00D4538B" w:rsidRPr="004C2C1A">
        <w:t xml:space="preserve">entsprechen folgender Tabelle: </w:t>
      </w:r>
    </w:p>
    <w:p w14:paraId="21779F9E" w14:textId="77777777" w:rsidR="00D04C7A" w:rsidRPr="005762D8" w:rsidRDefault="00D04C7A" w:rsidP="003937D4">
      <w:pPr>
        <w:pStyle w:val="Tabelle"/>
        <w:rPr>
          <w:highlight w:val="yellow"/>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94"/>
        <w:gridCol w:w="2491"/>
        <w:gridCol w:w="2076"/>
      </w:tblGrid>
      <w:tr w:rsidR="00F34F3E" w:rsidRPr="004C2C1A" w14:paraId="1E51AFE6" w14:textId="77777777" w:rsidTr="00F34F3E">
        <w:trPr>
          <w:cantSplit/>
          <w:trHeight w:val="610"/>
        </w:trPr>
        <w:tc>
          <w:tcPr>
            <w:tcW w:w="4580" w:type="dxa"/>
          </w:tcPr>
          <w:p w14:paraId="053347B2" w14:textId="77777777" w:rsidR="00F34F3E" w:rsidRPr="004C2C1A" w:rsidRDefault="00F34F3E" w:rsidP="003937D4">
            <w:pPr>
              <w:pStyle w:val="Tabelle"/>
              <w:rPr>
                <w:b/>
                <w:bCs/>
                <w:sz w:val="22"/>
                <w:lang w:val="de-CH"/>
              </w:rPr>
            </w:pPr>
            <w:r w:rsidRPr="004C2C1A">
              <w:rPr>
                <w:b/>
                <w:bCs/>
                <w:sz w:val="22"/>
                <w:lang w:val="de-CH"/>
              </w:rPr>
              <w:t>Stationär platzierte Kinder und Jugendliche (Vollpension, dauerhaft)</w:t>
            </w:r>
          </w:p>
        </w:tc>
        <w:tc>
          <w:tcPr>
            <w:tcW w:w="2530" w:type="dxa"/>
          </w:tcPr>
          <w:p w14:paraId="1B521C3B" w14:textId="21C12035" w:rsidR="00F34F3E" w:rsidRPr="004C2C1A" w:rsidRDefault="00F34F3E" w:rsidP="006B4A76">
            <w:pPr>
              <w:pStyle w:val="Tabelle"/>
              <w:jc w:val="center"/>
              <w:rPr>
                <w:b/>
                <w:bCs/>
                <w:sz w:val="22"/>
                <w:lang w:val="de-CH"/>
              </w:rPr>
            </w:pPr>
            <w:r w:rsidRPr="004C2C1A">
              <w:rPr>
                <w:b/>
                <w:bCs/>
                <w:sz w:val="22"/>
                <w:lang w:val="de-CH"/>
              </w:rPr>
              <w:t>GBL / Monat</w:t>
            </w:r>
          </w:p>
        </w:tc>
        <w:tc>
          <w:tcPr>
            <w:tcW w:w="2101" w:type="dxa"/>
          </w:tcPr>
          <w:p w14:paraId="3811CF7D" w14:textId="77777777" w:rsidR="00F34F3E" w:rsidRPr="004C2C1A" w:rsidRDefault="00F34F3E" w:rsidP="003937D4">
            <w:pPr>
              <w:pStyle w:val="Tabelle"/>
              <w:jc w:val="center"/>
              <w:rPr>
                <w:b/>
                <w:bCs/>
                <w:sz w:val="22"/>
                <w:lang w:val="de-CH"/>
              </w:rPr>
            </w:pPr>
            <w:r w:rsidRPr="004C2C1A">
              <w:rPr>
                <w:b/>
                <w:bCs/>
                <w:sz w:val="22"/>
                <w:lang w:val="de-CH"/>
              </w:rPr>
              <w:t>GBL / Jahr</w:t>
            </w:r>
          </w:p>
        </w:tc>
      </w:tr>
      <w:tr w:rsidR="00F34F3E" w:rsidRPr="005762D8" w14:paraId="06792007" w14:textId="77777777" w:rsidTr="00F34F3E">
        <w:tc>
          <w:tcPr>
            <w:tcW w:w="4580" w:type="dxa"/>
          </w:tcPr>
          <w:p w14:paraId="3ED5DAF4" w14:textId="0929C100" w:rsidR="00F34F3E" w:rsidRPr="004C2C1A" w:rsidRDefault="00382B6D" w:rsidP="003937D4">
            <w:pPr>
              <w:pStyle w:val="Tabelle"/>
              <w:rPr>
                <w:sz w:val="22"/>
                <w:lang w:val="de-CH"/>
              </w:rPr>
            </w:pPr>
            <w:r w:rsidRPr="004C2C1A">
              <w:rPr>
                <w:sz w:val="22"/>
                <w:lang w:val="de-CH"/>
              </w:rPr>
              <w:t>Vorschulbereich und Kindergarten</w:t>
            </w:r>
          </w:p>
        </w:tc>
        <w:tc>
          <w:tcPr>
            <w:tcW w:w="2530" w:type="dxa"/>
          </w:tcPr>
          <w:p w14:paraId="2D3D98A9" w14:textId="4A60A146" w:rsidR="00F34F3E" w:rsidRPr="005F34FE" w:rsidRDefault="005F34FE" w:rsidP="001F5F67">
            <w:pPr>
              <w:pStyle w:val="Tabelle"/>
              <w:jc w:val="center"/>
              <w:rPr>
                <w:color w:val="auto"/>
                <w:sz w:val="22"/>
                <w:highlight w:val="yellow"/>
                <w:lang w:val="de-CH"/>
              </w:rPr>
            </w:pPr>
            <w:r w:rsidRPr="005F34FE">
              <w:rPr>
                <w:color w:val="auto"/>
                <w:sz w:val="22"/>
                <w:highlight w:val="yellow"/>
                <w:lang w:val="de-CH"/>
              </w:rPr>
              <w:t>187.00</w:t>
            </w:r>
          </w:p>
        </w:tc>
        <w:tc>
          <w:tcPr>
            <w:tcW w:w="2101" w:type="dxa"/>
          </w:tcPr>
          <w:p w14:paraId="2F1652F4" w14:textId="3BF6C18E" w:rsidR="00F34F3E" w:rsidRPr="005F34FE" w:rsidRDefault="005F34FE" w:rsidP="001F5F67">
            <w:pPr>
              <w:pStyle w:val="Tabelle"/>
              <w:jc w:val="center"/>
              <w:rPr>
                <w:rFonts w:eastAsia="Arial Unicode MS"/>
                <w:color w:val="auto"/>
                <w:sz w:val="22"/>
                <w:highlight w:val="yellow"/>
                <w:lang w:val="de-CH"/>
              </w:rPr>
            </w:pPr>
            <w:r w:rsidRPr="005F34FE">
              <w:rPr>
                <w:color w:val="auto"/>
                <w:sz w:val="22"/>
                <w:highlight w:val="yellow"/>
                <w:lang w:val="de-CH"/>
              </w:rPr>
              <w:t>2'244.00</w:t>
            </w:r>
          </w:p>
        </w:tc>
      </w:tr>
      <w:tr w:rsidR="00F34F3E" w:rsidRPr="005762D8" w14:paraId="70BFF861" w14:textId="77777777" w:rsidTr="00F34F3E">
        <w:tc>
          <w:tcPr>
            <w:tcW w:w="4580" w:type="dxa"/>
          </w:tcPr>
          <w:p w14:paraId="6FCE67A9" w14:textId="7D33DA78" w:rsidR="00F34F3E" w:rsidRPr="004C2C1A" w:rsidRDefault="00382B6D" w:rsidP="003937D4">
            <w:pPr>
              <w:pStyle w:val="Tabelle"/>
              <w:rPr>
                <w:sz w:val="22"/>
                <w:lang w:val="de-CH"/>
              </w:rPr>
            </w:pPr>
            <w:r w:rsidRPr="004C2C1A">
              <w:rPr>
                <w:sz w:val="22"/>
                <w:lang w:val="de-CH"/>
              </w:rPr>
              <w:t>1. bis 3. Klasse Primarschule</w:t>
            </w:r>
          </w:p>
        </w:tc>
        <w:tc>
          <w:tcPr>
            <w:tcW w:w="2530" w:type="dxa"/>
          </w:tcPr>
          <w:p w14:paraId="5C6BA44C" w14:textId="480E660F" w:rsidR="00F34F3E" w:rsidRPr="005F34FE" w:rsidRDefault="005F34FE" w:rsidP="001F5F67">
            <w:pPr>
              <w:pStyle w:val="Tabelle"/>
              <w:jc w:val="center"/>
              <w:rPr>
                <w:color w:val="auto"/>
                <w:sz w:val="22"/>
                <w:highlight w:val="yellow"/>
                <w:lang w:val="de-CH"/>
              </w:rPr>
            </w:pPr>
            <w:r w:rsidRPr="005F34FE">
              <w:rPr>
                <w:color w:val="auto"/>
                <w:sz w:val="22"/>
                <w:highlight w:val="yellow"/>
                <w:lang w:val="de-CH"/>
              </w:rPr>
              <w:t>253.00</w:t>
            </w:r>
          </w:p>
        </w:tc>
        <w:tc>
          <w:tcPr>
            <w:tcW w:w="2101" w:type="dxa"/>
          </w:tcPr>
          <w:p w14:paraId="288AD2A6" w14:textId="35ED5679" w:rsidR="00F34F3E" w:rsidRPr="005F34FE" w:rsidRDefault="005F34FE" w:rsidP="001F5F67">
            <w:pPr>
              <w:pStyle w:val="Tabelle"/>
              <w:jc w:val="center"/>
              <w:rPr>
                <w:rFonts w:eastAsia="Arial Unicode MS"/>
                <w:sz w:val="22"/>
                <w:highlight w:val="yellow"/>
                <w:lang w:val="de-CH"/>
              </w:rPr>
            </w:pPr>
            <w:r w:rsidRPr="005F34FE">
              <w:rPr>
                <w:sz w:val="22"/>
                <w:highlight w:val="yellow"/>
                <w:lang w:val="de-CH"/>
              </w:rPr>
              <w:t>3'036.00</w:t>
            </w:r>
          </w:p>
        </w:tc>
      </w:tr>
      <w:tr w:rsidR="00F34F3E" w:rsidRPr="005762D8" w14:paraId="5B84E8DD" w14:textId="77777777" w:rsidTr="00F34F3E">
        <w:tc>
          <w:tcPr>
            <w:tcW w:w="4580" w:type="dxa"/>
          </w:tcPr>
          <w:p w14:paraId="0FA8856C" w14:textId="45DE513D" w:rsidR="00F34F3E" w:rsidRPr="004C2C1A" w:rsidRDefault="00382B6D" w:rsidP="003937D4">
            <w:pPr>
              <w:pStyle w:val="Tabelle"/>
              <w:rPr>
                <w:sz w:val="22"/>
                <w:lang w:val="de-CH"/>
              </w:rPr>
            </w:pPr>
            <w:r w:rsidRPr="004C2C1A">
              <w:rPr>
                <w:sz w:val="22"/>
                <w:lang w:val="de-CH"/>
              </w:rPr>
              <w:t>4. bis 6. Klasse Primarschule</w:t>
            </w:r>
          </w:p>
        </w:tc>
        <w:tc>
          <w:tcPr>
            <w:tcW w:w="2530" w:type="dxa"/>
          </w:tcPr>
          <w:p w14:paraId="4F132E2A" w14:textId="78A9AB77" w:rsidR="00F34F3E" w:rsidRPr="005F34FE" w:rsidRDefault="005F34FE" w:rsidP="003937D4">
            <w:pPr>
              <w:pStyle w:val="Tabelle"/>
              <w:jc w:val="center"/>
              <w:rPr>
                <w:color w:val="auto"/>
                <w:sz w:val="22"/>
                <w:highlight w:val="yellow"/>
                <w:lang w:val="de-CH"/>
              </w:rPr>
            </w:pPr>
            <w:r w:rsidRPr="005F34FE">
              <w:rPr>
                <w:color w:val="auto"/>
                <w:sz w:val="22"/>
                <w:highlight w:val="yellow"/>
                <w:lang w:val="de-CH"/>
              </w:rPr>
              <w:t>330.00</w:t>
            </w:r>
          </w:p>
        </w:tc>
        <w:tc>
          <w:tcPr>
            <w:tcW w:w="2101" w:type="dxa"/>
          </w:tcPr>
          <w:p w14:paraId="2DDEE85C" w14:textId="1858FC42" w:rsidR="00F34F3E" w:rsidRPr="005F34FE" w:rsidRDefault="005F34FE" w:rsidP="001F5F67">
            <w:pPr>
              <w:pStyle w:val="Tabelle"/>
              <w:jc w:val="center"/>
              <w:rPr>
                <w:rFonts w:eastAsia="Arial Unicode MS"/>
                <w:sz w:val="22"/>
                <w:highlight w:val="yellow"/>
                <w:lang w:val="de-CH"/>
              </w:rPr>
            </w:pPr>
            <w:r w:rsidRPr="005F34FE">
              <w:rPr>
                <w:sz w:val="22"/>
                <w:highlight w:val="yellow"/>
                <w:lang w:val="de-CH"/>
              </w:rPr>
              <w:t>3'960.00</w:t>
            </w:r>
          </w:p>
        </w:tc>
      </w:tr>
      <w:tr w:rsidR="00F34F3E" w:rsidRPr="005762D8" w14:paraId="50456997" w14:textId="77777777" w:rsidTr="00F34F3E">
        <w:tc>
          <w:tcPr>
            <w:tcW w:w="4580" w:type="dxa"/>
          </w:tcPr>
          <w:p w14:paraId="14E63F27" w14:textId="552178C6" w:rsidR="00F34F3E" w:rsidRPr="004C2C1A" w:rsidRDefault="00382B6D" w:rsidP="003937D4">
            <w:pPr>
              <w:pStyle w:val="Tabelle"/>
              <w:rPr>
                <w:sz w:val="22"/>
                <w:lang w:val="de-CH"/>
              </w:rPr>
            </w:pPr>
            <w:r w:rsidRPr="004C2C1A">
              <w:rPr>
                <w:sz w:val="22"/>
                <w:lang w:val="de-CH"/>
              </w:rPr>
              <w:t>Sekundarstufe I</w:t>
            </w:r>
          </w:p>
        </w:tc>
        <w:tc>
          <w:tcPr>
            <w:tcW w:w="2530" w:type="dxa"/>
          </w:tcPr>
          <w:p w14:paraId="60117EFA" w14:textId="258F46DE" w:rsidR="00F34F3E" w:rsidRPr="005F34FE" w:rsidRDefault="005F34FE" w:rsidP="003937D4">
            <w:pPr>
              <w:pStyle w:val="Tabelle"/>
              <w:jc w:val="center"/>
              <w:rPr>
                <w:color w:val="auto"/>
                <w:sz w:val="22"/>
                <w:highlight w:val="yellow"/>
                <w:lang w:val="de-CH"/>
              </w:rPr>
            </w:pPr>
            <w:r w:rsidRPr="005F34FE">
              <w:rPr>
                <w:color w:val="auto"/>
                <w:sz w:val="22"/>
                <w:highlight w:val="yellow"/>
                <w:lang w:val="de-CH"/>
              </w:rPr>
              <w:t>372.00</w:t>
            </w:r>
          </w:p>
        </w:tc>
        <w:tc>
          <w:tcPr>
            <w:tcW w:w="2101" w:type="dxa"/>
          </w:tcPr>
          <w:p w14:paraId="1A41256C" w14:textId="6CFF14D1" w:rsidR="00F34F3E" w:rsidRPr="005F34FE" w:rsidRDefault="005F34FE" w:rsidP="001F5F67">
            <w:pPr>
              <w:pStyle w:val="Tabelle"/>
              <w:jc w:val="center"/>
              <w:rPr>
                <w:rFonts w:eastAsia="Arial Unicode MS"/>
                <w:sz w:val="22"/>
                <w:highlight w:val="yellow"/>
                <w:lang w:val="de-CH"/>
              </w:rPr>
            </w:pPr>
            <w:r w:rsidRPr="005F34FE">
              <w:rPr>
                <w:sz w:val="22"/>
                <w:highlight w:val="yellow"/>
                <w:lang w:val="de-CH"/>
              </w:rPr>
              <w:t>4'464.00</w:t>
            </w:r>
          </w:p>
        </w:tc>
      </w:tr>
      <w:tr w:rsidR="00F34F3E" w:rsidRPr="005762D8" w14:paraId="7ED18807" w14:textId="77777777" w:rsidTr="00F34F3E">
        <w:tc>
          <w:tcPr>
            <w:tcW w:w="4580" w:type="dxa"/>
          </w:tcPr>
          <w:p w14:paraId="11F09907" w14:textId="1844CB87" w:rsidR="00F34F3E" w:rsidRPr="004C2C1A" w:rsidRDefault="00382B6D" w:rsidP="003937D4">
            <w:pPr>
              <w:pStyle w:val="Tabelle"/>
              <w:rPr>
                <w:sz w:val="22"/>
                <w:lang w:val="de-CH"/>
              </w:rPr>
            </w:pPr>
            <w:r w:rsidRPr="004C2C1A">
              <w:rPr>
                <w:sz w:val="22"/>
                <w:lang w:val="de-CH"/>
              </w:rPr>
              <w:t>Personen im nachschulischen Bereich / Ausbildung</w:t>
            </w:r>
          </w:p>
        </w:tc>
        <w:tc>
          <w:tcPr>
            <w:tcW w:w="2530" w:type="dxa"/>
          </w:tcPr>
          <w:p w14:paraId="562B6CD8" w14:textId="02D9CB9D" w:rsidR="00F34F3E" w:rsidRPr="005F34FE" w:rsidRDefault="005F34FE" w:rsidP="003937D4">
            <w:pPr>
              <w:pStyle w:val="Tabelle"/>
              <w:jc w:val="center"/>
              <w:rPr>
                <w:color w:val="auto"/>
                <w:sz w:val="22"/>
                <w:highlight w:val="yellow"/>
                <w:lang w:val="de-CH"/>
              </w:rPr>
            </w:pPr>
            <w:r w:rsidRPr="005F34FE">
              <w:rPr>
                <w:color w:val="auto"/>
                <w:sz w:val="22"/>
                <w:highlight w:val="yellow"/>
                <w:lang w:val="de-CH"/>
              </w:rPr>
              <w:t>460.00</w:t>
            </w:r>
          </w:p>
        </w:tc>
        <w:tc>
          <w:tcPr>
            <w:tcW w:w="2101" w:type="dxa"/>
          </w:tcPr>
          <w:p w14:paraId="5AFB895C" w14:textId="78CABA61" w:rsidR="00F34F3E" w:rsidRPr="005F34FE" w:rsidRDefault="005F34FE" w:rsidP="003937D4">
            <w:pPr>
              <w:pStyle w:val="Tabelle"/>
              <w:jc w:val="center"/>
              <w:rPr>
                <w:rFonts w:eastAsia="Arial Unicode MS"/>
                <w:sz w:val="22"/>
                <w:highlight w:val="yellow"/>
                <w:lang w:val="de-CH"/>
              </w:rPr>
            </w:pPr>
            <w:r w:rsidRPr="005F34FE">
              <w:rPr>
                <w:sz w:val="22"/>
                <w:highlight w:val="yellow"/>
                <w:lang w:val="de-CH"/>
              </w:rPr>
              <w:t>5'520.00</w:t>
            </w:r>
          </w:p>
        </w:tc>
      </w:tr>
    </w:tbl>
    <w:p w14:paraId="475C6D2D" w14:textId="77777777" w:rsidR="00D4538B" w:rsidRPr="005762D8" w:rsidRDefault="00D4538B" w:rsidP="003937D4">
      <w:pPr>
        <w:pStyle w:val="Tabelle"/>
        <w:rPr>
          <w:rFonts w:ascii="Arial" w:hAnsi="Arial"/>
          <w:color w:val="auto"/>
          <w:highlight w:val="yellow"/>
          <w:lang w:val="de-CH"/>
        </w:rPr>
      </w:pPr>
    </w:p>
    <w:p w14:paraId="735672E1" w14:textId="3DF2D0B4" w:rsidR="00D4538B" w:rsidRPr="004C2C1A" w:rsidRDefault="00D4538B" w:rsidP="000D05FC">
      <w:pPr>
        <w:pStyle w:val="Tabelle"/>
        <w:spacing w:after="120"/>
        <w:rPr>
          <w:rFonts w:ascii="Arial" w:hAnsi="Arial"/>
          <w:color w:val="auto"/>
          <w:sz w:val="22"/>
          <w:szCs w:val="22"/>
          <w:lang w:val="de-CH"/>
        </w:rPr>
      </w:pPr>
      <w:r w:rsidRPr="004C2C1A">
        <w:rPr>
          <w:rFonts w:ascii="Arial" w:hAnsi="Arial"/>
          <w:color w:val="auto"/>
          <w:sz w:val="22"/>
          <w:szCs w:val="22"/>
          <w:lang w:val="de-CH"/>
        </w:rPr>
        <w:t xml:space="preserve">Mit der Nebenkostenpauschale sind folgende Positionen abgedeckt: </w:t>
      </w:r>
    </w:p>
    <w:p w14:paraId="568216DA" w14:textId="25BB4896" w:rsidR="00D4538B" w:rsidRPr="004C2C1A" w:rsidRDefault="00D4538B" w:rsidP="000D05FC">
      <w:pPr>
        <w:pStyle w:val="Tabelle"/>
        <w:numPr>
          <w:ilvl w:val="0"/>
          <w:numId w:val="13"/>
        </w:numPr>
        <w:spacing w:before="0" w:after="0"/>
        <w:rPr>
          <w:rFonts w:ascii="Arial" w:hAnsi="Arial"/>
          <w:color w:val="auto"/>
          <w:sz w:val="22"/>
          <w:szCs w:val="22"/>
          <w:lang w:val="de-CH"/>
        </w:rPr>
      </w:pPr>
      <w:r w:rsidRPr="004C2C1A">
        <w:rPr>
          <w:rFonts w:ascii="Arial" w:hAnsi="Arial"/>
          <w:color w:val="auto"/>
          <w:sz w:val="22"/>
          <w:szCs w:val="22"/>
          <w:lang w:val="de-CH"/>
        </w:rPr>
        <w:t xml:space="preserve">Taschengeld </w:t>
      </w:r>
      <w:r w:rsidRPr="004C2C1A">
        <w:rPr>
          <w:sz w:val="22"/>
          <w:szCs w:val="22"/>
          <w:lang w:val="de-CH" w:eastAsia="de-CH"/>
        </w:rPr>
        <w:t>(auswärts eingenommene Getränke, Vereinsbeiträge, etc.)</w:t>
      </w:r>
      <w:r w:rsidR="008A1CF2" w:rsidRPr="004C2C1A">
        <w:rPr>
          <w:sz w:val="22"/>
          <w:szCs w:val="22"/>
          <w:lang w:val="de-CH" w:eastAsia="de-CH"/>
        </w:rPr>
        <w:t xml:space="preserve"> </w:t>
      </w:r>
    </w:p>
    <w:p w14:paraId="57B37F70" w14:textId="7DF4A555" w:rsidR="00D4538B" w:rsidRPr="007A21F7" w:rsidRDefault="005762D8" w:rsidP="000D05FC">
      <w:pPr>
        <w:pStyle w:val="Tabelle"/>
        <w:numPr>
          <w:ilvl w:val="0"/>
          <w:numId w:val="13"/>
        </w:numPr>
        <w:spacing w:before="0" w:after="0"/>
        <w:rPr>
          <w:rFonts w:ascii="Arial" w:hAnsi="Arial"/>
          <w:color w:val="auto"/>
          <w:sz w:val="22"/>
          <w:szCs w:val="22"/>
          <w:lang w:val="de-CH"/>
        </w:rPr>
      </w:pPr>
      <w:r w:rsidRPr="007A21F7">
        <w:rPr>
          <w:rFonts w:ascii="Arial" w:hAnsi="Arial"/>
          <w:color w:val="auto"/>
          <w:sz w:val="22"/>
          <w:szCs w:val="22"/>
          <w:lang w:val="de-CH"/>
        </w:rPr>
        <w:t xml:space="preserve">Kleider </w:t>
      </w:r>
      <w:r w:rsidR="00D4538B" w:rsidRPr="007A21F7">
        <w:rPr>
          <w:rFonts w:ascii="Arial" w:hAnsi="Arial"/>
          <w:color w:val="auto"/>
          <w:sz w:val="22"/>
          <w:szCs w:val="22"/>
          <w:lang w:val="de-CH"/>
        </w:rPr>
        <w:t>und Schuhe</w:t>
      </w:r>
    </w:p>
    <w:p w14:paraId="3B4CB323" w14:textId="77777777" w:rsidR="004C2C1A" w:rsidRPr="007A21F7" w:rsidRDefault="004C2C1A" w:rsidP="000D05FC">
      <w:pPr>
        <w:pStyle w:val="Tabelle"/>
        <w:numPr>
          <w:ilvl w:val="0"/>
          <w:numId w:val="13"/>
        </w:numPr>
        <w:spacing w:before="0" w:after="0"/>
        <w:rPr>
          <w:rFonts w:ascii="Arial" w:hAnsi="Arial"/>
          <w:color w:val="auto"/>
          <w:sz w:val="22"/>
          <w:szCs w:val="22"/>
          <w:lang w:val="de-CH"/>
        </w:rPr>
      </w:pPr>
      <w:r w:rsidRPr="007A21F7">
        <w:rPr>
          <w:rFonts w:ascii="Arial" w:hAnsi="Arial"/>
          <w:color w:val="auto"/>
          <w:sz w:val="22"/>
          <w:szCs w:val="22"/>
          <w:lang w:val="de-CH"/>
        </w:rPr>
        <w:t xml:space="preserve">Persönliche Ausstattung </w:t>
      </w:r>
    </w:p>
    <w:p w14:paraId="7D07392F" w14:textId="656955D6" w:rsidR="00D4538B" w:rsidRPr="007A21F7" w:rsidRDefault="00FC4A41" w:rsidP="000D05FC">
      <w:pPr>
        <w:pStyle w:val="Tabelle"/>
        <w:numPr>
          <w:ilvl w:val="0"/>
          <w:numId w:val="13"/>
        </w:numPr>
        <w:spacing w:before="0" w:after="0"/>
        <w:rPr>
          <w:rFonts w:ascii="Arial" w:hAnsi="Arial"/>
          <w:color w:val="auto"/>
          <w:sz w:val="22"/>
          <w:szCs w:val="22"/>
          <w:lang w:val="de-CH"/>
        </w:rPr>
      </w:pPr>
      <w:r w:rsidRPr="007A21F7">
        <w:rPr>
          <w:rFonts w:ascii="Arial" w:hAnsi="Arial"/>
          <w:color w:val="auto"/>
          <w:sz w:val="22"/>
          <w:szCs w:val="22"/>
          <w:lang w:val="de-CH"/>
        </w:rPr>
        <w:t xml:space="preserve">Gewöhnliche </w:t>
      </w:r>
      <w:r w:rsidR="00D4538B" w:rsidRPr="007A21F7">
        <w:rPr>
          <w:rFonts w:ascii="Arial" w:hAnsi="Arial"/>
          <w:color w:val="auto"/>
          <w:sz w:val="22"/>
          <w:szCs w:val="22"/>
          <w:lang w:val="de-CH"/>
        </w:rPr>
        <w:t xml:space="preserve">Gesundheitspflege </w:t>
      </w:r>
      <w:r w:rsidRPr="007A21F7">
        <w:rPr>
          <w:rFonts w:ascii="Arial" w:hAnsi="Arial"/>
          <w:color w:val="auto"/>
          <w:sz w:val="22"/>
          <w:szCs w:val="22"/>
          <w:lang w:val="de-CH"/>
        </w:rPr>
        <w:t>(</w:t>
      </w:r>
      <w:r w:rsidR="00D4538B" w:rsidRPr="007A21F7">
        <w:rPr>
          <w:rFonts w:ascii="Arial" w:hAnsi="Arial"/>
          <w:color w:val="auto"/>
          <w:sz w:val="22"/>
          <w:szCs w:val="22"/>
          <w:lang w:val="de-CH"/>
        </w:rPr>
        <w:t xml:space="preserve">ohne </w:t>
      </w:r>
      <w:r w:rsidRPr="007A21F7">
        <w:rPr>
          <w:rFonts w:ascii="Arial" w:hAnsi="Arial"/>
          <w:color w:val="auto"/>
          <w:sz w:val="22"/>
          <w:szCs w:val="22"/>
          <w:lang w:val="de-CH"/>
        </w:rPr>
        <w:t xml:space="preserve">Kosten medizinische Grundversorgung wie KK-Prämien, </w:t>
      </w:r>
      <w:r w:rsidR="00D4538B" w:rsidRPr="007A21F7">
        <w:rPr>
          <w:rFonts w:ascii="Arial" w:hAnsi="Arial"/>
          <w:color w:val="auto"/>
          <w:sz w:val="22"/>
          <w:szCs w:val="22"/>
          <w:lang w:val="de-CH"/>
        </w:rPr>
        <w:t>Franchise</w:t>
      </w:r>
      <w:r w:rsidRPr="007A21F7">
        <w:rPr>
          <w:rFonts w:ascii="Arial" w:hAnsi="Arial"/>
          <w:color w:val="auto"/>
          <w:sz w:val="22"/>
          <w:szCs w:val="22"/>
          <w:lang w:val="de-CH"/>
        </w:rPr>
        <w:t xml:space="preserve"> und Kostenbeteiligungen, Zahnbehandlungen)</w:t>
      </w:r>
      <w:r w:rsidR="00A40DFB" w:rsidRPr="007A21F7">
        <w:rPr>
          <w:rFonts w:ascii="Arial" w:hAnsi="Arial"/>
          <w:color w:val="auto"/>
          <w:sz w:val="22"/>
          <w:szCs w:val="22"/>
          <w:lang w:val="de-CH"/>
        </w:rPr>
        <w:t xml:space="preserve"> </w:t>
      </w:r>
    </w:p>
    <w:p w14:paraId="1929C90C" w14:textId="28D0CDEF" w:rsidR="00D4538B" w:rsidRPr="007A21F7" w:rsidRDefault="00D4538B" w:rsidP="000D05FC">
      <w:pPr>
        <w:pStyle w:val="Tabelle"/>
        <w:numPr>
          <w:ilvl w:val="0"/>
          <w:numId w:val="13"/>
        </w:numPr>
        <w:spacing w:before="0" w:after="0"/>
        <w:rPr>
          <w:rFonts w:ascii="Arial" w:hAnsi="Arial"/>
          <w:color w:val="auto"/>
          <w:sz w:val="22"/>
          <w:szCs w:val="22"/>
          <w:lang w:val="de-CH"/>
        </w:rPr>
      </w:pPr>
      <w:r w:rsidRPr="007A21F7">
        <w:rPr>
          <w:rFonts w:ascii="Arial" w:hAnsi="Arial"/>
          <w:color w:val="auto"/>
          <w:sz w:val="22"/>
          <w:szCs w:val="22"/>
          <w:lang w:val="de-CH"/>
        </w:rPr>
        <w:t>Verkehrsauslagen</w:t>
      </w:r>
      <w:r w:rsidR="004C2C1A" w:rsidRPr="007A21F7">
        <w:rPr>
          <w:rFonts w:ascii="Arial" w:hAnsi="Arial"/>
          <w:color w:val="auto"/>
          <w:sz w:val="22"/>
          <w:szCs w:val="22"/>
          <w:lang w:val="de-CH"/>
        </w:rPr>
        <w:t xml:space="preserve"> </w:t>
      </w:r>
      <w:r w:rsidR="00441955" w:rsidRPr="007A21F7">
        <w:rPr>
          <w:rFonts w:ascii="Arial" w:hAnsi="Arial"/>
          <w:color w:val="auto"/>
          <w:sz w:val="22"/>
          <w:szCs w:val="22"/>
          <w:lang w:val="de-CH"/>
        </w:rPr>
        <w:t>ö</w:t>
      </w:r>
      <w:r w:rsidR="004C2C1A" w:rsidRPr="007A21F7">
        <w:rPr>
          <w:rFonts w:ascii="Arial" w:hAnsi="Arial"/>
          <w:color w:val="auto"/>
          <w:sz w:val="22"/>
          <w:szCs w:val="22"/>
          <w:lang w:val="de-CH"/>
        </w:rPr>
        <w:t>ffentlicher Nahverkehr</w:t>
      </w:r>
      <w:r w:rsidRPr="007A21F7">
        <w:rPr>
          <w:rFonts w:ascii="Arial" w:hAnsi="Arial"/>
          <w:color w:val="auto"/>
          <w:sz w:val="22"/>
          <w:szCs w:val="22"/>
          <w:lang w:val="de-CH"/>
        </w:rPr>
        <w:t xml:space="preserve"> </w:t>
      </w:r>
      <w:r w:rsidR="004C2C1A" w:rsidRPr="007A21F7">
        <w:rPr>
          <w:rFonts w:ascii="Arial" w:hAnsi="Arial"/>
          <w:color w:val="auto"/>
          <w:sz w:val="22"/>
          <w:szCs w:val="22"/>
          <w:lang w:val="de-CH"/>
        </w:rPr>
        <w:t>(</w:t>
      </w:r>
      <w:r w:rsidRPr="007A21F7">
        <w:rPr>
          <w:rFonts w:ascii="Arial" w:hAnsi="Arial"/>
          <w:color w:val="auto"/>
          <w:sz w:val="22"/>
          <w:szCs w:val="22"/>
          <w:lang w:val="de-CH"/>
        </w:rPr>
        <w:t xml:space="preserve">inkl. </w:t>
      </w:r>
      <w:proofErr w:type="spellStart"/>
      <w:r w:rsidRPr="007A21F7">
        <w:rPr>
          <w:rFonts w:ascii="Arial" w:hAnsi="Arial"/>
          <w:color w:val="auto"/>
          <w:sz w:val="22"/>
          <w:szCs w:val="22"/>
          <w:lang w:val="de-CH"/>
        </w:rPr>
        <w:t>Halbtaxabo</w:t>
      </w:r>
      <w:proofErr w:type="spellEnd"/>
      <w:r w:rsidR="004C2C1A" w:rsidRPr="007A21F7">
        <w:rPr>
          <w:rFonts w:ascii="Arial" w:hAnsi="Arial"/>
          <w:color w:val="auto"/>
          <w:sz w:val="22"/>
          <w:szCs w:val="22"/>
          <w:lang w:val="de-CH"/>
        </w:rPr>
        <w:t>) und Velo</w:t>
      </w:r>
    </w:p>
    <w:p w14:paraId="73128655" w14:textId="5288B2C2" w:rsidR="00D4538B" w:rsidRPr="007A21F7" w:rsidRDefault="00D4538B" w:rsidP="000D05FC">
      <w:pPr>
        <w:pStyle w:val="Tabelle"/>
        <w:numPr>
          <w:ilvl w:val="0"/>
          <w:numId w:val="13"/>
        </w:numPr>
        <w:spacing w:before="0" w:after="0"/>
        <w:rPr>
          <w:rFonts w:ascii="Arial" w:hAnsi="Arial"/>
          <w:color w:val="auto"/>
          <w:sz w:val="22"/>
          <w:szCs w:val="22"/>
          <w:lang w:val="de-CH"/>
        </w:rPr>
      </w:pPr>
      <w:r w:rsidRPr="007A21F7">
        <w:rPr>
          <w:rFonts w:ascii="Arial" w:hAnsi="Arial"/>
          <w:color w:val="auto"/>
          <w:sz w:val="22"/>
          <w:szCs w:val="22"/>
          <w:lang w:val="de-CH"/>
        </w:rPr>
        <w:t>Nachrichtenübermittlung</w:t>
      </w:r>
      <w:r w:rsidR="004C2C1A" w:rsidRPr="007A21F7">
        <w:rPr>
          <w:rFonts w:ascii="Arial" w:hAnsi="Arial"/>
          <w:color w:val="auto"/>
          <w:sz w:val="22"/>
          <w:szCs w:val="22"/>
          <w:lang w:val="de-CH"/>
        </w:rPr>
        <w:t xml:space="preserve">, z.B. </w:t>
      </w:r>
      <w:r w:rsidR="005F34FE">
        <w:rPr>
          <w:rFonts w:ascii="Arial" w:hAnsi="Arial"/>
          <w:color w:val="auto"/>
          <w:sz w:val="22"/>
          <w:szCs w:val="22"/>
          <w:lang w:val="de-CH"/>
        </w:rPr>
        <w:t>Kosten Telefonabonnement</w:t>
      </w:r>
    </w:p>
    <w:p w14:paraId="28B854D4" w14:textId="63A705CE" w:rsidR="00D4538B" w:rsidRPr="007A21F7" w:rsidRDefault="004C2C1A" w:rsidP="000D05FC">
      <w:pPr>
        <w:numPr>
          <w:ilvl w:val="0"/>
          <w:numId w:val="13"/>
        </w:numPr>
        <w:autoSpaceDE w:val="0"/>
        <w:autoSpaceDN w:val="0"/>
        <w:adjustRightInd w:val="0"/>
        <w:rPr>
          <w:szCs w:val="22"/>
          <w:lang w:eastAsia="de-CH"/>
        </w:rPr>
      </w:pPr>
      <w:r w:rsidRPr="007A21F7">
        <w:rPr>
          <w:szCs w:val="22"/>
        </w:rPr>
        <w:t xml:space="preserve">Freizeitgestaltung (inkl. </w:t>
      </w:r>
      <w:r w:rsidR="00D4538B" w:rsidRPr="007A21F7">
        <w:rPr>
          <w:szCs w:val="22"/>
        </w:rPr>
        <w:t>Unterhaltung und Bildung</w:t>
      </w:r>
      <w:r w:rsidRPr="007A21F7">
        <w:rPr>
          <w:szCs w:val="22"/>
        </w:rPr>
        <w:t>)</w:t>
      </w:r>
      <w:r w:rsidR="00A40DFB" w:rsidRPr="007A21F7">
        <w:rPr>
          <w:szCs w:val="22"/>
          <w:lang w:eastAsia="de-CH"/>
        </w:rPr>
        <w:t xml:space="preserve"> </w:t>
      </w:r>
    </w:p>
    <w:p w14:paraId="53A947D6" w14:textId="775A78CD" w:rsidR="00D4538B" w:rsidRPr="007A21F7" w:rsidRDefault="00D4538B" w:rsidP="000D05FC">
      <w:pPr>
        <w:pStyle w:val="Tabelle"/>
        <w:numPr>
          <w:ilvl w:val="0"/>
          <w:numId w:val="13"/>
        </w:numPr>
        <w:spacing w:before="0" w:after="0"/>
        <w:rPr>
          <w:rFonts w:ascii="Arial" w:hAnsi="Arial"/>
          <w:color w:val="auto"/>
          <w:sz w:val="22"/>
          <w:szCs w:val="22"/>
          <w:lang w:val="de-CH"/>
        </w:rPr>
      </w:pPr>
      <w:r w:rsidRPr="007A21F7">
        <w:rPr>
          <w:rFonts w:ascii="Arial" w:hAnsi="Arial"/>
          <w:color w:val="auto"/>
          <w:sz w:val="22"/>
          <w:szCs w:val="22"/>
          <w:lang w:val="de-CH"/>
        </w:rPr>
        <w:t>Körperpflege</w:t>
      </w:r>
      <w:r w:rsidR="00A40DFB" w:rsidRPr="007A21F7">
        <w:rPr>
          <w:rFonts w:ascii="Arial" w:hAnsi="Arial"/>
          <w:color w:val="auto"/>
          <w:sz w:val="22"/>
          <w:szCs w:val="22"/>
          <w:lang w:val="de-CH"/>
        </w:rPr>
        <w:t xml:space="preserve"> </w:t>
      </w:r>
      <w:r w:rsidR="004C2C1A" w:rsidRPr="007A21F7">
        <w:rPr>
          <w:rFonts w:ascii="Arial" w:hAnsi="Arial"/>
          <w:color w:val="auto"/>
          <w:sz w:val="22"/>
          <w:szCs w:val="22"/>
          <w:lang w:val="de-CH"/>
        </w:rPr>
        <w:t>(inkl. z.B. Coiffeur, Windeln)</w:t>
      </w:r>
      <w:r w:rsidR="002D1466" w:rsidRPr="007A21F7" w:rsidDel="002D1466">
        <w:rPr>
          <w:rFonts w:ascii="Arial" w:hAnsi="Arial"/>
          <w:color w:val="auto"/>
          <w:sz w:val="22"/>
          <w:szCs w:val="22"/>
          <w:lang w:val="de-CH"/>
        </w:rPr>
        <w:t xml:space="preserve"> </w:t>
      </w:r>
    </w:p>
    <w:p w14:paraId="4CCB9E85" w14:textId="77777777" w:rsidR="00FC56B2" w:rsidRPr="007A21F7" w:rsidRDefault="00FC56B2" w:rsidP="00FC56B2">
      <w:pPr>
        <w:pStyle w:val="Tabelle"/>
        <w:numPr>
          <w:ilvl w:val="0"/>
          <w:numId w:val="0"/>
        </w:numPr>
        <w:spacing w:before="0" w:after="0"/>
        <w:ind w:left="567"/>
        <w:rPr>
          <w:rFonts w:ascii="Arial" w:hAnsi="Arial"/>
          <w:color w:val="auto"/>
          <w:sz w:val="22"/>
          <w:szCs w:val="22"/>
          <w:lang w:val="de-CH"/>
        </w:rPr>
      </w:pPr>
    </w:p>
    <w:p w14:paraId="3CB42B4F" w14:textId="77777777" w:rsidR="00C53424" w:rsidRPr="007A21F7" w:rsidRDefault="00C53424" w:rsidP="001B254E">
      <w:pPr>
        <w:pStyle w:val="Tabelle"/>
        <w:numPr>
          <w:ilvl w:val="0"/>
          <w:numId w:val="0"/>
        </w:numPr>
        <w:rPr>
          <w:rFonts w:ascii="Arial" w:hAnsi="Arial"/>
          <w:b/>
          <w:color w:val="auto"/>
          <w:sz w:val="22"/>
          <w:szCs w:val="22"/>
          <w:lang w:val="de-CH"/>
        </w:rPr>
      </w:pPr>
      <w:r w:rsidRPr="007A21F7">
        <w:rPr>
          <w:rFonts w:ascii="Arial" w:hAnsi="Arial"/>
          <w:b/>
          <w:color w:val="auto"/>
          <w:sz w:val="22"/>
          <w:szCs w:val="22"/>
          <w:lang w:val="de-CH"/>
        </w:rPr>
        <w:t>Verpflegungsbeitrag:</w:t>
      </w:r>
    </w:p>
    <w:p w14:paraId="027E61C0" w14:textId="42973D2F" w:rsidR="00C53424" w:rsidRPr="007A21F7" w:rsidRDefault="00C53424" w:rsidP="001B254E">
      <w:pPr>
        <w:pStyle w:val="Tabelle"/>
        <w:numPr>
          <w:ilvl w:val="0"/>
          <w:numId w:val="0"/>
        </w:numPr>
        <w:rPr>
          <w:rFonts w:ascii="Arial" w:hAnsi="Arial"/>
          <w:color w:val="auto"/>
          <w:sz w:val="22"/>
          <w:szCs w:val="22"/>
          <w:lang w:val="de-CH"/>
        </w:rPr>
      </w:pPr>
    </w:p>
    <w:p w14:paraId="3F131123" w14:textId="797D5943" w:rsidR="00C53424" w:rsidRPr="007A21F7" w:rsidRDefault="00C53424" w:rsidP="001B254E">
      <w:pPr>
        <w:pStyle w:val="Tabelle"/>
        <w:numPr>
          <w:ilvl w:val="0"/>
          <w:numId w:val="0"/>
        </w:numPr>
        <w:rPr>
          <w:rFonts w:ascii="Arial" w:hAnsi="Arial"/>
          <w:color w:val="auto"/>
          <w:sz w:val="22"/>
          <w:szCs w:val="22"/>
          <w:lang w:val="de-CH"/>
        </w:rPr>
      </w:pPr>
      <w:r w:rsidRPr="007A21F7">
        <w:rPr>
          <w:rFonts w:ascii="Arial" w:hAnsi="Arial"/>
          <w:color w:val="auto"/>
          <w:sz w:val="22"/>
          <w:szCs w:val="22"/>
          <w:lang w:val="de-CH"/>
        </w:rPr>
        <w:t xml:space="preserve">Bei Aufenthalten in Heim- oder Familienpflege </w:t>
      </w:r>
      <w:r w:rsidR="00441955" w:rsidRPr="007A21F7">
        <w:rPr>
          <w:rFonts w:ascii="Arial" w:hAnsi="Arial"/>
          <w:color w:val="auto"/>
          <w:sz w:val="22"/>
          <w:szCs w:val="22"/>
          <w:lang w:val="de-CH"/>
        </w:rPr>
        <w:t xml:space="preserve">nach </w:t>
      </w:r>
      <w:r w:rsidR="005A52A7" w:rsidRPr="007A21F7">
        <w:rPr>
          <w:rFonts w:ascii="Arial" w:hAnsi="Arial"/>
          <w:color w:val="auto"/>
          <w:sz w:val="22"/>
          <w:szCs w:val="22"/>
          <w:lang w:val="de-CH"/>
        </w:rPr>
        <w:t>Kinder- und Jugendheimgesetz (</w:t>
      </w:r>
      <w:r w:rsidR="00441955" w:rsidRPr="007A21F7">
        <w:rPr>
          <w:rFonts w:ascii="Arial" w:hAnsi="Arial"/>
          <w:color w:val="auto"/>
          <w:sz w:val="22"/>
          <w:szCs w:val="22"/>
          <w:lang w:val="de-CH"/>
        </w:rPr>
        <w:t>KJG</w:t>
      </w:r>
      <w:r w:rsidR="005A52A7" w:rsidRPr="007A21F7">
        <w:rPr>
          <w:rFonts w:ascii="Arial" w:hAnsi="Arial"/>
          <w:color w:val="auto"/>
          <w:sz w:val="22"/>
          <w:szCs w:val="22"/>
          <w:lang w:val="de-CH"/>
        </w:rPr>
        <w:t>)</w:t>
      </w:r>
      <w:r w:rsidR="00441955" w:rsidRPr="007A21F7">
        <w:rPr>
          <w:rFonts w:ascii="Arial" w:hAnsi="Arial"/>
          <w:color w:val="auto"/>
          <w:sz w:val="22"/>
          <w:szCs w:val="22"/>
          <w:lang w:val="de-CH"/>
        </w:rPr>
        <w:t xml:space="preserve"> </w:t>
      </w:r>
      <w:r w:rsidRPr="007A21F7">
        <w:rPr>
          <w:rFonts w:ascii="Arial" w:hAnsi="Arial"/>
          <w:color w:val="auto"/>
          <w:sz w:val="22"/>
          <w:szCs w:val="22"/>
          <w:lang w:val="de-CH"/>
        </w:rPr>
        <w:t xml:space="preserve">sind die unterhaltspflichtigen Eltern gestützt auf § 19 KJG und § 47 Abs. 1 KJV </w:t>
      </w:r>
      <w:r w:rsidR="00992B18" w:rsidRPr="007A21F7">
        <w:rPr>
          <w:rFonts w:ascii="Arial" w:hAnsi="Arial"/>
          <w:color w:val="auto"/>
          <w:sz w:val="22"/>
          <w:szCs w:val="22"/>
          <w:lang w:val="de-CH"/>
        </w:rPr>
        <w:t>verpflichtet, einen Verpflegungsbeitrag von Fr. 25.00 pro Aufenthaltstag zu leisten. Kommen die Eltern für diesen Betrag nicht auf, kann er bei Bedürftigkeit des Kindes/Jugendlichen durch die wirts</w:t>
      </w:r>
      <w:r w:rsidR="00920F22" w:rsidRPr="007A21F7">
        <w:rPr>
          <w:rFonts w:ascii="Arial" w:hAnsi="Arial"/>
          <w:color w:val="auto"/>
          <w:sz w:val="22"/>
          <w:szCs w:val="22"/>
          <w:lang w:val="de-CH"/>
        </w:rPr>
        <w:t>chaftliche Hilfe nach SHG (vor-)</w:t>
      </w:r>
      <w:r w:rsidR="00992B18" w:rsidRPr="007A21F7">
        <w:rPr>
          <w:rFonts w:ascii="Arial" w:hAnsi="Arial"/>
          <w:color w:val="auto"/>
          <w:sz w:val="22"/>
          <w:szCs w:val="22"/>
          <w:lang w:val="de-CH"/>
        </w:rPr>
        <w:t>finanziert werden.</w:t>
      </w:r>
      <w:r w:rsidR="00D64559" w:rsidRPr="007A21F7">
        <w:rPr>
          <w:rFonts w:ascii="Arial" w:hAnsi="Arial"/>
          <w:color w:val="auto"/>
          <w:sz w:val="22"/>
          <w:szCs w:val="22"/>
          <w:lang w:val="de-CH"/>
        </w:rPr>
        <w:t xml:space="preserve"> </w:t>
      </w:r>
    </w:p>
    <w:p w14:paraId="20D3299F" w14:textId="7FA92B5E" w:rsidR="00BC7C0D" w:rsidRPr="007A21F7" w:rsidRDefault="00BC7C0D" w:rsidP="001B254E">
      <w:pPr>
        <w:pStyle w:val="Tabelle"/>
        <w:numPr>
          <w:ilvl w:val="0"/>
          <w:numId w:val="0"/>
        </w:numPr>
        <w:rPr>
          <w:rFonts w:ascii="Arial" w:hAnsi="Arial"/>
          <w:color w:val="auto"/>
          <w:sz w:val="22"/>
          <w:szCs w:val="22"/>
          <w:lang w:val="de-CH"/>
        </w:rPr>
      </w:pPr>
    </w:p>
    <w:p w14:paraId="17F1C3F7" w14:textId="03476BBC" w:rsidR="00BC7C0D" w:rsidRPr="007A21F7" w:rsidRDefault="00BC7C0D" w:rsidP="001B254E">
      <w:pPr>
        <w:pStyle w:val="Tabelle"/>
        <w:numPr>
          <w:ilvl w:val="0"/>
          <w:numId w:val="0"/>
        </w:numPr>
        <w:rPr>
          <w:rFonts w:ascii="Arial" w:hAnsi="Arial"/>
          <w:b/>
          <w:color w:val="auto"/>
          <w:sz w:val="22"/>
          <w:szCs w:val="22"/>
          <w:lang w:val="de-CH"/>
        </w:rPr>
      </w:pPr>
      <w:r w:rsidRPr="007A21F7">
        <w:rPr>
          <w:rFonts w:ascii="Arial" w:hAnsi="Arial"/>
          <w:b/>
          <w:color w:val="auto"/>
          <w:sz w:val="22"/>
          <w:szCs w:val="22"/>
          <w:lang w:val="de-CH"/>
        </w:rPr>
        <w:t>Geltungsbereich:</w:t>
      </w:r>
    </w:p>
    <w:p w14:paraId="65FCC61D" w14:textId="77777777" w:rsidR="00BC7C0D" w:rsidRPr="007A21F7" w:rsidRDefault="00BC7C0D" w:rsidP="001B254E">
      <w:pPr>
        <w:pStyle w:val="Tabelle"/>
        <w:numPr>
          <w:ilvl w:val="0"/>
          <w:numId w:val="0"/>
        </w:numPr>
        <w:rPr>
          <w:rFonts w:ascii="Arial" w:hAnsi="Arial"/>
          <w:color w:val="auto"/>
          <w:sz w:val="22"/>
          <w:szCs w:val="22"/>
          <w:lang w:val="de-CH"/>
        </w:rPr>
      </w:pPr>
    </w:p>
    <w:p w14:paraId="467F5140" w14:textId="2D389F71" w:rsidR="00897AE6" w:rsidRPr="007A21F7" w:rsidRDefault="00992B18" w:rsidP="001B254E">
      <w:pPr>
        <w:pStyle w:val="Tabelle"/>
        <w:numPr>
          <w:ilvl w:val="0"/>
          <w:numId w:val="0"/>
        </w:numPr>
        <w:rPr>
          <w:rFonts w:ascii="Arial" w:hAnsi="Arial"/>
          <w:color w:val="auto"/>
          <w:sz w:val="22"/>
          <w:szCs w:val="22"/>
          <w:lang w:val="de-CH"/>
        </w:rPr>
      </w:pPr>
      <w:r w:rsidRPr="007A21F7">
        <w:rPr>
          <w:rFonts w:ascii="Arial" w:hAnsi="Arial"/>
          <w:color w:val="auto"/>
          <w:sz w:val="22"/>
          <w:szCs w:val="22"/>
          <w:lang w:val="de-CH"/>
        </w:rPr>
        <w:t>Diese Nebenkosten- und Verpflegungsbeiträge gelten</w:t>
      </w:r>
      <w:r w:rsidR="00897AE6" w:rsidRPr="007A21F7">
        <w:rPr>
          <w:rFonts w:ascii="Arial" w:hAnsi="Arial"/>
          <w:color w:val="auto"/>
          <w:sz w:val="22"/>
          <w:szCs w:val="22"/>
          <w:lang w:val="de-CH"/>
        </w:rPr>
        <w:t xml:space="preserve"> für Kinder, Jugendliche und junge Erwachsene</w:t>
      </w:r>
      <w:r w:rsidR="00441955" w:rsidRPr="007A21F7">
        <w:rPr>
          <w:rFonts w:ascii="Arial" w:hAnsi="Arial"/>
          <w:color w:val="auto"/>
          <w:sz w:val="22"/>
          <w:szCs w:val="22"/>
          <w:lang w:val="de-CH"/>
        </w:rPr>
        <w:t xml:space="preserve"> </w:t>
      </w:r>
      <w:r w:rsidR="00920F22" w:rsidRPr="007A21F7">
        <w:rPr>
          <w:rFonts w:ascii="Arial" w:hAnsi="Arial"/>
          <w:color w:val="auto"/>
          <w:sz w:val="22"/>
          <w:szCs w:val="22"/>
          <w:lang w:val="de-CH"/>
        </w:rPr>
        <w:t xml:space="preserve">(längstens bis zum 25. Altersjahr) </w:t>
      </w:r>
      <w:r w:rsidR="00441955" w:rsidRPr="007A21F7">
        <w:rPr>
          <w:rFonts w:ascii="Arial" w:hAnsi="Arial"/>
          <w:color w:val="auto"/>
          <w:sz w:val="22"/>
          <w:szCs w:val="22"/>
          <w:lang w:val="de-CH"/>
        </w:rPr>
        <w:t xml:space="preserve">mit </w:t>
      </w:r>
      <w:r w:rsidR="009843A6" w:rsidRPr="007A21F7">
        <w:rPr>
          <w:rFonts w:ascii="Arial" w:hAnsi="Arial"/>
          <w:color w:val="auto"/>
          <w:sz w:val="22"/>
          <w:szCs w:val="22"/>
          <w:lang w:val="de-CH"/>
        </w:rPr>
        <w:t xml:space="preserve">zivilrechtlichem </w:t>
      </w:r>
      <w:r w:rsidR="00441955" w:rsidRPr="007A21F7">
        <w:rPr>
          <w:rFonts w:ascii="Arial" w:hAnsi="Arial"/>
          <w:color w:val="auto"/>
          <w:sz w:val="22"/>
          <w:szCs w:val="22"/>
          <w:lang w:val="de-CH"/>
        </w:rPr>
        <w:t>Wohnsitz im Kanton Zürich</w:t>
      </w:r>
      <w:r w:rsidR="00897AE6" w:rsidRPr="007A21F7">
        <w:rPr>
          <w:rFonts w:ascii="Arial" w:hAnsi="Arial"/>
          <w:color w:val="auto"/>
          <w:sz w:val="22"/>
          <w:szCs w:val="22"/>
          <w:lang w:val="de-CH"/>
        </w:rPr>
        <w:t xml:space="preserve"> </w:t>
      </w:r>
      <w:r w:rsidR="009843A6" w:rsidRPr="007A21F7">
        <w:rPr>
          <w:rFonts w:ascii="Arial" w:hAnsi="Arial"/>
          <w:color w:val="auto"/>
          <w:sz w:val="22"/>
          <w:szCs w:val="22"/>
          <w:lang w:val="de-CH"/>
        </w:rPr>
        <w:t xml:space="preserve">und Unterstützungswohnsitz in der Stadt Zürich, </w:t>
      </w:r>
      <w:r w:rsidR="005A52A7" w:rsidRPr="007A21F7">
        <w:rPr>
          <w:rFonts w:ascii="Arial" w:hAnsi="Arial"/>
          <w:color w:val="auto"/>
          <w:sz w:val="22"/>
          <w:szCs w:val="22"/>
          <w:lang w:val="de-CH"/>
        </w:rPr>
        <w:t>welche</w:t>
      </w:r>
      <w:r w:rsidR="009843A6" w:rsidRPr="007A21F7">
        <w:rPr>
          <w:rFonts w:ascii="Arial" w:hAnsi="Arial"/>
          <w:color w:val="auto"/>
          <w:sz w:val="22"/>
          <w:szCs w:val="22"/>
          <w:lang w:val="de-CH"/>
        </w:rPr>
        <w:t xml:space="preserve"> </w:t>
      </w:r>
      <w:r w:rsidR="00897AE6" w:rsidRPr="007A21F7">
        <w:rPr>
          <w:rFonts w:ascii="Arial" w:hAnsi="Arial"/>
          <w:color w:val="auto"/>
          <w:sz w:val="22"/>
          <w:szCs w:val="22"/>
          <w:lang w:val="de-CH"/>
        </w:rPr>
        <w:t xml:space="preserve">in </w:t>
      </w:r>
      <w:r w:rsidR="009843A6" w:rsidRPr="007A21F7">
        <w:rPr>
          <w:rFonts w:ascii="Arial" w:hAnsi="Arial"/>
          <w:color w:val="auto"/>
          <w:sz w:val="22"/>
          <w:szCs w:val="22"/>
          <w:lang w:val="de-CH"/>
        </w:rPr>
        <w:t>Heimpflege (</w:t>
      </w:r>
      <w:r w:rsidR="00E32218" w:rsidRPr="007A21F7">
        <w:rPr>
          <w:rFonts w:ascii="Arial" w:hAnsi="Arial" w:cs="Arial"/>
          <w:color w:val="auto"/>
          <w:sz w:val="22"/>
          <w:szCs w:val="22"/>
          <w:lang w:val="de-CH"/>
        </w:rPr>
        <w:t>K</w:t>
      </w:r>
      <w:r w:rsidR="00BA2B29" w:rsidRPr="007A21F7">
        <w:rPr>
          <w:rFonts w:ascii="Arial" w:hAnsi="Arial" w:cs="Arial"/>
          <w:color w:val="auto"/>
          <w:sz w:val="22"/>
          <w:szCs w:val="22"/>
          <w:lang w:val="de-CH"/>
        </w:rPr>
        <w:t>inder-, Jugend- und Schulheime</w:t>
      </w:r>
      <w:r w:rsidR="009843A6" w:rsidRPr="007A21F7">
        <w:rPr>
          <w:rFonts w:ascii="Arial" w:hAnsi="Arial" w:cs="Arial"/>
          <w:color w:val="auto"/>
          <w:sz w:val="22"/>
          <w:szCs w:val="22"/>
          <w:lang w:val="de-CH"/>
        </w:rPr>
        <w:t>)</w:t>
      </w:r>
      <w:r w:rsidR="009843A6" w:rsidRPr="007A21F7">
        <w:rPr>
          <w:rFonts w:ascii="Arial" w:hAnsi="Arial"/>
          <w:color w:val="auto"/>
          <w:sz w:val="22"/>
          <w:szCs w:val="22"/>
          <w:lang w:val="de-CH"/>
        </w:rPr>
        <w:t xml:space="preserve"> oder Familienpflege</w:t>
      </w:r>
      <w:r w:rsidR="005A52A7" w:rsidRPr="007A21F7">
        <w:rPr>
          <w:rFonts w:ascii="Arial" w:hAnsi="Arial"/>
          <w:color w:val="auto"/>
          <w:sz w:val="22"/>
          <w:szCs w:val="22"/>
          <w:lang w:val="de-CH"/>
        </w:rPr>
        <w:t xml:space="preserve"> </w:t>
      </w:r>
      <w:r w:rsidR="00920F22" w:rsidRPr="007A21F7">
        <w:rPr>
          <w:rFonts w:ascii="Arial" w:hAnsi="Arial"/>
          <w:color w:val="auto"/>
          <w:sz w:val="22"/>
          <w:szCs w:val="22"/>
          <w:lang w:val="de-CH"/>
        </w:rPr>
        <w:t>leben</w:t>
      </w:r>
      <w:r w:rsidR="005A52A7" w:rsidRPr="007A21F7">
        <w:rPr>
          <w:rFonts w:ascii="Arial" w:hAnsi="Arial"/>
          <w:color w:val="auto"/>
          <w:sz w:val="22"/>
          <w:szCs w:val="22"/>
          <w:lang w:val="de-CH"/>
        </w:rPr>
        <w:t>.</w:t>
      </w:r>
      <w:r w:rsidR="00897AE6" w:rsidRPr="007A21F7">
        <w:rPr>
          <w:rFonts w:ascii="Arial" w:hAnsi="Arial"/>
          <w:color w:val="auto"/>
          <w:sz w:val="22"/>
          <w:szCs w:val="22"/>
          <w:lang w:val="de-CH"/>
        </w:rPr>
        <w:t xml:space="preserve"> Junge Erwachsene in anderen stationären Einrichtungen erhalten den GBL gemäss Ziffer 3.</w:t>
      </w:r>
      <w:r w:rsidR="00711DD7" w:rsidRPr="007A21F7">
        <w:rPr>
          <w:rFonts w:ascii="Arial" w:hAnsi="Arial"/>
          <w:color w:val="auto"/>
          <w:sz w:val="22"/>
          <w:szCs w:val="22"/>
          <w:lang w:val="de-CH"/>
        </w:rPr>
        <w:t xml:space="preserve"> Das</w:t>
      </w:r>
      <w:r w:rsidR="00D91FF1" w:rsidRPr="007A21F7">
        <w:rPr>
          <w:rFonts w:ascii="Arial" w:hAnsi="Arial"/>
          <w:color w:val="auto"/>
          <w:sz w:val="22"/>
          <w:szCs w:val="22"/>
          <w:lang w:val="de-CH"/>
        </w:rPr>
        <w:t xml:space="preserve"> gilt auch</w:t>
      </w:r>
      <w:r w:rsidR="00711DD7" w:rsidRPr="007A21F7">
        <w:rPr>
          <w:rFonts w:ascii="Arial" w:hAnsi="Arial"/>
          <w:color w:val="auto"/>
          <w:sz w:val="22"/>
          <w:szCs w:val="22"/>
          <w:lang w:val="de-CH"/>
        </w:rPr>
        <w:t xml:space="preserve"> bei Fällen, bei denen </w:t>
      </w:r>
      <w:r w:rsidR="00D91FF1" w:rsidRPr="007A21F7">
        <w:rPr>
          <w:rFonts w:ascii="Arial" w:hAnsi="Arial"/>
          <w:color w:val="auto"/>
          <w:sz w:val="22"/>
          <w:szCs w:val="22"/>
          <w:lang w:val="de-CH"/>
        </w:rPr>
        <w:t xml:space="preserve">die </w:t>
      </w:r>
      <w:r w:rsidR="00711DD7" w:rsidRPr="007A21F7">
        <w:rPr>
          <w:rFonts w:ascii="Arial" w:hAnsi="Arial"/>
          <w:color w:val="auto"/>
          <w:sz w:val="22"/>
          <w:szCs w:val="22"/>
          <w:lang w:val="de-CH"/>
        </w:rPr>
        <w:t>Finanzierung ausnahmsweise nicht über das KJG erfolgt.</w:t>
      </w:r>
    </w:p>
    <w:p w14:paraId="21E4D228" w14:textId="592634CB" w:rsidR="00081ED4" w:rsidRPr="007A21F7" w:rsidRDefault="00081ED4">
      <w:pPr>
        <w:rPr>
          <w:rFonts w:cs="Times New Roman"/>
          <w:szCs w:val="22"/>
        </w:rPr>
      </w:pPr>
    </w:p>
    <w:p w14:paraId="29C42EAF" w14:textId="3F7AEA3B" w:rsidR="00BC7C0D" w:rsidRPr="007A21F7" w:rsidRDefault="00BC7C0D">
      <w:pPr>
        <w:rPr>
          <w:rFonts w:cs="Times New Roman"/>
          <w:szCs w:val="22"/>
        </w:rPr>
      </w:pPr>
      <w:r w:rsidRPr="007A21F7">
        <w:rPr>
          <w:rFonts w:cs="Times New Roman"/>
          <w:szCs w:val="22"/>
        </w:rPr>
        <w:t xml:space="preserve">Befindet sich der zivilrechtliche Wohnsitz ausserhalb des Kantons Zürich, </w:t>
      </w:r>
      <w:r w:rsidR="00A84031" w:rsidRPr="007A21F7">
        <w:rPr>
          <w:rFonts w:cs="Times New Roman"/>
          <w:szCs w:val="22"/>
        </w:rPr>
        <w:t xml:space="preserve">gelten </w:t>
      </w:r>
      <w:r w:rsidR="00EC59B2" w:rsidRPr="007A21F7">
        <w:rPr>
          <w:rFonts w:cs="Times New Roman"/>
          <w:szCs w:val="22"/>
        </w:rPr>
        <w:t xml:space="preserve">bezüglich der Höhe </w:t>
      </w:r>
      <w:r w:rsidR="00FD3425" w:rsidRPr="007A21F7">
        <w:rPr>
          <w:rFonts w:cs="Times New Roman"/>
          <w:szCs w:val="22"/>
        </w:rPr>
        <w:t xml:space="preserve">von </w:t>
      </w:r>
      <w:r w:rsidR="005A52A7" w:rsidRPr="007A21F7">
        <w:rPr>
          <w:rFonts w:cs="Times New Roman"/>
          <w:szCs w:val="22"/>
        </w:rPr>
        <w:t xml:space="preserve">allfälligen </w:t>
      </w:r>
      <w:r w:rsidR="00FD3425" w:rsidRPr="007A21F7">
        <w:rPr>
          <w:rFonts w:cs="Times New Roman"/>
          <w:szCs w:val="22"/>
        </w:rPr>
        <w:t xml:space="preserve">Verpflegungs- und Nebenkosten </w:t>
      </w:r>
      <w:r w:rsidR="00A84031" w:rsidRPr="007A21F7">
        <w:rPr>
          <w:rFonts w:cs="Times New Roman"/>
          <w:szCs w:val="22"/>
        </w:rPr>
        <w:t>die R</w:t>
      </w:r>
      <w:r w:rsidRPr="007A21F7">
        <w:rPr>
          <w:rFonts w:cs="Times New Roman"/>
          <w:szCs w:val="22"/>
        </w:rPr>
        <w:t xml:space="preserve">egelungen des </w:t>
      </w:r>
      <w:r w:rsidR="00A84031" w:rsidRPr="007A21F7">
        <w:rPr>
          <w:rFonts w:cs="Times New Roman"/>
          <w:szCs w:val="22"/>
        </w:rPr>
        <w:t>jeweiligen</w:t>
      </w:r>
      <w:r w:rsidRPr="007A21F7">
        <w:rPr>
          <w:rFonts w:cs="Times New Roman"/>
          <w:szCs w:val="22"/>
        </w:rPr>
        <w:t xml:space="preserve"> Wo</w:t>
      </w:r>
      <w:r w:rsidR="00A84031" w:rsidRPr="007A21F7">
        <w:rPr>
          <w:rFonts w:cs="Times New Roman"/>
          <w:szCs w:val="22"/>
        </w:rPr>
        <w:t>hnsitzkantons.</w:t>
      </w:r>
      <w:r w:rsidRPr="007A21F7">
        <w:rPr>
          <w:rFonts w:cs="Times New Roman"/>
          <w:szCs w:val="22"/>
        </w:rPr>
        <w:t xml:space="preserve"> </w:t>
      </w:r>
    </w:p>
    <w:p w14:paraId="3DA432D5" w14:textId="4F35ABCD" w:rsidR="00107BE6" w:rsidRPr="00D02B05" w:rsidRDefault="00107BE6" w:rsidP="002453CD">
      <w:pPr>
        <w:pStyle w:val="berschrift1"/>
      </w:pPr>
      <w:bookmarkStart w:id="11" w:name="_Toc122350046"/>
      <w:r w:rsidRPr="00D02B05">
        <w:t>Verpflegungsbeitrag</w:t>
      </w:r>
      <w:r w:rsidR="00787703" w:rsidRPr="00D02B05">
        <w:t xml:space="preserve"> bei Sonderschulmassnahmen</w:t>
      </w:r>
      <w:bookmarkEnd w:id="11"/>
    </w:p>
    <w:p w14:paraId="107C195D" w14:textId="77777777" w:rsidR="00C344C4" w:rsidRPr="007A21F7" w:rsidRDefault="002700C8" w:rsidP="00D02B05">
      <w:pPr>
        <w:pStyle w:val="Tabelle"/>
        <w:rPr>
          <w:b/>
          <w:sz w:val="22"/>
          <w:szCs w:val="22"/>
        </w:rPr>
      </w:pPr>
      <w:r w:rsidRPr="007A21F7">
        <w:rPr>
          <w:b/>
          <w:sz w:val="22"/>
          <w:szCs w:val="22"/>
        </w:rPr>
        <w:t>Externe Sonderschulung</w:t>
      </w:r>
      <w:r w:rsidR="00C344C4" w:rsidRPr="007A21F7">
        <w:rPr>
          <w:b/>
          <w:sz w:val="22"/>
          <w:szCs w:val="22"/>
        </w:rPr>
        <w:t>:</w:t>
      </w:r>
    </w:p>
    <w:p w14:paraId="242533FB" w14:textId="4B531A6D" w:rsidR="002700C8" w:rsidRPr="007A21F7" w:rsidRDefault="002700C8" w:rsidP="00D02B05">
      <w:pPr>
        <w:pStyle w:val="Tabelle"/>
        <w:rPr>
          <w:b/>
          <w:sz w:val="22"/>
          <w:szCs w:val="22"/>
        </w:rPr>
      </w:pPr>
    </w:p>
    <w:p w14:paraId="230BF15D" w14:textId="7049861E" w:rsidR="00D02B05" w:rsidRPr="00FC42CA" w:rsidRDefault="00D02B05" w:rsidP="00D02B05">
      <w:pPr>
        <w:pStyle w:val="Tabelle"/>
        <w:rPr>
          <w:sz w:val="22"/>
          <w:szCs w:val="22"/>
        </w:rPr>
      </w:pPr>
      <w:r w:rsidRPr="007A21F7">
        <w:rPr>
          <w:sz w:val="22"/>
          <w:szCs w:val="22"/>
        </w:rPr>
        <w:t xml:space="preserve">Bei Besuch einer externen Sonderschule erheben die Anbietenden der Familien- oder Heimpflege </w:t>
      </w:r>
      <w:r w:rsidR="002700C8" w:rsidRPr="007A21F7">
        <w:rPr>
          <w:sz w:val="22"/>
          <w:szCs w:val="22"/>
        </w:rPr>
        <w:t xml:space="preserve">nach KJG einen Verpflegungsbeitrag von </w:t>
      </w:r>
      <w:r w:rsidRPr="007A21F7">
        <w:rPr>
          <w:sz w:val="22"/>
          <w:szCs w:val="22"/>
        </w:rPr>
        <w:t xml:space="preserve">Fr. 15 pro Aufenthaltstag (für Frühstück und Abendessen); die Anbietenden der Sonderschulung </w:t>
      </w:r>
      <w:r w:rsidR="002700C8" w:rsidRPr="007A21F7">
        <w:rPr>
          <w:sz w:val="22"/>
          <w:szCs w:val="22"/>
        </w:rPr>
        <w:t>können</w:t>
      </w:r>
      <w:r w:rsidRPr="007A21F7">
        <w:rPr>
          <w:sz w:val="22"/>
          <w:szCs w:val="22"/>
        </w:rPr>
        <w:t xml:space="preserve"> zusätzlich einen Verpflegungsbeitrag </w:t>
      </w:r>
      <w:proofErr w:type="spellStart"/>
      <w:r w:rsidRPr="007A21F7">
        <w:rPr>
          <w:sz w:val="22"/>
          <w:szCs w:val="22"/>
        </w:rPr>
        <w:t>gemäss</w:t>
      </w:r>
      <w:proofErr w:type="spellEnd"/>
      <w:r w:rsidRPr="007A21F7">
        <w:rPr>
          <w:sz w:val="22"/>
          <w:szCs w:val="22"/>
        </w:rPr>
        <w:t xml:space="preserve"> Volksschulgesetz </w:t>
      </w:r>
      <w:r w:rsidR="002700C8" w:rsidRPr="007A21F7">
        <w:rPr>
          <w:sz w:val="22"/>
          <w:szCs w:val="22"/>
        </w:rPr>
        <w:t xml:space="preserve">erheben </w:t>
      </w:r>
      <w:r w:rsidRPr="007A21F7">
        <w:rPr>
          <w:sz w:val="22"/>
          <w:szCs w:val="22"/>
        </w:rPr>
        <w:t>(VSG).</w:t>
      </w:r>
    </w:p>
    <w:p w14:paraId="58662752" w14:textId="1B16208F" w:rsidR="000D2992" w:rsidRPr="00FC42CA" w:rsidRDefault="000D2992" w:rsidP="00D02B05">
      <w:pPr>
        <w:pStyle w:val="Tabelle"/>
        <w:rPr>
          <w:sz w:val="22"/>
          <w:szCs w:val="22"/>
        </w:rPr>
      </w:pPr>
    </w:p>
    <w:p w14:paraId="5F3EE2A1" w14:textId="7BE1D74F" w:rsidR="00107BE6" w:rsidRPr="00FC42CA" w:rsidRDefault="00107BE6" w:rsidP="00D02B05">
      <w:pPr>
        <w:pStyle w:val="Tabelle"/>
        <w:rPr>
          <w:sz w:val="22"/>
          <w:szCs w:val="22"/>
        </w:rPr>
      </w:pPr>
      <w:r w:rsidRPr="00FC42CA">
        <w:rPr>
          <w:sz w:val="22"/>
          <w:szCs w:val="22"/>
        </w:rPr>
        <w:t xml:space="preserve">Der Verpflegungsbeitrag an die </w:t>
      </w:r>
      <w:r w:rsidR="002700C8">
        <w:rPr>
          <w:sz w:val="22"/>
          <w:szCs w:val="22"/>
        </w:rPr>
        <w:t xml:space="preserve">externe </w:t>
      </w:r>
      <w:r w:rsidRPr="00FC42CA">
        <w:rPr>
          <w:sz w:val="22"/>
          <w:szCs w:val="22"/>
        </w:rPr>
        <w:t xml:space="preserve">Sonderschulung wird </w:t>
      </w:r>
      <w:r w:rsidR="00BC7C0D">
        <w:rPr>
          <w:sz w:val="22"/>
          <w:szCs w:val="22"/>
        </w:rPr>
        <w:t>durch die</w:t>
      </w:r>
      <w:r w:rsidRPr="00FC42CA">
        <w:rPr>
          <w:sz w:val="22"/>
          <w:szCs w:val="22"/>
        </w:rPr>
        <w:t xml:space="preserve"> Kreisschul</w:t>
      </w:r>
      <w:r w:rsidR="00057DD8">
        <w:rPr>
          <w:sz w:val="22"/>
          <w:szCs w:val="22"/>
        </w:rPr>
        <w:t>behörde</w:t>
      </w:r>
      <w:r w:rsidRPr="00FC42CA">
        <w:rPr>
          <w:sz w:val="22"/>
          <w:szCs w:val="22"/>
        </w:rPr>
        <w:t xml:space="preserve"> festgelegt und den Eltern durch das Schulamt der Stadt Zürich in Rechnung gestellt. Für Tagessonderschulungen beträgt er höchstens Fr. 10.00 pro Verpflegungstag, </w:t>
      </w:r>
    </w:p>
    <w:p w14:paraId="0A891EBF" w14:textId="77777777" w:rsidR="00107BE6" w:rsidRPr="00FC42CA" w:rsidRDefault="00107BE6" w:rsidP="00107BE6">
      <w:pPr>
        <w:pStyle w:val="Tabelle"/>
        <w:rPr>
          <w:sz w:val="22"/>
          <w:szCs w:val="22"/>
        </w:rPr>
      </w:pPr>
    </w:p>
    <w:p w14:paraId="1E67CD6D" w14:textId="4384DCDC" w:rsidR="00107BE6" w:rsidRPr="00FC42CA" w:rsidRDefault="00107BE6" w:rsidP="00107BE6">
      <w:pPr>
        <w:pStyle w:val="Tabelle"/>
        <w:rPr>
          <w:sz w:val="22"/>
          <w:szCs w:val="22"/>
        </w:rPr>
      </w:pPr>
      <w:r w:rsidRPr="00FC42CA">
        <w:rPr>
          <w:sz w:val="22"/>
          <w:szCs w:val="22"/>
        </w:rPr>
        <w:t>Sind die Eltern auf wirtschaftliche Hilfe angewiesen und stellen sie einen Antrag auf Reduktion des Verpflegungsbeitrags</w:t>
      </w:r>
      <w:r w:rsidR="00057DD8">
        <w:rPr>
          <w:sz w:val="22"/>
          <w:szCs w:val="22"/>
        </w:rPr>
        <w:t xml:space="preserve"> für die externe Sonderschulung</w:t>
      </w:r>
      <w:r w:rsidRPr="00FC42CA">
        <w:rPr>
          <w:sz w:val="22"/>
          <w:szCs w:val="22"/>
        </w:rPr>
        <w:t xml:space="preserve">, wird dieser auf den Minimalbeitrag </w:t>
      </w:r>
      <w:proofErr w:type="spellStart"/>
      <w:r w:rsidRPr="00FC42CA">
        <w:rPr>
          <w:sz w:val="22"/>
          <w:szCs w:val="22"/>
        </w:rPr>
        <w:t>gemäss</w:t>
      </w:r>
      <w:proofErr w:type="spellEnd"/>
      <w:r w:rsidRPr="00FC42CA">
        <w:rPr>
          <w:sz w:val="22"/>
          <w:szCs w:val="22"/>
        </w:rPr>
        <w:t xml:space="preserve"> Buchstabe A Ziff.  1 von Anhang 3 der </w:t>
      </w:r>
      <w:hyperlink r:id="rId16" w:history="1">
        <w:r w:rsidRPr="00FC42CA">
          <w:rPr>
            <w:rStyle w:val="Hyperlink"/>
            <w:sz w:val="22"/>
            <w:szCs w:val="22"/>
          </w:rPr>
          <w:t>Verordnung über die familienergänzende Kinderbetreuung in der Stadt Zürich</w:t>
        </w:r>
      </w:hyperlink>
      <w:r w:rsidRPr="00FC42CA">
        <w:rPr>
          <w:sz w:val="22"/>
          <w:szCs w:val="22"/>
        </w:rPr>
        <w:t xml:space="preserve"> festgelegt: Bei Tagessonderschulungen richtet er sich na</w:t>
      </w:r>
      <w:r w:rsidR="009843A6">
        <w:rPr>
          <w:sz w:val="22"/>
          <w:szCs w:val="22"/>
        </w:rPr>
        <w:t>ch dem Minimaltarif Normkosten "Mittag"</w:t>
      </w:r>
      <w:r w:rsidRPr="00FC42CA">
        <w:rPr>
          <w:sz w:val="22"/>
          <w:szCs w:val="22"/>
        </w:rPr>
        <w:t>“.</w:t>
      </w:r>
      <w:r w:rsidR="00BC7C0D">
        <w:rPr>
          <w:sz w:val="22"/>
          <w:szCs w:val="22"/>
        </w:rPr>
        <w:t xml:space="preserve"> </w:t>
      </w:r>
      <w:r w:rsidRPr="00FC42CA">
        <w:rPr>
          <w:sz w:val="22"/>
          <w:szCs w:val="22"/>
        </w:rPr>
        <w:t xml:space="preserve">Der Minimalbeitrag wird zusätzlich zum jeweils </w:t>
      </w:r>
      <w:proofErr w:type="spellStart"/>
      <w:r w:rsidRPr="00FC42CA">
        <w:rPr>
          <w:sz w:val="22"/>
          <w:szCs w:val="22"/>
        </w:rPr>
        <w:t>massgeblichen</w:t>
      </w:r>
      <w:proofErr w:type="spellEnd"/>
      <w:r w:rsidRPr="00FC42CA">
        <w:rPr>
          <w:sz w:val="22"/>
          <w:szCs w:val="22"/>
        </w:rPr>
        <w:t xml:space="preserve"> GBL ausgerichtet.</w:t>
      </w:r>
    </w:p>
    <w:p w14:paraId="54B38936" w14:textId="5D0367AD" w:rsidR="00FC42CA" w:rsidRDefault="00FC42CA" w:rsidP="00FC42CA">
      <w:pPr>
        <w:pStyle w:val="Tabelle"/>
        <w:rPr>
          <w:sz w:val="22"/>
          <w:szCs w:val="22"/>
        </w:rPr>
      </w:pPr>
    </w:p>
    <w:p w14:paraId="66AD3728" w14:textId="7FC9A294" w:rsidR="002700C8" w:rsidRPr="007A21F7" w:rsidRDefault="002700C8" w:rsidP="00FC42CA">
      <w:pPr>
        <w:pStyle w:val="Tabelle"/>
        <w:rPr>
          <w:b/>
          <w:sz w:val="22"/>
          <w:szCs w:val="22"/>
        </w:rPr>
      </w:pPr>
      <w:r w:rsidRPr="007A21F7">
        <w:rPr>
          <w:b/>
          <w:sz w:val="22"/>
          <w:szCs w:val="22"/>
        </w:rPr>
        <w:t>Interne Sonderschulung</w:t>
      </w:r>
      <w:r w:rsidR="00C344C4" w:rsidRPr="007A21F7">
        <w:rPr>
          <w:b/>
          <w:sz w:val="22"/>
          <w:szCs w:val="22"/>
        </w:rPr>
        <w:t>:</w:t>
      </w:r>
    </w:p>
    <w:p w14:paraId="756F1454" w14:textId="77777777" w:rsidR="00C344C4" w:rsidRPr="007A21F7" w:rsidRDefault="00C344C4" w:rsidP="00FC42CA">
      <w:pPr>
        <w:pStyle w:val="Tabelle"/>
        <w:rPr>
          <w:b/>
          <w:sz w:val="22"/>
          <w:szCs w:val="22"/>
        </w:rPr>
      </w:pPr>
    </w:p>
    <w:p w14:paraId="0454F85B" w14:textId="2F5CF589" w:rsidR="00FC42CA" w:rsidRPr="00FC42CA" w:rsidRDefault="00FC42CA" w:rsidP="00FC42CA">
      <w:pPr>
        <w:pStyle w:val="Tabelle"/>
        <w:rPr>
          <w:sz w:val="22"/>
          <w:szCs w:val="22"/>
        </w:rPr>
      </w:pPr>
      <w:r w:rsidRPr="007A21F7">
        <w:rPr>
          <w:sz w:val="22"/>
          <w:szCs w:val="22"/>
        </w:rPr>
        <w:t>Bei</w:t>
      </w:r>
      <w:r w:rsidR="00711DD7" w:rsidRPr="007A21F7">
        <w:rPr>
          <w:sz w:val="22"/>
          <w:szCs w:val="22"/>
        </w:rPr>
        <w:t xml:space="preserve"> der</w:t>
      </w:r>
      <w:r w:rsidRPr="007A21F7">
        <w:rPr>
          <w:sz w:val="22"/>
          <w:szCs w:val="22"/>
        </w:rPr>
        <w:t xml:space="preserve"> Heimpflege </w:t>
      </w:r>
      <w:r w:rsidR="00711DD7" w:rsidRPr="007A21F7">
        <w:rPr>
          <w:sz w:val="22"/>
          <w:szCs w:val="22"/>
        </w:rPr>
        <w:t>mit</w:t>
      </w:r>
      <w:r w:rsidRPr="007A21F7">
        <w:rPr>
          <w:sz w:val="22"/>
          <w:szCs w:val="22"/>
        </w:rPr>
        <w:t xml:space="preserve"> interner Sonderschulung erheben die Anbietenden der Heimpflege </w:t>
      </w:r>
      <w:r w:rsidR="00337E5E" w:rsidRPr="007A21F7">
        <w:rPr>
          <w:sz w:val="22"/>
          <w:szCs w:val="22"/>
        </w:rPr>
        <w:t xml:space="preserve">von den Eltern </w:t>
      </w:r>
      <w:r w:rsidRPr="007A21F7">
        <w:rPr>
          <w:sz w:val="22"/>
          <w:szCs w:val="22"/>
        </w:rPr>
        <w:t>Fr. 25.00 pro Aufenthaltstag</w:t>
      </w:r>
      <w:r w:rsidR="00711DD7" w:rsidRPr="007A21F7">
        <w:rPr>
          <w:sz w:val="22"/>
          <w:szCs w:val="22"/>
        </w:rPr>
        <w:t xml:space="preserve"> (vgl. Ziff. 4)</w:t>
      </w:r>
      <w:r w:rsidR="002700C8" w:rsidRPr="007A21F7">
        <w:rPr>
          <w:sz w:val="22"/>
          <w:szCs w:val="22"/>
        </w:rPr>
        <w:t>.</w:t>
      </w:r>
    </w:p>
    <w:p w14:paraId="1D5CE43C" w14:textId="6CE937E8" w:rsidR="00711DD7" w:rsidRDefault="00711DD7">
      <w:pPr>
        <w:rPr>
          <w:rFonts w:cs="Times New Roman"/>
          <w:szCs w:val="22"/>
        </w:rPr>
      </w:pPr>
      <w:r>
        <w:rPr>
          <w:szCs w:val="22"/>
        </w:rPr>
        <w:br w:type="page"/>
      </w:r>
    </w:p>
    <w:p w14:paraId="4A12A2F0" w14:textId="77777777" w:rsidR="00194D54" w:rsidRPr="006930F7" w:rsidRDefault="00194D54" w:rsidP="001B254E">
      <w:pPr>
        <w:pStyle w:val="Tabelle"/>
        <w:numPr>
          <w:ilvl w:val="0"/>
          <w:numId w:val="0"/>
        </w:numPr>
        <w:rPr>
          <w:rFonts w:ascii="Arial" w:hAnsi="Arial"/>
          <w:color w:val="auto"/>
          <w:sz w:val="22"/>
          <w:szCs w:val="22"/>
          <w:lang w:val="de-CH"/>
        </w:rPr>
      </w:pPr>
    </w:p>
    <w:p w14:paraId="6C6CD2F7" w14:textId="63D2FF57" w:rsidR="003937D4" w:rsidRPr="005C4311" w:rsidRDefault="008C473D" w:rsidP="003937D4">
      <w:pPr>
        <w:pStyle w:val="berschrift1"/>
      </w:pPr>
      <w:bookmarkStart w:id="12" w:name="_Toc122350047"/>
      <w:r w:rsidRPr="006930F7">
        <w:t>Obdachlose Personen</w:t>
      </w:r>
      <w:bookmarkEnd w:id="12"/>
    </w:p>
    <w:p w14:paraId="25E63AAE" w14:textId="225923D5" w:rsidR="003937D4" w:rsidRPr="00E7551D" w:rsidRDefault="003937D4">
      <w:pPr>
        <w:pStyle w:val="Absatz0"/>
      </w:pPr>
      <w:r w:rsidRPr="006930F7">
        <w:t xml:space="preserve">Die Auslagen für Wohnkosten (Energieverbrauch, Haushaltführung etc.) entfallen bei </w:t>
      </w:r>
      <w:r w:rsidR="00C95B24" w:rsidRPr="006930F7">
        <w:t>ob</w:t>
      </w:r>
      <w:r w:rsidR="00721816" w:rsidRPr="006930F7">
        <w:softHyphen/>
      </w:r>
      <w:r w:rsidR="00C95B24" w:rsidRPr="006930F7">
        <w:t>dachlosen Personen. W</w:t>
      </w:r>
      <w:r w:rsidRPr="006930F7">
        <w:t xml:space="preserve">egen der fehlenden Koch- und Waschgelegenheit entstehen ihnen jedoch Mehrauslagen. </w:t>
      </w:r>
      <w:r w:rsidR="00691E88" w:rsidRPr="006930F7">
        <w:t>Deshalb</w:t>
      </w:r>
      <w:r w:rsidRPr="006930F7">
        <w:t xml:space="preserve"> wird ein Grundbedarf gemäss Ziffer 2.1 ausgerichtet. Wenn der Grundbedarf bei Obdachlosigkeit tageweise berechnet wird, beträgt er pro Person</w:t>
      </w:r>
      <w:r w:rsidR="0060000B">
        <w:t xml:space="preserve"> </w:t>
      </w:r>
      <w:r w:rsidRPr="006930F7">
        <w:t xml:space="preserve">und </w:t>
      </w:r>
      <w:r w:rsidRPr="00E7551D">
        <w:t xml:space="preserve">Tag Fr. </w:t>
      </w:r>
      <w:r w:rsidR="00E432C4" w:rsidRPr="00B567DF">
        <w:rPr>
          <w:highlight w:val="yellow"/>
        </w:rPr>
        <w:t>34.00</w:t>
      </w:r>
      <w:r w:rsidR="0060000B" w:rsidRPr="00E7551D">
        <w:t xml:space="preserve"> </w:t>
      </w:r>
      <w:r w:rsidR="00C46E62" w:rsidRPr="00E7551D">
        <w:t>(</w:t>
      </w:r>
      <w:r w:rsidR="002663BC" w:rsidRPr="00E7551D">
        <w:t xml:space="preserve">bzw. </w:t>
      </w:r>
      <w:r w:rsidR="0060000B" w:rsidRPr="00E7551D">
        <w:t xml:space="preserve">Fr. </w:t>
      </w:r>
      <w:r w:rsidR="00E432C4" w:rsidRPr="00B567DF">
        <w:rPr>
          <w:highlight w:val="yellow"/>
        </w:rPr>
        <w:t>27.00</w:t>
      </w:r>
      <w:r w:rsidR="00C46E62" w:rsidRPr="00E7551D">
        <w:t>*</w:t>
      </w:r>
      <w:r w:rsidR="0060000B" w:rsidRPr="00E7551D">
        <w:t xml:space="preserve">). </w:t>
      </w:r>
      <w:r w:rsidRPr="00E7551D">
        <w:t>Da sämtliche Auslagen pro Person anfallen und keine Einsparungen durch eine gemeinsame Haushaltführung möglich sind, wird bei Mehrpersonenfällen auf die Anwendung der Äquivalenzskala verzichtet.</w:t>
      </w:r>
    </w:p>
    <w:p w14:paraId="7BCEA39A" w14:textId="0A5AEF7A" w:rsidR="00FC66E1" w:rsidRPr="00E7551D" w:rsidRDefault="00FC66E1">
      <w:pPr>
        <w:pStyle w:val="Absatz0"/>
      </w:pPr>
    </w:p>
    <w:p w14:paraId="5DA1E0C7" w14:textId="4826FEFB" w:rsidR="00586965" w:rsidRDefault="00586965">
      <w:pPr>
        <w:pStyle w:val="Absatz0"/>
        <w:rPr>
          <w:sz w:val="16"/>
          <w:szCs w:val="16"/>
        </w:rPr>
      </w:pPr>
      <w:r w:rsidRPr="00E7551D">
        <w:rPr>
          <w:szCs w:val="22"/>
        </w:rPr>
        <w:t>*</w:t>
      </w:r>
      <w:r w:rsidRPr="00E7551D">
        <w:rPr>
          <w:sz w:val="16"/>
          <w:szCs w:val="16"/>
        </w:rPr>
        <w:t>Junge Erwachsene werden</w:t>
      </w:r>
      <w:r w:rsidR="00224217" w:rsidRPr="00E7551D">
        <w:rPr>
          <w:sz w:val="16"/>
          <w:szCs w:val="16"/>
        </w:rPr>
        <w:t xml:space="preserve"> </w:t>
      </w:r>
      <w:r w:rsidR="002663BC" w:rsidRPr="00E7551D">
        <w:rPr>
          <w:sz w:val="16"/>
          <w:szCs w:val="16"/>
        </w:rPr>
        <w:t xml:space="preserve">grundsätzlich </w:t>
      </w:r>
      <w:r w:rsidRPr="00E7551D">
        <w:rPr>
          <w:sz w:val="16"/>
          <w:szCs w:val="16"/>
        </w:rPr>
        <w:t>mit einem um 20% reduzierten GBL unterstützt, wenn sie nicht an einer auf die arbeitsmarktliche Integration ausgerichteten Ausbildung oder Massnahme teilnehmen, keiner angemessenen Erwerbstätigkeit nachgehen oder keine eigenen Kinder betreuen</w:t>
      </w:r>
      <w:r w:rsidR="00C46E62" w:rsidRPr="00E7551D">
        <w:rPr>
          <w:sz w:val="16"/>
          <w:szCs w:val="16"/>
        </w:rPr>
        <w:t>.</w:t>
      </w:r>
      <w:r w:rsidR="00224217" w:rsidRPr="00E7551D">
        <w:rPr>
          <w:sz w:val="16"/>
          <w:szCs w:val="16"/>
        </w:rPr>
        <w:t xml:space="preserve"> </w:t>
      </w:r>
      <w:r w:rsidR="002663BC" w:rsidRPr="00E7551D">
        <w:rPr>
          <w:sz w:val="16"/>
          <w:szCs w:val="16"/>
        </w:rPr>
        <w:t xml:space="preserve">Ob eine solche Reduktion des GBL auch bei obdachlosen jungen Erwachsenen angezeigt ist, ist anhand der Umstände im Einzelfall durch die Fallführung zu </w:t>
      </w:r>
      <w:r w:rsidR="00992226" w:rsidRPr="00E7551D">
        <w:rPr>
          <w:sz w:val="16"/>
          <w:szCs w:val="16"/>
        </w:rPr>
        <w:t>beurteilen</w:t>
      </w:r>
      <w:r w:rsidR="002663BC" w:rsidRPr="00E7551D">
        <w:rPr>
          <w:sz w:val="16"/>
          <w:szCs w:val="16"/>
        </w:rPr>
        <w:t>.</w:t>
      </w:r>
    </w:p>
    <w:p w14:paraId="1B10ABB7" w14:textId="77777777" w:rsidR="00E7551D" w:rsidRDefault="00E7551D">
      <w:pPr>
        <w:pStyle w:val="Absatz0"/>
      </w:pPr>
    </w:p>
    <w:p w14:paraId="57B0CABB" w14:textId="0E7C0382" w:rsidR="006124AC" w:rsidRPr="00E7551D" w:rsidRDefault="006124AC" w:rsidP="006124AC">
      <w:pPr>
        <w:pStyle w:val="berschrift1"/>
      </w:pPr>
      <w:bookmarkStart w:id="13" w:name="_Toc122350048"/>
      <w:r w:rsidRPr="00E7551D">
        <w:t>Spitalkostenbeiträge</w:t>
      </w:r>
      <w:bookmarkEnd w:id="13"/>
    </w:p>
    <w:p w14:paraId="7901D795" w14:textId="68284290" w:rsidR="00992226" w:rsidRPr="00E7551D" w:rsidRDefault="00FC66E1" w:rsidP="006124AC">
      <w:pPr>
        <w:pStyle w:val="WeisungAufzhlung"/>
        <w:numPr>
          <w:ilvl w:val="0"/>
          <w:numId w:val="0"/>
        </w:numPr>
      </w:pPr>
      <w:r w:rsidRPr="00E7551D">
        <w:t>Wird in einem 1-Personen-Haushalt ein GBL nach Ziff. 2.1 oder 2.2 ausgerichtet, sind die Spitalkostenbeiträge aus dem Grundbedarf zu decken, wobei der Spitalbeitrag erst ab dem 8. Tag mit dem GBL verrechnet wird. Bei längerfristigen stationären Aufenthalten ist - anstelle des GBL gemäss SKOS C 3.1 - der GBL in stationären Einrichtungen auszurichten.</w:t>
      </w:r>
    </w:p>
    <w:p w14:paraId="16C796C1" w14:textId="77777777" w:rsidR="00992226" w:rsidRPr="00E7551D" w:rsidRDefault="00992226" w:rsidP="006124AC">
      <w:pPr>
        <w:pStyle w:val="WeisungAufzhlung"/>
        <w:numPr>
          <w:ilvl w:val="0"/>
          <w:numId w:val="0"/>
        </w:numPr>
      </w:pPr>
    </w:p>
    <w:p w14:paraId="2CD524D3" w14:textId="1BF1307A" w:rsidR="00FC66E1" w:rsidRPr="00E7551D" w:rsidRDefault="00992226" w:rsidP="006124AC">
      <w:pPr>
        <w:pStyle w:val="WeisungAufzhlung"/>
        <w:numPr>
          <w:ilvl w:val="0"/>
          <w:numId w:val="0"/>
        </w:numPr>
      </w:pPr>
      <w:r w:rsidRPr="00E7551D">
        <w:t>Mehrpersonenhaushalte: Ab einer Haushaltsgrösse von zwei Personen sind die Spitalbeiträge zusätzlich zur ordentlichen Unterstützung zu vergüten</w:t>
      </w:r>
      <w:r w:rsidR="00E04595">
        <w:t xml:space="preserve"> </w:t>
      </w:r>
      <w:r w:rsidR="00E04595" w:rsidRPr="00B567DF">
        <w:rPr>
          <w:highlight w:val="yellow"/>
        </w:rPr>
        <w:t>(LA 340)</w:t>
      </w:r>
      <w:r w:rsidRPr="00B567DF">
        <w:rPr>
          <w:highlight w:val="yellow"/>
        </w:rPr>
        <w:t>,</w:t>
      </w:r>
      <w:r w:rsidRPr="00E7551D">
        <w:t xml:space="preserve"> auch wenn der Grundbedarf nach SKOS Kap. C.3.1. ausgerichtet worden ist. </w:t>
      </w:r>
      <w:r w:rsidR="00FC66E1" w:rsidRPr="00E7551D">
        <w:t xml:space="preserve"> </w:t>
      </w:r>
    </w:p>
    <w:p w14:paraId="0E878EED" w14:textId="77777777" w:rsidR="00FC66E1" w:rsidRPr="006930F7" w:rsidRDefault="00FC66E1">
      <w:pPr>
        <w:pStyle w:val="Absatz0"/>
      </w:pPr>
    </w:p>
    <w:sectPr w:rsidR="00FC66E1" w:rsidRPr="006930F7" w:rsidSect="00194D54">
      <w:headerReference w:type="default" r:id="rId17"/>
      <w:footerReference w:type="default" r:id="rId18"/>
      <w:headerReference w:type="first" r:id="rId19"/>
      <w:footerReference w:type="first" r:id="rId20"/>
      <w:type w:val="continuous"/>
      <w:pgSz w:w="11906" w:h="16838" w:code="9"/>
      <w:pgMar w:top="1792" w:right="1134" w:bottom="597" w:left="1701" w:header="567" w:footer="227"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CFD38" w14:textId="77777777" w:rsidR="00BA555F" w:rsidRDefault="00BA555F">
      <w:r>
        <w:separator/>
      </w:r>
    </w:p>
    <w:p w14:paraId="68DB1AE4" w14:textId="77777777" w:rsidR="00BA555F" w:rsidRDefault="00BA555F"/>
    <w:p w14:paraId="38A39CF5" w14:textId="77777777" w:rsidR="00BA555F" w:rsidRDefault="00BA555F"/>
    <w:p w14:paraId="77C92DB4" w14:textId="77777777" w:rsidR="00BA555F" w:rsidRDefault="00BA555F"/>
  </w:endnote>
  <w:endnote w:type="continuationSeparator" w:id="0">
    <w:p w14:paraId="0E593C8F" w14:textId="77777777" w:rsidR="00BA555F" w:rsidRDefault="00BA555F">
      <w:r>
        <w:continuationSeparator/>
      </w:r>
    </w:p>
    <w:p w14:paraId="1074E2F0" w14:textId="77777777" w:rsidR="00BA555F" w:rsidRDefault="00BA555F"/>
    <w:p w14:paraId="6F32D25F" w14:textId="77777777" w:rsidR="00BA555F" w:rsidRDefault="00BA555F"/>
    <w:p w14:paraId="0BBD87C4" w14:textId="77777777" w:rsidR="00BA555F" w:rsidRDefault="00BA55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3168DF" w14:paraId="16696277" w14:textId="77777777">
      <w:trPr>
        <w:trHeight w:val="284"/>
      </w:trPr>
      <w:tc>
        <w:tcPr>
          <w:tcW w:w="5063" w:type="dxa"/>
        </w:tcPr>
        <w:p w14:paraId="69CF5728" w14:textId="289EC680" w:rsidR="003168DF" w:rsidRDefault="002D1466" w:rsidP="00502C29">
          <w:pPr>
            <w:pStyle w:val="Fuzeile"/>
            <w:tabs>
              <w:tab w:val="clear" w:pos="4536"/>
              <w:tab w:val="clear" w:pos="9072"/>
              <w:tab w:val="right" w:pos="8504"/>
            </w:tabs>
            <w:rPr>
              <w:sz w:val="17"/>
            </w:rPr>
          </w:pPr>
          <w:r>
            <w:rPr>
              <w:sz w:val="17"/>
            </w:rPr>
            <w:t xml:space="preserve">HAW Festlegung Beträge GBL für </w:t>
          </w:r>
          <w:r w:rsidR="00FF0A91">
            <w:rPr>
              <w:sz w:val="17"/>
            </w:rPr>
            <w:t>den Lebensun</w:t>
          </w:r>
          <w:r>
            <w:rPr>
              <w:sz w:val="17"/>
            </w:rPr>
            <w:t>terhalt</w:t>
          </w:r>
        </w:p>
      </w:tc>
      <w:tc>
        <w:tcPr>
          <w:tcW w:w="1430" w:type="dxa"/>
        </w:tcPr>
        <w:p w14:paraId="524F8F78" w14:textId="77777777" w:rsidR="003168DF" w:rsidRDefault="003168DF">
          <w:pPr>
            <w:pStyle w:val="Fuzeile"/>
            <w:tabs>
              <w:tab w:val="clear" w:pos="4536"/>
              <w:tab w:val="clear" w:pos="9072"/>
              <w:tab w:val="right" w:pos="8504"/>
            </w:tabs>
            <w:jc w:val="center"/>
            <w:rPr>
              <w:sz w:val="17"/>
            </w:rPr>
          </w:pPr>
        </w:p>
      </w:tc>
      <w:tc>
        <w:tcPr>
          <w:tcW w:w="2640" w:type="dxa"/>
        </w:tcPr>
        <w:p w14:paraId="513FC4B0" w14:textId="77777777" w:rsidR="003168DF" w:rsidRDefault="003168DF">
          <w:pPr>
            <w:pStyle w:val="Fuzeile"/>
            <w:tabs>
              <w:tab w:val="clear" w:pos="4536"/>
              <w:tab w:val="clear" w:pos="9072"/>
              <w:tab w:val="right" w:pos="8504"/>
            </w:tabs>
            <w:jc w:val="center"/>
            <w:rPr>
              <w:sz w:val="17"/>
              <w:lang w:val="de-DE"/>
            </w:rPr>
          </w:pPr>
        </w:p>
      </w:tc>
    </w:tr>
  </w:tbl>
  <w:p w14:paraId="63F3307E" w14:textId="77777777" w:rsidR="003168DF" w:rsidRDefault="003168D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3168DF" w14:paraId="7025AE74" w14:textId="77777777">
      <w:trPr>
        <w:trHeight w:val="284"/>
      </w:trPr>
      <w:tc>
        <w:tcPr>
          <w:tcW w:w="5063" w:type="dxa"/>
        </w:tcPr>
        <w:p w14:paraId="3D52B8E6" w14:textId="2B6CDCD6" w:rsidR="003168DF" w:rsidRDefault="002D1466" w:rsidP="00502C29">
          <w:pPr>
            <w:pStyle w:val="Fuzeile"/>
            <w:tabs>
              <w:tab w:val="clear" w:pos="4536"/>
              <w:tab w:val="clear" w:pos="9072"/>
              <w:tab w:val="right" w:pos="8504"/>
            </w:tabs>
            <w:rPr>
              <w:sz w:val="17"/>
            </w:rPr>
          </w:pPr>
          <w:r>
            <w:rPr>
              <w:sz w:val="17"/>
            </w:rPr>
            <w:t>HAW Festlegung Beträge GBL für den Lebensunterhalt ¨</w:t>
          </w:r>
          <w:r w:rsidR="00F00072">
            <w:rPr>
              <w:sz w:val="17"/>
            </w:rPr>
            <w:t>öffentlich</w:t>
          </w:r>
        </w:p>
      </w:tc>
      <w:tc>
        <w:tcPr>
          <w:tcW w:w="1430" w:type="dxa"/>
        </w:tcPr>
        <w:p w14:paraId="298C2BF1" w14:textId="31AFEE28" w:rsidR="003168DF" w:rsidRDefault="003168DF" w:rsidP="00F00072">
          <w:pPr>
            <w:pStyle w:val="Fuzeile"/>
            <w:tabs>
              <w:tab w:val="clear" w:pos="4536"/>
              <w:tab w:val="clear" w:pos="9072"/>
              <w:tab w:val="right" w:pos="8504"/>
            </w:tabs>
            <w:jc w:val="center"/>
            <w:rPr>
              <w:sz w:val="17"/>
            </w:rPr>
          </w:pPr>
          <w:r>
            <w:rPr>
              <w:sz w:val="17"/>
            </w:rPr>
            <w:t xml:space="preserve">Version: </w:t>
          </w:r>
          <w:r w:rsidR="00852608">
            <w:rPr>
              <w:sz w:val="17"/>
            </w:rPr>
            <w:t>4</w:t>
          </w:r>
          <w:r w:rsidR="00FF023C">
            <w:rPr>
              <w:sz w:val="17"/>
            </w:rPr>
            <w:t>.1</w:t>
          </w:r>
        </w:p>
      </w:tc>
      <w:tc>
        <w:tcPr>
          <w:tcW w:w="2640" w:type="dxa"/>
        </w:tcPr>
        <w:p w14:paraId="017E94F8" w14:textId="77DCDC19" w:rsidR="003168DF" w:rsidRDefault="0023631A" w:rsidP="0023631A">
          <w:pPr>
            <w:pStyle w:val="Fuzeile"/>
            <w:tabs>
              <w:tab w:val="clear" w:pos="4536"/>
              <w:tab w:val="clear" w:pos="9072"/>
              <w:tab w:val="right" w:pos="8504"/>
            </w:tabs>
            <w:jc w:val="right"/>
            <w:rPr>
              <w:sz w:val="17"/>
              <w:lang w:val="de-DE"/>
            </w:rPr>
          </w:pPr>
          <w:proofErr w:type="spellStart"/>
          <w:r>
            <w:rPr>
              <w:sz w:val="17"/>
              <w:lang w:val="de-DE"/>
            </w:rPr>
            <w:t>VerfasserIn</w:t>
          </w:r>
          <w:proofErr w:type="spellEnd"/>
          <w:r>
            <w:rPr>
              <w:sz w:val="17"/>
              <w:lang w:val="de-DE"/>
            </w:rPr>
            <w:t>: FS WH</w:t>
          </w:r>
        </w:p>
      </w:tc>
    </w:tr>
    <w:tr w:rsidR="003168DF" w14:paraId="16742BD4" w14:textId="77777777" w:rsidTr="006B5D15">
      <w:trPr>
        <w:trHeight w:val="284"/>
      </w:trPr>
      <w:tc>
        <w:tcPr>
          <w:tcW w:w="9133" w:type="dxa"/>
          <w:gridSpan w:val="3"/>
        </w:tcPr>
        <w:p w14:paraId="638F95D6" w14:textId="6344D9A5" w:rsidR="003168DF" w:rsidRDefault="003168DF" w:rsidP="00BB7B9F">
          <w:pPr>
            <w:pStyle w:val="Fuzeile"/>
            <w:tabs>
              <w:tab w:val="clear" w:pos="4536"/>
              <w:tab w:val="clear" w:pos="9072"/>
              <w:tab w:val="right" w:pos="8504"/>
            </w:tabs>
            <w:rPr>
              <w:sz w:val="17"/>
              <w:lang w:val="de-DE"/>
            </w:rPr>
          </w:pPr>
          <w:r>
            <w:rPr>
              <w:sz w:val="17"/>
              <w:lang w:val="de-DE"/>
            </w:rPr>
            <w:t>© Copyright</w:t>
          </w:r>
          <w:r w:rsidR="00BB7B9F">
            <w:rPr>
              <w:sz w:val="17"/>
              <w:lang w:val="de-DE"/>
            </w:rPr>
            <w:t>:</w:t>
          </w:r>
          <w:r>
            <w:rPr>
              <w:sz w:val="17"/>
              <w:lang w:val="de-DE"/>
            </w:rPr>
            <w:t xml:space="preserve"> Soziale Dienste. Eine Weiterverwendung ist nur mit dem Zusatz «Soziale Dienste Stadt Zürich» erlaubt.</w:t>
          </w:r>
        </w:p>
      </w:tc>
    </w:tr>
  </w:tbl>
  <w:p w14:paraId="70A29977" w14:textId="77777777" w:rsidR="003168DF" w:rsidRDefault="003168DF" w:rsidP="003937D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973A5" w14:textId="77777777" w:rsidR="00BA555F" w:rsidRDefault="00BA555F">
      <w:r>
        <w:separator/>
      </w:r>
    </w:p>
    <w:p w14:paraId="76867381" w14:textId="77777777" w:rsidR="00BA555F" w:rsidRDefault="00BA555F"/>
    <w:p w14:paraId="1F0A11A7" w14:textId="77777777" w:rsidR="00BA555F" w:rsidRDefault="00BA555F"/>
    <w:p w14:paraId="6053FBD3" w14:textId="77777777" w:rsidR="00BA555F" w:rsidRDefault="00BA555F"/>
  </w:footnote>
  <w:footnote w:type="continuationSeparator" w:id="0">
    <w:p w14:paraId="7AE083BF" w14:textId="77777777" w:rsidR="00BA555F" w:rsidRDefault="00BA555F">
      <w:r>
        <w:continuationSeparator/>
      </w:r>
    </w:p>
    <w:p w14:paraId="122B1F4A" w14:textId="77777777" w:rsidR="00BA555F" w:rsidRDefault="00BA555F"/>
    <w:p w14:paraId="1B5C18C0" w14:textId="77777777" w:rsidR="00BA555F" w:rsidRDefault="00BA555F"/>
    <w:p w14:paraId="372E4070" w14:textId="77777777" w:rsidR="00BA555F" w:rsidRDefault="00BA55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3168DF" w14:paraId="07917470" w14:textId="77777777">
      <w:tc>
        <w:tcPr>
          <w:tcW w:w="7257" w:type="dxa"/>
          <w:gridSpan w:val="2"/>
        </w:tcPr>
        <w:p w14:paraId="2CD6BABC" w14:textId="77777777" w:rsidR="003168DF" w:rsidRDefault="003168DF">
          <w:pPr>
            <w:pStyle w:val="Kopfzeile"/>
            <w:tabs>
              <w:tab w:val="clear" w:pos="4536"/>
              <w:tab w:val="clear" w:pos="9072"/>
            </w:tabs>
            <w:rPr>
              <w:szCs w:val="22"/>
            </w:rPr>
          </w:pPr>
          <w:r>
            <w:rPr>
              <w:noProof/>
              <w:szCs w:val="22"/>
              <w:lang w:eastAsia="de-CH"/>
            </w:rPr>
            <w:drawing>
              <wp:inline distT="0" distB="0" distL="0" distR="0" wp14:anchorId="48BE3B65" wp14:editId="44F95E31">
                <wp:extent cx="1352550" cy="276225"/>
                <wp:effectExtent l="0" t="0" r="0" b="0"/>
                <wp:docPr id="3"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44C69B82" w14:textId="77777777" w:rsidR="003168DF" w:rsidRDefault="003168DF">
          <w:pPr>
            <w:pStyle w:val="Kopfzeile"/>
            <w:tabs>
              <w:tab w:val="clear" w:pos="4536"/>
              <w:tab w:val="clear" w:pos="9072"/>
            </w:tabs>
            <w:rPr>
              <w:szCs w:val="22"/>
            </w:rPr>
          </w:pPr>
        </w:p>
      </w:tc>
      <w:tc>
        <w:tcPr>
          <w:tcW w:w="2495" w:type="dxa"/>
        </w:tcPr>
        <w:p w14:paraId="1248A292" w14:textId="77777777" w:rsidR="003168DF" w:rsidRDefault="003168DF">
          <w:pPr>
            <w:pStyle w:val="Kopfzeile"/>
            <w:tabs>
              <w:tab w:val="clear" w:pos="4536"/>
              <w:tab w:val="clear" w:pos="9072"/>
            </w:tabs>
            <w:rPr>
              <w:sz w:val="17"/>
              <w:szCs w:val="17"/>
            </w:rPr>
          </w:pPr>
        </w:p>
      </w:tc>
    </w:tr>
    <w:tr w:rsidR="003168DF" w14:paraId="65B44432" w14:textId="77777777">
      <w:trPr>
        <w:trHeight w:val="210"/>
      </w:trPr>
      <w:tc>
        <w:tcPr>
          <w:tcW w:w="680" w:type="dxa"/>
        </w:tcPr>
        <w:p w14:paraId="722CA568" w14:textId="77777777" w:rsidR="003168DF" w:rsidRDefault="003168DF">
          <w:pPr>
            <w:pStyle w:val="Kopfzeile"/>
          </w:pPr>
        </w:p>
      </w:tc>
      <w:tc>
        <w:tcPr>
          <w:tcW w:w="9072" w:type="dxa"/>
          <w:gridSpan w:val="2"/>
        </w:tcPr>
        <w:p w14:paraId="35D273E1" w14:textId="02860A14" w:rsidR="003168DF" w:rsidRDefault="003168DF">
          <w:pPr>
            <w:pStyle w:val="Kopfzeile"/>
          </w:pPr>
          <w:r>
            <w:fldChar w:fldCharType="begin"/>
          </w:r>
          <w:r>
            <w:instrText xml:space="preserve"> PAGE   \* MERGEFORMAT </w:instrText>
          </w:r>
          <w:r>
            <w:fldChar w:fldCharType="separate"/>
          </w:r>
          <w:r w:rsidR="00FF023C">
            <w:rPr>
              <w:noProof/>
            </w:rPr>
            <w:t>2</w:t>
          </w:r>
          <w:r>
            <w:fldChar w:fldCharType="end"/>
          </w:r>
          <w:r>
            <w:t>/</w:t>
          </w:r>
          <w:fldSimple w:instr=" NUMPAGES   \* MERGEFORMAT ">
            <w:r w:rsidR="00FF023C">
              <w:rPr>
                <w:noProof/>
              </w:rPr>
              <w:t>6</w:t>
            </w:r>
          </w:fldSimple>
        </w:p>
      </w:tc>
    </w:tr>
  </w:tbl>
  <w:p w14:paraId="4FA91A9D" w14:textId="77777777" w:rsidR="003168DF" w:rsidRDefault="003168DF">
    <w:pPr>
      <w:pStyle w:val="Kopfzeile"/>
      <w:tabs>
        <w:tab w:val="clear" w:pos="4536"/>
        <w:tab w:val="clear" w:pos="9072"/>
      </w:tabs>
      <w:rPr>
        <w:sz w:val="2"/>
      </w:rPr>
    </w:pPr>
  </w:p>
  <w:p w14:paraId="256EDAD2" w14:textId="77777777" w:rsidR="003168DF" w:rsidRDefault="003168DF"/>
  <w:p w14:paraId="0C826BBD" w14:textId="77777777" w:rsidR="00BB5BB9" w:rsidRDefault="00BB5BB9"/>
  <w:p w14:paraId="551C0A46" w14:textId="77777777" w:rsidR="00612DD8" w:rsidRDefault="00612D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3168DF" w14:paraId="7985435C" w14:textId="77777777">
      <w:tc>
        <w:tcPr>
          <w:tcW w:w="7257" w:type="dxa"/>
        </w:tcPr>
        <w:p w14:paraId="010189E0" w14:textId="77777777" w:rsidR="003168DF" w:rsidRDefault="003168DF">
          <w:pPr>
            <w:pStyle w:val="Kopfzeile"/>
            <w:tabs>
              <w:tab w:val="clear" w:pos="4536"/>
              <w:tab w:val="clear" w:pos="9072"/>
            </w:tabs>
            <w:rPr>
              <w:szCs w:val="22"/>
            </w:rPr>
          </w:pPr>
          <w:r>
            <w:rPr>
              <w:noProof/>
              <w:szCs w:val="22"/>
              <w:lang w:eastAsia="de-CH"/>
            </w:rPr>
            <w:drawing>
              <wp:inline distT="0" distB="0" distL="0" distR="0" wp14:anchorId="2D9F6919" wp14:editId="578FC21E">
                <wp:extent cx="1352550" cy="276225"/>
                <wp:effectExtent l="0" t="0" r="0" b="0"/>
                <wp:docPr id="4"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3312F672" w14:textId="77777777" w:rsidR="003168DF" w:rsidRDefault="003168DF">
          <w:pPr>
            <w:pStyle w:val="Kopfzeile"/>
            <w:tabs>
              <w:tab w:val="clear" w:pos="4536"/>
              <w:tab w:val="clear" w:pos="9072"/>
            </w:tabs>
            <w:rPr>
              <w:sz w:val="17"/>
              <w:szCs w:val="17"/>
            </w:rPr>
          </w:pPr>
        </w:p>
      </w:tc>
    </w:tr>
    <w:tr w:rsidR="003168DF" w14:paraId="7E961941" w14:textId="77777777">
      <w:tc>
        <w:tcPr>
          <w:tcW w:w="7257" w:type="dxa"/>
        </w:tcPr>
        <w:p w14:paraId="087624DD" w14:textId="77777777" w:rsidR="003168DF" w:rsidRDefault="003168DF">
          <w:pPr>
            <w:pStyle w:val="Kopfzeile"/>
            <w:tabs>
              <w:tab w:val="clear" w:pos="4536"/>
              <w:tab w:val="clear" w:pos="9072"/>
            </w:tabs>
            <w:rPr>
              <w:szCs w:val="22"/>
            </w:rPr>
          </w:pPr>
        </w:p>
      </w:tc>
      <w:tc>
        <w:tcPr>
          <w:tcW w:w="2495" w:type="dxa"/>
        </w:tcPr>
        <w:p w14:paraId="3770D487" w14:textId="77777777" w:rsidR="003168DF" w:rsidRDefault="003168DF">
          <w:pPr>
            <w:pStyle w:val="Kopfzeile"/>
            <w:tabs>
              <w:tab w:val="clear" w:pos="4536"/>
              <w:tab w:val="clear" w:pos="9072"/>
            </w:tabs>
            <w:rPr>
              <w:noProof/>
              <w:sz w:val="17"/>
              <w:szCs w:val="17"/>
              <w:lang w:val="de-DE"/>
            </w:rPr>
          </w:pPr>
        </w:p>
      </w:tc>
    </w:tr>
  </w:tbl>
  <w:p w14:paraId="5F53C720" w14:textId="10FB76F3" w:rsidR="003168DF" w:rsidRDefault="003168DF">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D5AA93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8C1A2AB0"/>
    <w:lvl w:ilvl="0">
      <w:start w:val="1"/>
      <w:numFmt w:val="bullet"/>
      <w:pStyle w:val="Aufzhlung"/>
      <w:lvlText w:val=""/>
      <w:lvlJc w:val="left"/>
      <w:pPr>
        <w:tabs>
          <w:tab w:val="num" w:pos="360"/>
        </w:tabs>
        <w:ind w:left="360" w:hanging="360"/>
      </w:pPr>
      <w:rPr>
        <w:rFonts w:ascii="Wingdings" w:hAnsi="Wingdings" w:hint="default"/>
      </w:rPr>
    </w:lvl>
  </w:abstractNum>
  <w:abstractNum w:abstractNumId="2"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097ED9"/>
    <w:multiLevelType w:val="hybridMultilevel"/>
    <w:tmpl w:val="21F05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98607DD"/>
    <w:multiLevelType w:val="hybridMultilevel"/>
    <w:tmpl w:val="BA3403C2"/>
    <w:lvl w:ilvl="0" w:tplc="E3E2DFDE">
      <w:start w:val="1"/>
      <w:numFmt w:val="bullet"/>
      <w:pStyle w:val="WeisungAufzhlung"/>
      <w:lvlText w:val=""/>
      <w:lvlJc w:val="left"/>
      <w:pPr>
        <w:tabs>
          <w:tab w:val="num" w:pos="36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F453D1"/>
    <w:multiLevelType w:val="hybridMultilevel"/>
    <w:tmpl w:val="7A9E720C"/>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9B6407"/>
    <w:multiLevelType w:val="hybridMultilevel"/>
    <w:tmpl w:val="36FA6654"/>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79575642"/>
    <w:multiLevelType w:val="hybridMultilevel"/>
    <w:tmpl w:val="16BC68C2"/>
    <w:lvl w:ilvl="0" w:tplc="83C46CC8">
      <w:start w:val="1"/>
      <w:numFmt w:val="bullet"/>
      <w:lvlText w:val=""/>
      <w:lvlJc w:val="left"/>
      <w:pPr>
        <w:tabs>
          <w:tab w:val="num" w:pos="567"/>
        </w:tabs>
        <w:ind w:left="567" w:hanging="56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16cid:durableId="2143378411">
    <w:abstractNumId w:val="2"/>
  </w:num>
  <w:num w:numId="2" w16cid:durableId="1000547978">
    <w:abstractNumId w:val="5"/>
  </w:num>
  <w:num w:numId="3" w16cid:durableId="1958441141">
    <w:abstractNumId w:val="3"/>
  </w:num>
  <w:num w:numId="4" w16cid:durableId="1652247292">
    <w:abstractNumId w:val="6"/>
  </w:num>
  <w:num w:numId="5" w16cid:durableId="1990747570">
    <w:abstractNumId w:val="11"/>
  </w:num>
  <w:num w:numId="6" w16cid:durableId="274211989">
    <w:abstractNumId w:val="4"/>
  </w:num>
  <w:num w:numId="7" w16cid:durableId="1276449475">
    <w:abstractNumId w:val="2"/>
  </w:num>
  <w:num w:numId="8" w16cid:durableId="1888834782">
    <w:abstractNumId w:val="1"/>
  </w:num>
  <w:num w:numId="9" w16cid:durableId="465397860">
    <w:abstractNumId w:val="0"/>
  </w:num>
  <w:num w:numId="10" w16cid:durableId="723522417">
    <w:abstractNumId w:val="8"/>
  </w:num>
  <w:num w:numId="11" w16cid:durableId="2139449186">
    <w:abstractNumId w:val="9"/>
  </w:num>
  <w:num w:numId="12" w16cid:durableId="1518542607">
    <w:abstractNumId w:val="10"/>
  </w:num>
  <w:num w:numId="13" w16cid:durableId="238903550">
    <w:abstractNumId w:val="12"/>
  </w:num>
  <w:num w:numId="14" w16cid:durableId="1174221565">
    <w:abstractNumId w:val="7"/>
  </w:num>
  <w:num w:numId="15" w16cid:durableId="176504452">
    <w:abstractNumId w:val="8"/>
  </w:num>
  <w:num w:numId="16" w16cid:durableId="1363287858">
    <w:abstractNumId w:val="2"/>
  </w:num>
  <w:num w:numId="17" w16cid:durableId="1457064874">
    <w:abstractNumId w:val="8"/>
  </w:num>
  <w:num w:numId="18" w16cid:durableId="7496237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F84490E-20A7-47A2-81AD-83B01A078896}"/>
    <w:docVar w:name="dgnword-eventsink" w:val="2820522858448"/>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A136F9"/>
    <w:rsid w:val="0001293B"/>
    <w:rsid w:val="0003178B"/>
    <w:rsid w:val="000352ED"/>
    <w:rsid w:val="00047318"/>
    <w:rsid w:val="000536F1"/>
    <w:rsid w:val="000573BF"/>
    <w:rsid w:val="00057DD8"/>
    <w:rsid w:val="00060C85"/>
    <w:rsid w:val="000669E8"/>
    <w:rsid w:val="00072AD1"/>
    <w:rsid w:val="0007521C"/>
    <w:rsid w:val="0008005B"/>
    <w:rsid w:val="00081ED4"/>
    <w:rsid w:val="000B1720"/>
    <w:rsid w:val="000C0761"/>
    <w:rsid w:val="000D05FC"/>
    <w:rsid w:val="000D0E8C"/>
    <w:rsid w:val="000D2992"/>
    <w:rsid w:val="000D4BD2"/>
    <w:rsid w:val="000E290F"/>
    <w:rsid w:val="000F46EA"/>
    <w:rsid w:val="00100928"/>
    <w:rsid w:val="00107BE6"/>
    <w:rsid w:val="00107F92"/>
    <w:rsid w:val="00125D20"/>
    <w:rsid w:val="00126B2F"/>
    <w:rsid w:val="00127A16"/>
    <w:rsid w:val="00140BC5"/>
    <w:rsid w:val="00141B08"/>
    <w:rsid w:val="001506A0"/>
    <w:rsid w:val="001510BC"/>
    <w:rsid w:val="00151102"/>
    <w:rsid w:val="00152CE1"/>
    <w:rsid w:val="00157ACE"/>
    <w:rsid w:val="0016040D"/>
    <w:rsid w:val="00162B64"/>
    <w:rsid w:val="00163593"/>
    <w:rsid w:val="00175037"/>
    <w:rsid w:val="00177E77"/>
    <w:rsid w:val="00194D54"/>
    <w:rsid w:val="001976E5"/>
    <w:rsid w:val="001A7581"/>
    <w:rsid w:val="001B1BEB"/>
    <w:rsid w:val="001B254E"/>
    <w:rsid w:val="001C09A1"/>
    <w:rsid w:val="001C2667"/>
    <w:rsid w:val="001C363F"/>
    <w:rsid w:val="001C3AA4"/>
    <w:rsid w:val="001F3046"/>
    <w:rsid w:val="001F44F9"/>
    <w:rsid w:val="001F5F67"/>
    <w:rsid w:val="00200647"/>
    <w:rsid w:val="00203A41"/>
    <w:rsid w:val="002061EF"/>
    <w:rsid w:val="00223816"/>
    <w:rsid w:val="00224217"/>
    <w:rsid w:val="002318F5"/>
    <w:rsid w:val="0023631A"/>
    <w:rsid w:val="00242748"/>
    <w:rsid w:val="002453CD"/>
    <w:rsid w:val="00262C4F"/>
    <w:rsid w:val="002663BC"/>
    <w:rsid w:val="002700C8"/>
    <w:rsid w:val="002820FF"/>
    <w:rsid w:val="00282239"/>
    <w:rsid w:val="00285F83"/>
    <w:rsid w:val="00286CAB"/>
    <w:rsid w:val="002A60E4"/>
    <w:rsid w:val="002B1294"/>
    <w:rsid w:val="002B4755"/>
    <w:rsid w:val="002D141E"/>
    <w:rsid w:val="002D1466"/>
    <w:rsid w:val="002E10C7"/>
    <w:rsid w:val="002E433E"/>
    <w:rsid w:val="002E4F14"/>
    <w:rsid w:val="002F4428"/>
    <w:rsid w:val="00313BA7"/>
    <w:rsid w:val="00314E34"/>
    <w:rsid w:val="003168DF"/>
    <w:rsid w:val="00316F9B"/>
    <w:rsid w:val="00320019"/>
    <w:rsid w:val="003311A5"/>
    <w:rsid w:val="00337E5E"/>
    <w:rsid w:val="00340936"/>
    <w:rsid w:val="003412C8"/>
    <w:rsid w:val="00375DB6"/>
    <w:rsid w:val="0038179A"/>
    <w:rsid w:val="00382B6D"/>
    <w:rsid w:val="003937D4"/>
    <w:rsid w:val="003A3F84"/>
    <w:rsid w:val="003A4EC4"/>
    <w:rsid w:val="003A6108"/>
    <w:rsid w:val="003C1F0B"/>
    <w:rsid w:val="003D5FA7"/>
    <w:rsid w:val="003E4F7C"/>
    <w:rsid w:val="00400CA8"/>
    <w:rsid w:val="00404EA2"/>
    <w:rsid w:val="0041218B"/>
    <w:rsid w:val="004245D6"/>
    <w:rsid w:val="0043022C"/>
    <w:rsid w:val="00434994"/>
    <w:rsid w:val="00441955"/>
    <w:rsid w:val="00450A4E"/>
    <w:rsid w:val="0045199A"/>
    <w:rsid w:val="00452E7E"/>
    <w:rsid w:val="00462B0B"/>
    <w:rsid w:val="0047014F"/>
    <w:rsid w:val="00476789"/>
    <w:rsid w:val="004862A2"/>
    <w:rsid w:val="004867EB"/>
    <w:rsid w:val="004877BF"/>
    <w:rsid w:val="00490A58"/>
    <w:rsid w:val="00493ACF"/>
    <w:rsid w:val="0049717B"/>
    <w:rsid w:val="004A4D7D"/>
    <w:rsid w:val="004C0A05"/>
    <w:rsid w:val="004C1463"/>
    <w:rsid w:val="004C2C1A"/>
    <w:rsid w:val="004C4F91"/>
    <w:rsid w:val="004C6813"/>
    <w:rsid w:val="004D5261"/>
    <w:rsid w:val="004E521D"/>
    <w:rsid w:val="004E74C6"/>
    <w:rsid w:val="004F16A9"/>
    <w:rsid w:val="004F7764"/>
    <w:rsid w:val="00502C29"/>
    <w:rsid w:val="00503782"/>
    <w:rsid w:val="00511F0E"/>
    <w:rsid w:val="005121BD"/>
    <w:rsid w:val="00516475"/>
    <w:rsid w:val="005258BD"/>
    <w:rsid w:val="00525D9A"/>
    <w:rsid w:val="0053102B"/>
    <w:rsid w:val="00533775"/>
    <w:rsid w:val="00541F21"/>
    <w:rsid w:val="00543784"/>
    <w:rsid w:val="00547717"/>
    <w:rsid w:val="00554680"/>
    <w:rsid w:val="005762D8"/>
    <w:rsid w:val="00586965"/>
    <w:rsid w:val="00594E1C"/>
    <w:rsid w:val="00597059"/>
    <w:rsid w:val="005A52A7"/>
    <w:rsid w:val="005A6AEB"/>
    <w:rsid w:val="005A73BA"/>
    <w:rsid w:val="005B3695"/>
    <w:rsid w:val="005C4311"/>
    <w:rsid w:val="005D1298"/>
    <w:rsid w:val="005D2A6B"/>
    <w:rsid w:val="005E0760"/>
    <w:rsid w:val="005F34FE"/>
    <w:rsid w:val="005F3FEE"/>
    <w:rsid w:val="005F5B7E"/>
    <w:rsid w:val="0060000B"/>
    <w:rsid w:val="006009A6"/>
    <w:rsid w:val="00600D20"/>
    <w:rsid w:val="006039A0"/>
    <w:rsid w:val="00607FE9"/>
    <w:rsid w:val="006124AC"/>
    <w:rsid w:val="00612DD8"/>
    <w:rsid w:val="00613C82"/>
    <w:rsid w:val="00620F9E"/>
    <w:rsid w:val="0062538B"/>
    <w:rsid w:val="00644B23"/>
    <w:rsid w:val="00645235"/>
    <w:rsid w:val="00655DE9"/>
    <w:rsid w:val="006629E6"/>
    <w:rsid w:val="00666A34"/>
    <w:rsid w:val="00673731"/>
    <w:rsid w:val="006819ED"/>
    <w:rsid w:val="00687221"/>
    <w:rsid w:val="006902E5"/>
    <w:rsid w:val="00691E88"/>
    <w:rsid w:val="00692B28"/>
    <w:rsid w:val="006930F7"/>
    <w:rsid w:val="00694692"/>
    <w:rsid w:val="006A2FDE"/>
    <w:rsid w:val="006B4A76"/>
    <w:rsid w:val="006B5D15"/>
    <w:rsid w:val="006C36F7"/>
    <w:rsid w:val="006C3A01"/>
    <w:rsid w:val="006D5E55"/>
    <w:rsid w:val="006E0899"/>
    <w:rsid w:val="006E7A4E"/>
    <w:rsid w:val="006F40AF"/>
    <w:rsid w:val="00701218"/>
    <w:rsid w:val="00711502"/>
    <w:rsid w:val="00711DD7"/>
    <w:rsid w:val="00721120"/>
    <w:rsid w:val="00721816"/>
    <w:rsid w:val="0072486F"/>
    <w:rsid w:val="00733B3D"/>
    <w:rsid w:val="00735E34"/>
    <w:rsid w:val="00746001"/>
    <w:rsid w:val="0075045F"/>
    <w:rsid w:val="00750472"/>
    <w:rsid w:val="00750A8A"/>
    <w:rsid w:val="00774525"/>
    <w:rsid w:val="0077506C"/>
    <w:rsid w:val="00787703"/>
    <w:rsid w:val="00791946"/>
    <w:rsid w:val="0079213E"/>
    <w:rsid w:val="00796E9F"/>
    <w:rsid w:val="007A1309"/>
    <w:rsid w:val="007A21F7"/>
    <w:rsid w:val="007A3261"/>
    <w:rsid w:val="007B066E"/>
    <w:rsid w:val="007B24F3"/>
    <w:rsid w:val="007B3D46"/>
    <w:rsid w:val="007C3DDE"/>
    <w:rsid w:val="007D1C9A"/>
    <w:rsid w:val="007D3BF9"/>
    <w:rsid w:val="007F79F8"/>
    <w:rsid w:val="008005CF"/>
    <w:rsid w:val="00805B97"/>
    <w:rsid w:val="00812AB6"/>
    <w:rsid w:val="0082515F"/>
    <w:rsid w:val="008301EC"/>
    <w:rsid w:val="008309DC"/>
    <w:rsid w:val="008323B8"/>
    <w:rsid w:val="00832BAF"/>
    <w:rsid w:val="00833A9B"/>
    <w:rsid w:val="00836521"/>
    <w:rsid w:val="008401C3"/>
    <w:rsid w:val="00841AEA"/>
    <w:rsid w:val="00852608"/>
    <w:rsid w:val="008540A9"/>
    <w:rsid w:val="00875AA1"/>
    <w:rsid w:val="00885E96"/>
    <w:rsid w:val="00887D4D"/>
    <w:rsid w:val="008906A7"/>
    <w:rsid w:val="00895523"/>
    <w:rsid w:val="00897AE6"/>
    <w:rsid w:val="008A1CF2"/>
    <w:rsid w:val="008A1F1A"/>
    <w:rsid w:val="008A7666"/>
    <w:rsid w:val="008B685B"/>
    <w:rsid w:val="008C473D"/>
    <w:rsid w:val="008C47AA"/>
    <w:rsid w:val="008D0C82"/>
    <w:rsid w:val="008D2022"/>
    <w:rsid w:val="008D2391"/>
    <w:rsid w:val="008D6AFB"/>
    <w:rsid w:val="008E0768"/>
    <w:rsid w:val="008F0B82"/>
    <w:rsid w:val="008F1290"/>
    <w:rsid w:val="00911BD9"/>
    <w:rsid w:val="00920F22"/>
    <w:rsid w:val="00924654"/>
    <w:rsid w:val="009250E9"/>
    <w:rsid w:val="00940635"/>
    <w:rsid w:val="00950E68"/>
    <w:rsid w:val="009522D4"/>
    <w:rsid w:val="0095463E"/>
    <w:rsid w:val="00960A7A"/>
    <w:rsid w:val="009625D4"/>
    <w:rsid w:val="009630E6"/>
    <w:rsid w:val="00963C18"/>
    <w:rsid w:val="009713DA"/>
    <w:rsid w:val="00975714"/>
    <w:rsid w:val="00976133"/>
    <w:rsid w:val="00976A5B"/>
    <w:rsid w:val="009772E6"/>
    <w:rsid w:val="009800B0"/>
    <w:rsid w:val="009843A6"/>
    <w:rsid w:val="00986789"/>
    <w:rsid w:val="0098781A"/>
    <w:rsid w:val="00992226"/>
    <w:rsid w:val="00992B18"/>
    <w:rsid w:val="0099502B"/>
    <w:rsid w:val="009A2FE1"/>
    <w:rsid w:val="009A78BE"/>
    <w:rsid w:val="009A795A"/>
    <w:rsid w:val="009D1165"/>
    <w:rsid w:val="009E4BF9"/>
    <w:rsid w:val="009E7455"/>
    <w:rsid w:val="009E7498"/>
    <w:rsid w:val="009F0513"/>
    <w:rsid w:val="009F4019"/>
    <w:rsid w:val="009F5EE7"/>
    <w:rsid w:val="009F63BD"/>
    <w:rsid w:val="00A01B1A"/>
    <w:rsid w:val="00A136F9"/>
    <w:rsid w:val="00A32743"/>
    <w:rsid w:val="00A40DFB"/>
    <w:rsid w:val="00A46F6A"/>
    <w:rsid w:val="00A52A70"/>
    <w:rsid w:val="00A52D5C"/>
    <w:rsid w:val="00A64D99"/>
    <w:rsid w:val="00A70D41"/>
    <w:rsid w:val="00A81E35"/>
    <w:rsid w:val="00A84031"/>
    <w:rsid w:val="00A96BCF"/>
    <w:rsid w:val="00AA3A56"/>
    <w:rsid w:val="00AA5F6D"/>
    <w:rsid w:val="00AB07C2"/>
    <w:rsid w:val="00AC0264"/>
    <w:rsid w:val="00AD4FB0"/>
    <w:rsid w:val="00AF6399"/>
    <w:rsid w:val="00B159AD"/>
    <w:rsid w:val="00B2338A"/>
    <w:rsid w:val="00B376C5"/>
    <w:rsid w:val="00B567DF"/>
    <w:rsid w:val="00B60BF4"/>
    <w:rsid w:val="00B7663C"/>
    <w:rsid w:val="00B85A6E"/>
    <w:rsid w:val="00B87D36"/>
    <w:rsid w:val="00B96CDE"/>
    <w:rsid w:val="00B96F50"/>
    <w:rsid w:val="00BA2B29"/>
    <w:rsid w:val="00BA555F"/>
    <w:rsid w:val="00BA6B7A"/>
    <w:rsid w:val="00BB0F42"/>
    <w:rsid w:val="00BB3062"/>
    <w:rsid w:val="00BB5BB9"/>
    <w:rsid w:val="00BB7B9F"/>
    <w:rsid w:val="00BC33AF"/>
    <w:rsid w:val="00BC6E92"/>
    <w:rsid w:val="00BC7C0D"/>
    <w:rsid w:val="00BC7F9C"/>
    <w:rsid w:val="00BE2D5B"/>
    <w:rsid w:val="00BE42F3"/>
    <w:rsid w:val="00BE47F1"/>
    <w:rsid w:val="00BE5011"/>
    <w:rsid w:val="00BF2223"/>
    <w:rsid w:val="00BF73DC"/>
    <w:rsid w:val="00C06FB1"/>
    <w:rsid w:val="00C3108D"/>
    <w:rsid w:val="00C33341"/>
    <w:rsid w:val="00C344C4"/>
    <w:rsid w:val="00C34C64"/>
    <w:rsid w:val="00C46E62"/>
    <w:rsid w:val="00C53424"/>
    <w:rsid w:val="00C57A48"/>
    <w:rsid w:val="00C64B4D"/>
    <w:rsid w:val="00C64EA1"/>
    <w:rsid w:val="00C72BF7"/>
    <w:rsid w:val="00C905EF"/>
    <w:rsid w:val="00C90874"/>
    <w:rsid w:val="00C95B24"/>
    <w:rsid w:val="00CA34B2"/>
    <w:rsid w:val="00CA62FF"/>
    <w:rsid w:val="00CB0238"/>
    <w:rsid w:val="00CB1804"/>
    <w:rsid w:val="00CB27A9"/>
    <w:rsid w:val="00CB3493"/>
    <w:rsid w:val="00CC0375"/>
    <w:rsid w:val="00CC0EA3"/>
    <w:rsid w:val="00CD093C"/>
    <w:rsid w:val="00CE2B11"/>
    <w:rsid w:val="00CE6B75"/>
    <w:rsid w:val="00CF0335"/>
    <w:rsid w:val="00CF4762"/>
    <w:rsid w:val="00D019EF"/>
    <w:rsid w:val="00D02B05"/>
    <w:rsid w:val="00D04C7A"/>
    <w:rsid w:val="00D15E7F"/>
    <w:rsid w:val="00D30A72"/>
    <w:rsid w:val="00D3113B"/>
    <w:rsid w:val="00D3186F"/>
    <w:rsid w:val="00D37368"/>
    <w:rsid w:val="00D4538B"/>
    <w:rsid w:val="00D45D60"/>
    <w:rsid w:val="00D45F1B"/>
    <w:rsid w:val="00D56E07"/>
    <w:rsid w:val="00D635D9"/>
    <w:rsid w:val="00D64559"/>
    <w:rsid w:val="00D65156"/>
    <w:rsid w:val="00D91FF1"/>
    <w:rsid w:val="00D9662C"/>
    <w:rsid w:val="00DA30B7"/>
    <w:rsid w:val="00DA4BE7"/>
    <w:rsid w:val="00DA6C31"/>
    <w:rsid w:val="00DB054A"/>
    <w:rsid w:val="00DB35AF"/>
    <w:rsid w:val="00DC44EE"/>
    <w:rsid w:val="00DC6C01"/>
    <w:rsid w:val="00DC7957"/>
    <w:rsid w:val="00DD313F"/>
    <w:rsid w:val="00E04595"/>
    <w:rsid w:val="00E22E3A"/>
    <w:rsid w:val="00E3209F"/>
    <w:rsid w:val="00E32218"/>
    <w:rsid w:val="00E33780"/>
    <w:rsid w:val="00E40172"/>
    <w:rsid w:val="00E42E77"/>
    <w:rsid w:val="00E432C4"/>
    <w:rsid w:val="00E54B72"/>
    <w:rsid w:val="00E56AED"/>
    <w:rsid w:val="00E628DA"/>
    <w:rsid w:val="00E62A5C"/>
    <w:rsid w:val="00E62BD9"/>
    <w:rsid w:val="00E64730"/>
    <w:rsid w:val="00E72BEA"/>
    <w:rsid w:val="00E7551D"/>
    <w:rsid w:val="00E90C51"/>
    <w:rsid w:val="00E921B7"/>
    <w:rsid w:val="00EA0463"/>
    <w:rsid w:val="00EA0624"/>
    <w:rsid w:val="00EA314C"/>
    <w:rsid w:val="00EB152D"/>
    <w:rsid w:val="00EC134D"/>
    <w:rsid w:val="00EC59B2"/>
    <w:rsid w:val="00ED28FC"/>
    <w:rsid w:val="00ED39EB"/>
    <w:rsid w:val="00EE0434"/>
    <w:rsid w:val="00EE0D0E"/>
    <w:rsid w:val="00F00072"/>
    <w:rsid w:val="00F0526C"/>
    <w:rsid w:val="00F13DB8"/>
    <w:rsid w:val="00F27FB0"/>
    <w:rsid w:val="00F32345"/>
    <w:rsid w:val="00F34702"/>
    <w:rsid w:val="00F34F3E"/>
    <w:rsid w:val="00F37B53"/>
    <w:rsid w:val="00F476FA"/>
    <w:rsid w:val="00F511EE"/>
    <w:rsid w:val="00F549A5"/>
    <w:rsid w:val="00F558BA"/>
    <w:rsid w:val="00F81FA4"/>
    <w:rsid w:val="00F90F60"/>
    <w:rsid w:val="00FA1F8F"/>
    <w:rsid w:val="00FB0411"/>
    <w:rsid w:val="00FC18B8"/>
    <w:rsid w:val="00FC42CA"/>
    <w:rsid w:val="00FC4A41"/>
    <w:rsid w:val="00FC56B2"/>
    <w:rsid w:val="00FC66E1"/>
    <w:rsid w:val="00FD0895"/>
    <w:rsid w:val="00FD3425"/>
    <w:rsid w:val="00FD5FCC"/>
    <w:rsid w:val="00FD7865"/>
    <w:rsid w:val="00FF023C"/>
    <w:rsid w:val="00FF0A91"/>
    <w:rsid w:val="00FF3B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4AEB88"/>
  <w15:docId w15:val="{73581DC3-7A69-4FD6-B64C-A5CCEE61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qFormat/>
    <w:rsid w:val="003415A9"/>
    <w:pPr>
      <w:numPr>
        <w:numId w:val="1"/>
      </w:numPr>
      <w:shd w:val="clear" w:color="auto" w:fill="99CCFF"/>
      <w:tabs>
        <w:tab w:val="left" w:pos="709"/>
      </w:tabs>
      <w:spacing w:before="240" w:after="120"/>
      <w:outlineLvl w:val="0"/>
    </w:pPr>
    <w:rPr>
      <w:rFonts w:cs="Times New Roman"/>
      <w:b/>
      <w:szCs w:val="24"/>
    </w:rPr>
  </w:style>
  <w:style w:type="paragraph" w:styleId="berschrift2">
    <w:name w:val="heading 2"/>
    <w:basedOn w:val="berschrift1"/>
    <w:next w:val="Absatz0"/>
    <w:qFormat/>
    <w:rsid w:val="003415A9"/>
    <w:pPr>
      <w:numPr>
        <w:ilvl w:val="1"/>
      </w:numPr>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8"/>
      </w:numPr>
    </w:pPr>
  </w:style>
  <w:style w:type="character" w:styleId="Hyperlink">
    <w:name w:val="Hyperlink"/>
    <w:basedOn w:val="Absatz-Standardschriftart"/>
    <w:uiPriority w:val="99"/>
    <w:rsid w:val="00A136F9"/>
    <w:rPr>
      <w:color w:val="0000FF"/>
      <w:u w:val="single"/>
    </w:rPr>
  </w:style>
  <w:style w:type="character" w:styleId="BesuchterLink">
    <w:name w:val="FollowedHyperlink"/>
    <w:basedOn w:val="Absatz-Standardschriftart"/>
    <w:rsid w:val="00A136F9"/>
    <w:rPr>
      <w:color w:val="606420"/>
      <w:u w:val="single"/>
    </w:rPr>
  </w:style>
  <w:style w:type="paragraph" w:customStyle="1" w:styleId="WeisungAufzhlung">
    <w:name w:val="Weisung Aufzählung"/>
    <w:basedOn w:val="WeisungStandard"/>
    <w:rsid w:val="00A136F9"/>
    <w:pPr>
      <w:numPr>
        <w:numId w:val="10"/>
      </w:numPr>
    </w:pPr>
  </w:style>
  <w:style w:type="paragraph" w:customStyle="1" w:styleId="WeisungStandard">
    <w:name w:val="Weisung Standard"/>
    <w:basedOn w:val="Standard"/>
    <w:rsid w:val="00A136F9"/>
    <w:rPr>
      <w:szCs w:val="24"/>
    </w:rPr>
  </w:style>
  <w:style w:type="paragraph" w:customStyle="1" w:styleId="Tabelle">
    <w:name w:val="Tabelle"/>
    <w:basedOn w:val="Standard"/>
    <w:rsid w:val="00A136F9"/>
    <w:pPr>
      <w:numPr>
        <w:ilvl w:val="12"/>
      </w:numPr>
      <w:overflowPunct w:val="0"/>
      <w:autoSpaceDE w:val="0"/>
      <w:autoSpaceDN w:val="0"/>
      <w:adjustRightInd w:val="0"/>
      <w:spacing w:before="20" w:after="20"/>
      <w:textAlignment w:val="baseline"/>
    </w:pPr>
    <w:rPr>
      <w:rFonts w:ascii="Arial (W1)" w:hAnsi="Arial (W1)" w:cs="Times New Roman"/>
      <w:color w:val="000000"/>
      <w:sz w:val="20"/>
      <w:szCs w:val="24"/>
      <w:lang w:val="de-DE"/>
    </w:rPr>
  </w:style>
  <w:style w:type="character" w:styleId="Kommentarzeichen">
    <w:name w:val="annotation reference"/>
    <w:basedOn w:val="Absatz-Standardschriftart"/>
    <w:semiHidden/>
    <w:rsid w:val="004E3579"/>
    <w:rPr>
      <w:sz w:val="16"/>
      <w:szCs w:val="16"/>
    </w:rPr>
  </w:style>
  <w:style w:type="paragraph" w:styleId="Kommentartext">
    <w:name w:val="annotation text"/>
    <w:basedOn w:val="Standard"/>
    <w:link w:val="KommentartextZchn"/>
    <w:semiHidden/>
    <w:rsid w:val="004E3579"/>
    <w:rPr>
      <w:sz w:val="20"/>
    </w:rPr>
  </w:style>
  <w:style w:type="paragraph" w:styleId="Kommentarthema">
    <w:name w:val="annotation subject"/>
    <w:basedOn w:val="Kommentartext"/>
    <w:next w:val="Kommentartext"/>
    <w:semiHidden/>
    <w:rsid w:val="004E3579"/>
    <w:rPr>
      <w:b/>
      <w:bCs/>
    </w:rPr>
  </w:style>
  <w:style w:type="paragraph" w:styleId="Funotentext">
    <w:name w:val="footnote text"/>
    <w:basedOn w:val="Standard"/>
    <w:semiHidden/>
    <w:rsid w:val="008A1CF2"/>
    <w:rPr>
      <w:sz w:val="20"/>
    </w:rPr>
  </w:style>
  <w:style w:type="character" w:styleId="Funotenzeichen">
    <w:name w:val="footnote reference"/>
    <w:basedOn w:val="Absatz-Standardschriftart"/>
    <w:semiHidden/>
    <w:rsid w:val="008A1CF2"/>
    <w:rPr>
      <w:vertAlign w:val="superscript"/>
    </w:rPr>
  </w:style>
  <w:style w:type="character" w:customStyle="1" w:styleId="KommentartextZchn">
    <w:name w:val="Kommentartext Zchn"/>
    <w:basedOn w:val="Absatz-Standardschriftart"/>
    <w:link w:val="Kommentartext"/>
    <w:semiHidden/>
    <w:rsid w:val="00C90874"/>
    <w:rPr>
      <w:rFonts w:ascii="Arial" w:hAnsi="Arial" w:cs="Arial"/>
      <w:lang w:eastAsia="de-DE"/>
    </w:rPr>
  </w:style>
  <w:style w:type="paragraph" w:styleId="Listenabsatz">
    <w:name w:val="List Paragraph"/>
    <w:basedOn w:val="Standard"/>
    <w:uiPriority w:val="34"/>
    <w:qFormat/>
    <w:rsid w:val="00C90874"/>
    <w:pPr>
      <w:ind w:left="720"/>
      <w:contextualSpacing/>
    </w:pPr>
  </w:style>
  <w:style w:type="paragraph" w:styleId="berarbeitung">
    <w:name w:val="Revision"/>
    <w:hidden/>
    <w:uiPriority w:val="99"/>
    <w:semiHidden/>
    <w:rsid w:val="002B4755"/>
    <w:rPr>
      <w:rFonts w:ascii="Arial" w:hAnsi="Arial" w:cs="Arial"/>
      <w:sz w:val="22"/>
      <w:lang w:eastAsia="de-DE"/>
    </w:rPr>
  </w:style>
  <w:style w:type="character" w:styleId="Platzhaltertext">
    <w:name w:val="Placeholder Text"/>
    <w:basedOn w:val="Absatz-Standardschriftart"/>
    <w:uiPriority w:val="99"/>
    <w:semiHidden/>
    <w:rsid w:val="004C6813"/>
    <w:rPr>
      <w:color w:val="808080"/>
    </w:rPr>
  </w:style>
  <w:style w:type="paragraph" w:styleId="Inhaltsverzeichnisberschrift">
    <w:name w:val="TOC Heading"/>
    <w:basedOn w:val="berschrift1"/>
    <w:next w:val="Standard"/>
    <w:uiPriority w:val="39"/>
    <w:unhideWhenUsed/>
    <w:qFormat/>
    <w:rsid w:val="008540A9"/>
    <w:pPr>
      <w:keepNext/>
      <w:keepLines/>
      <w:numPr>
        <w:numId w:val="0"/>
      </w:numPr>
      <w:shd w:val="clear" w:color="auto" w:fill="auto"/>
      <w:tabs>
        <w:tab w:val="clear" w:pos="709"/>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NichtaufgelsteErwhnung">
    <w:name w:val="Unresolved Mention"/>
    <w:basedOn w:val="Absatz-Standardschriftart"/>
    <w:uiPriority w:val="99"/>
    <w:semiHidden/>
    <w:unhideWhenUsed/>
    <w:rsid w:val="00962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48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elodms://(530B58C9-011E-7F34-CDC1-4E4222B3866B)"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sod.intranet.stzh.ch/regelwerk/sozialhilfe/skos-b"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tadt-zuerich.ch/portal/de/index/politik_u_recht/amtliche_sammlung/inhaltsverzeichnis/4/410/130.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zh-sozialkonferenz.ch/wp-content/uploads/2023/12/20231206__Empfehlung-Nebenkosten_Verpflegungsbeitrag-KJG-SoKo-KSA-AJB.pdf"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01edaa9-679f-44c4-8577-c8b09c58a932">
      <Value>1</Value>
    </TaxCatchAll>
    <PublishingExpirationDate xmlns="http://schemas.microsoft.com/sharepoint/v3" xsi:nil="true"/>
    <PublishingStartDate xmlns="http://schemas.microsoft.com/sharepoint/v3" xsi:nil="true"/>
    <ka528af28a094f5abf754d5f0fa26795 xmlns="001edaa9-679f-44c4-8577-c8b09c58a932">
      <Terms xmlns="http://schemas.microsoft.com/office/infopath/2007/PartnerControls">
        <TermInfo xmlns="http://schemas.microsoft.com/office/infopath/2007/PartnerControls">
          <TermName xmlns="http://schemas.microsoft.com/office/infopath/2007/PartnerControls">SOD</TermName>
          <TermId xmlns="http://schemas.microsoft.com/office/infopath/2007/PartnerControls">d2ca4cc4-367d-4a9a-a3b2-38906409b4ae</TermId>
        </TermInfo>
      </Terms>
    </ka528af28a094f5abf754d5f0fa26795>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9DDE5957AA4A7F45815733FEB45F178D" ma:contentTypeVersion="5" ma:contentTypeDescription="Ein neues Dokument erstellen." ma:contentTypeScope="" ma:versionID="38c7aa779e0d24a50b0906b7f1215f32">
  <xsd:schema xmlns:xsd="http://www.w3.org/2001/XMLSchema" xmlns:xs="http://www.w3.org/2001/XMLSchema" xmlns:p="http://schemas.microsoft.com/office/2006/metadata/properties" xmlns:ns1="http://schemas.microsoft.com/sharepoint/v3" xmlns:ns2="001edaa9-679f-44c4-8577-c8b09c58a932" xmlns:ns3="c16e5f25-af73-4405-bde3-e67fc44b13fc" targetNamespace="http://schemas.microsoft.com/office/2006/metadata/properties" ma:root="true" ma:fieldsID="a47680c7e15bb5e1b7e45344a4bfab8d" ns1:_="" ns2:_="" ns3:_="">
    <xsd:import namespace="http://schemas.microsoft.com/sharepoint/v3"/>
    <xsd:import namespace="001edaa9-679f-44c4-8577-c8b09c58a932"/>
    <xsd:import namespace="c16e5f25-af73-4405-bde3-e67fc44b13fc"/>
    <xsd:element name="properties">
      <xsd:complexType>
        <xsd:sequence>
          <xsd:element name="documentManagement">
            <xsd:complexType>
              <xsd:all>
                <xsd:element ref="ns1:PublishingStartDate" minOccurs="0"/>
                <xsd:element ref="ns1:PublishingExpirationDate" minOccurs="0"/>
                <xsd:element ref="ns2:ka528af28a094f5abf754d5f0fa26795"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1edaa9-679f-44c4-8577-c8b09c58a932" elementFormDefault="qualified">
    <xsd:import namespace="http://schemas.microsoft.com/office/2006/documentManagement/types"/>
    <xsd:import namespace="http://schemas.microsoft.com/office/infopath/2007/PartnerControls"/>
    <xsd:element name="ka528af28a094f5abf754d5f0fa26795" ma:index="11" nillable="true" ma:taxonomy="true" ma:internalName="ka528af28a094f5abf754d5f0fa26795" ma:taxonomyFieldName="IntraZueriMandant" ma:displayName="Mandant" ma:readOnly="true" ma:default="1;#SOD|d2ca4cc4-367d-4a9a-a3b2-38906409b4ae" ma:fieldId="{4a528af2-8a09-4f5a-bf75-4d5f0fa26795}" ma:taxonomyMulti="true" ma:sspId="1a1f29b2-9793-42d5-b39f-660703eec015" ma:termSetId="fa747344-2f7c-4290-8bde-b56e39e9ea0b" ma:anchorId="00000000-0000-0000-0000-000000000000" ma:open="true" ma:isKeyword="false">
      <xsd:complexType>
        <xsd:sequence>
          <xsd:element ref="pc:Terms" minOccurs="0" maxOccurs="1"/>
        </xsd:sequence>
      </xsd:complexType>
    </xsd:element>
    <xsd:element name="TaxCatchAll" ma:index="12" nillable="true" ma:displayName="Taxonomiespalte &quot;Alle abfangen&quot;" ma:hidden="true" ma:list="{ab631043-e8d7-4668-a7f1-8603dc1202c0}" ma:internalName="TaxCatchAll" ma:showField="CatchAllData" ma:web="001edaa9-679f-44c4-8577-c8b09c58a9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6e5f25-af73-4405-bde3-e67fc44b13fc" elementFormDefault="qualified">
    <xsd:import namespace="http://schemas.microsoft.com/office/2006/documentManagement/types"/>
    <xsd:import namespace="http://schemas.microsoft.com/office/infopath/2007/PartnerControls"/>
    <xsd:element name="SharedWithUsers" ma:index="13"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421C26BF-B194-46AE-8E13-7CB8D740F093}">
  <ds:schemaRefs>
    <ds:schemaRef ds:uri="http://schemas.microsoft.com/office/2006/metadata/properties"/>
    <ds:schemaRef ds:uri="http://schemas.microsoft.com/office/infopath/2007/PartnerControls"/>
    <ds:schemaRef ds:uri="001edaa9-679f-44c4-8577-c8b09c58a932"/>
    <ds:schemaRef ds:uri="http://schemas.microsoft.com/sharepoint/v3"/>
  </ds:schemaRefs>
</ds:datastoreItem>
</file>

<file path=customXml/itemProps2.xml><?xml version="1.0" encoding="utf-8"?>
<ds:datastoreItem xmlns:ds="http://schemas.openxmlformats.org/officeDocument/2006/customXml" ds:itemID="{D2391B98-C270-4D7C-8281-38EC16852E65}">
  <ds:schemaRefs>
    <ds:schemaRef ds:uri="http://schemas.openxmlformats.org/officeDocument/2006/bibliography"/>
  </ds:schemaRefs>
</ds:datastoreItem>
</file>

<file path=customXml/itemProps3.xml><?xml version="1.0" encoding="utf-8"?>
<ds:datastoreItem xmlns:ds="http://schemas.openxmlformats.org/officeDocument/2006/customXml" ds:itemID="{3CDF35FE-4EDB-4474-8041-9C2AE959756E}">
  <ds:schemaRefs>
    <ds:schemaRef ds:uri="http://schemas.microsoft.com/sharepoint/v3/contenttype/forms"/>
  </ds:schemaRefs>
</ds:datastoreItem>
</file>

<file path=customXml/itemProps4.xml><?xml version="1.0" encoding="utf-8"?>
<ds:datastoreItem xmlns:ds="http://schemas.openxmlformats.org/officeDocument/2006/customXml" ds:itemID="{21A930D8-21FD-495C-83AF-E77D5174E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1edaa9-679f-44c4-8577-c8b09c58a932"/>
    <ds:schemaRef ds:uri="c16e5f25-af73-4405-bde3-e67fc44b1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062D5E5-C5A1-47F2-B1B0-D63D9721FB8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1933</Words>
  <Characters>12185</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HAW Festlegung der Beträge des Grundbedarfs für den Lebensunterhalt</vt:lpstr>
    </vt:vector>
  </TitlesOfParts>
  <Company>Soziale Dienste Stadt Zürich</Company>
  <LinksUpToDate>false</LinksUpToDate>
  <CharactersWithSpaces>14090</CharactersWithSpaces>
  <SharedDoc>false</SharedDoc>
  <HLinks>
    <vt:vector size="12" baseType="variant">
      <vt:variant>
        <vt:i4>7143490</vt:i4>
      </vt:variant>
      <vt:variant>
        <vt:i4>5</vt:i4>
      </vt:variant>
      <vt:variant>
        <vt:i4>0</vt:i4>
      </vt:variant>
      <vt:variant>
        <vt:i4>5</vt:i4>
      </vt:variant>
      <vt:variant>
        <vt:lpwstr>http://www.zh-sozialkonferenz.ch/doc/empfehlungen_nebenkosten_heime_ 2012_05_10.pdf</vt:lpwstr>
      </vt:variant>
      <vt:variant>
        <vt:lpwstr/>
      </vt:variant>
      <vt:variant>
        <vt:i4>3997782</vt:i4>
      </vt:variant>
      <vt:variant>
        <vt:i4>2</vt:i4>
      </vt:variant>
      <vt:variant>
        <vt:i4>0</vt:i4>
      </vt:variant>
      <vt:variant>
        <vt:i4>5</vt:i4>
      </vt:variant>
      <vt:variant>
        <vt:lpwstr>http://sd.intra.stzh.ch/intranet/sd/sod/leistungen_intake/wirtschaftliche_sozialhilfe/SKOS_B.html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Festlegung der Beträge des Grundbedarfs für den Lebensunterhalt</dc:title>
  <dc:subject>SKOS B</dc:subject>
  <dc:creator>FS WH - Spescha Thomas (SD)</dc:creator>
  <cp:lastModifiedBy>Thomas Spescha (sozspt)</cp:lastModifiedBy>
  <cp:revision>5</cp:revision>
  <cp:lastPrinted>2022-11-23T12:31:00Z</cp:lastPrinted>
  <dcterms:created xsi:type="dcterms:W3CDTF">2023-03-21T13:34:00Z</dcterms:created>
  <dcterms:modified xsi:type="dcterms:W3CDTF">2024-04-18T17:33:00Z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art">
    <vt:lpwstr>2</vt:lpwstr>
  </property>
  <property fmtid="{D5CDD505-2E9C-101B-9397-08002B2CF9AE}" pid="3" name="ContentType">
    <vt:lpwstr>SOD Handlungsanweisung (HAW)</vt:lpwstr>
  </property>
  <property fmtid="{D5CDD505-2E9C-101B-9397-08002B2CF9AE}" pid="4" name="ContentTypeId">
    <vt:lpwstr>0x0101009DDE5957AA4A7F45815733FEB45F178D</vt:lpwstr>
  </property>
  <property fmtid="{D5CDD505-2E9C-101B-9397-08002B2CF9AE}" pid="5" name="Bemerkungen">
    <vt:lpwstr/>
  </property>
  <property fmtid="{D5CDD505-2E9C-101B-9397-08002B2CF9AE}" pid="6" name="Intranetverlinkung">
    <vt:lpwstr>Nein</vt:lpwstr>
  </property>
  <property fmtid="{D5CDD505-2E9C-101B-9397-08002B2CF9AE}" pid="7" name="PublishingContact">
    <vt:lpwstr/>
  </property>
  <property fmtid="{D5CDD505-2E9C-101B-9397-08002B2CF9AE}" pid="8" name="Gültig ab">
    <vt:lpwstr>2011-11-01T00:00:00Z</vt:lpwstr>
  </property>
  <property fmtid="{D5CDD505-2E9C-101B-9397-08002B2CF9AE}" pid="9" name="Zielgruppen">
    <vt:lpwstr/>
  </property>
  <property fmtid="{D5CDD505-2E9C-101B-9397-08002B2CF9AE}" pid="10" name="SKOS-Kapitel">
    <vt:lpwstr>2;#B</vt:lpwstr>
  </property>
  <property fmtid="{D5CDD505-2E9C-101B-9397-08002B2CF9AE}" pid="11" name="Zielgruppe">
    <vt:lpwstr>2;#EFH Erwachsenenprofil;#1;#EFH Familienprofil;#3;#EFH Intake</vt:lpwstr>
  </property>
  <property fmtid="{D5CDD505-2E9C-101B-9397-08002B2CF9AE}" pid="12" name="Spezialdienste">
    <vt:lpwstr/>
  </property>
  <property fmtid="{D5CDD505-2E9C-101B-9397-08002B2CF9AE}" pid="13" name="Zurdnung Thema">
    <vt:lpwstr>29;#WSH</vt:lpwstr>
  </property>
  <property fmtid="{D5CDD505-2E9C-101B-9397-08002B2CF9AE}" pid="14" name="Document Owner">
    <vt:lpwstr/>
  </property>
  <property fmtid="{D5CDD505-2E9C-101B-9397-08002B2CF9AE}" pid="15" name="Order">
    <vt:r8>29500</vt:r8>
  </property>
  <property fmtid="{D5CDD505-2E9C-101B-9397-08002B2CF9AE}" pid="16" name="Überarbeitungsdatum">
    <vt:lpwstr>2012-03-02T00:00:00Z</vt:lpwstr>
  </property>
  <property fmtid="{D5CDD505-2E9C-101B-9397-08002B2CF9AE}" pid="17" name="Thema">
    <vt:lpwstr/>
  </property>
  <property fmtid="{D5CDD505-2E9C-101B-9397-08002B2CF9AE}" pid="18" name="Zielgruppe(n)">
    <vt:lpwstr/>
  </property>
  <property fmtid="{D5CDD505-2E9C-101B-9397-08002B2CF9AE}" pid="19" name="Inhaltliche Verknüpfungen">
    <vt:lpwstr/>
  </property>
  <property fmtid="{D5CDD505-2E9C-101B-9397-08002B2CF9AE}" pid="20" name="Revisionstermin">
    <vt:lpwstr/>
  </property>
  <property fmtid="{D5CDD505-2E9C-101B-9397-08002B2CF9AE}" pid="21" name="_dlc_DocId">
    <vt:lpwstr>SDSOD-119-545</vt:lpwstr>
  </property>
  <property fmtid="{D5CDD505-2E9C-101B-9397-08002B2CF9AE}" pid="22" name="_dlc_DocIdItemGuid">
    <vt:lpwstr>2002a33a-8fc8-4a0d-b164-79dd7127082b</vt:lpwstr>
  </property>
  <property fmtid="{D5CDD505-2E9C-101B-9397-08002B2CF9AE}" pid="23" name="_dlc_DocIdUrl">
    <vt:lpwstr>http://portal.sd.intra.stzh.ch/sod/regelwerk/_layouts/DocIdRedir.aspx?ID=SDSOD-119-545, SDSOD-119-545</vt:lpwstr>
  </property>
  <property fmtid="{D5CDD505-2E9C-101B-9397-08002B2CF9AE}" pid="24" name="WorkflowChangePath">
    <vt:lpwstr>52675646-02d6-422a-bf6f-0a8dd6281eff,19;0d2b39e8-dd18-4502-a924-40335b5a9ad4,21;0d2b39e8-dd18-4502-a924-40335b5a9ad4,23;341fbddd-ec65-48e1-adf9-5a4e166d833e,8;498d860f-cbd0-4500-a53b-08f6ed17cb6e,14;7dbe9e3d-1110-41fa-836b-195a3e49061c,7;7dbe9e3d-1110-41f</vt:lpwstr>
  </property>
  <property fmtid="{D5CDD505-2E9C-101B-9397-08002B2CF9AE}" pid="25" name="IsMyDocuments">
    <vt:bool>true</vt:bool>
  </property>
  <property fmtid="{D5CDD505-2E9C-101B-9397-08002B2CF9AE}" pid="26" name="Dokumentenart1">
    <vt:lpwstr>SOD Handlungsanweisung (HAW)</vt:lpwstr>
  </property>
  <property fmtid="{D5CDD505-2E9C-101B-9397-08002B2CF9AE}" pid="27" name="IntraZueriMandant">
    <vt:lpwstr>1;#SOD|d2ca4cc4-367d-4a9a-a3b2-38906409b4ae</vt:lpwstr>
  </property>
  <property fmtid="{D5CDD505-2E9C-101B-9397-08002B2CF9AE}" pid="28" name="xd_ProgID">
    <vt:lpwstr/>
  </property>
  <property fmtid="{D5CDD505-2E9C-101B-9397-08002B2CF9AE}" pid="29" name="TemplateUrl">
    <vt:lpwstr/>
  </property>
</Properties>
</file>