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6E17F2" w14:paraId="6EFD393D"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157DB9B0" w14:textId="77777777" w:rsidR="002129A1" w:rsidRPr="006E17F2" w:rsidRDefault="002129A1" w:rsidP="007630D2">
            <w:pPr>
              <w:pStyle w:val="WeisungKopfteil"/>
              <w:framePr w:hSpace="0" w:wrap="auto" w:vAnchor="margin" w:hAnchor="text" w:xAlign="left" w:yAlign="inline"/>
              <w:spacing w:after="0"/>
              <w:ind w:right="51"/>
              <w:jc w:val="both"/>
              <w:rPr>
                <w:b w:val="0"/>
                <w:bCs/>
                <w:sz w:val="20"/>
              </w:rPr>
            </w:pPr>
            <w:r w:rsidRPr="006E17F2">
              <w:t xml:space="preserve">Zuordnung: </w:t>
            </w:r>
          </w:p>
        </w:tc>
        <w:bookmarkStart w:id="0" w:name="_GoBack"/>
        <w:tc>
          <w:tcPr>
            <w:tcW w:w="4453" w:type="dxa"/>
            <w:vMerge w:val="restart"/>
            <w:tcBorders>
              <w:top w:val="single" w:sz="4" w:space="0" w:color="808080"/>
              <w:left w:val="single" w:sz="6" w:space="0" w:color="808080"/>
              <w:right w:val="single" w:sz="6" w:space="0" w:color="808080"/>
            </w:tcBorders>
            <w:shd w:val="clear" w:color="auto" w:fill="F3F3F3"/>
          </w:tcPr>
          <w:p w14:paraId="134944E5" w14:textId="7D4BB029" w:rsidR="002129A1" w:rsidRPr="006E17F2" w:rsidRDefault="009B6DD1" w:rsidP="00A60329">
            <w:pPr>
              <w:pStyle w:val="WeisungKopfteil"/>
              <w:framePr w:hSpace="0" w:wrap="auto" w:vAnchor="margin" w:hAnchor="text" w:xAlign="left" w:yAlign="inline"/>
              <w:spacing w:after="0"/>
              <w:ind w:right="51"/>
              <w:jc w:val="center"/>
              <w:rPr>
                <w:sz w:val="20"/>
              </w:rPr>
            </w:pPr>
            <w:r>
              <w:fldChar w:fldCharType="begin">
                <w:ffData>
                  <w:name w:val="Dokumentenart"/>
                  <w:enabled/>
                  <w:calcOnExit w:val="0"/>
                  <w:ddList>
                    <w:listEntry w:val="Handlungsanweisung der Direktion"/>
                    <w:listEntry w:val="Handlungsanweisung des Direktors"/>
                    <w:listEntry w:val="Bitte wählen"/>
                    <w:listEntry w:val="Konzept"/>
                    <w:listEntry w:val="Kurzkonzept"/>
                    <w:listEntry w:val="Information"/>
                    <w:listEntry w:val="Manual"/>
                    <w:listEntry w:val="Praxishilfe"/>
                    <w:listEntry w:val="Handlungsanweisung der Direktorin"/>
                  </w:ddList>
                </w:ffData>
              </w:fldChar>
            </w:r>
            <w:bookmarkStart w:id="1" w:name="Dokumentenart"/>
            <w:r>
              <w:instrText xml:space="preserve"> FORMDROPDOWN </w:instrText>
            </w:r>
            <w:r>
              <w:fldChar w:fldCharType="end"/>
            </w:r>
            <w:bookmarkEnd w:id="1"/>
            <w:bookmarkEnd w:id="0"/>
          </w:p>
        </w:tc>
        <w:bookmarkStart w:id="2" w:name="Dropdown1"/>
        <w:tc>
          <w:tcPr>
            <w:tcW w:w="2414" w:type="dxa"/>
            <w:tcBorders>
              <w:top w:val="single" w:sz="4" w:space="0" w:color="808080"/>
              <w:left w:val="single" w:sz="6" w:space="0" w:color="808080"/>
              <w:bottom w:val="nil"/>
              <w:right w:val="single" w:sz="4" w:space="0" w:color="808080"/>
            </w:tcBorders>
            <w:shd w:val="clear" w:color="auto" w:fill="F3F3F3"/>
          </w:tcPr>
          <w:p w14:paraId="7CE4C241" w14:textId="77777777" w:rsidR="002129A1" w:rsidRPr="006E17F2" w:rsidRDefault="0053312E" w:rsidP="006930F1">
            <w:pPr>
              <w:pStyle w:val="WeisungKopfteil"/>
              <w:framePr w:hSpace="0" w:wrap="auto" w:vAnchor="margin" w:hAnchor="text" w:xAlign="left" w:yAlign="inline"/>
              <w:spacing w:after="0"/>
              <w:ind w:right="51"/>
              <w:jc w:val="right"/>
              <w:rPr>
                <w:b w:val="0"/>
                <w:bCs/>
                <w:sz w:val="20"/>
              </w:rPr>
            </w:pPr>
            <w:r w:rsidRPr="006E17F2">
              <w:fldChar w:fldCharType="begin">
                <w:ffData>
                  <w:name w:val="Dropdown1"/>
                  <w:enabled/>
                  <w:calcOnExit w:val="0"/>
                  <w:ddList>
                    <w:listEntry w:val="Gültig ab:"/>
                    <w:listEntry w:val="Datum:"/>
                  </w:ddList>
                </w:ffData>
              </w:fldChar>
            </w:r>
            <w:r w:rsidRPr="006E17F2">
              <w:instrText xml:space="preserve"> </w:instrText>
            </w:r>
            <w:r w:rsidR="00614CEC" w:rsidRPr="006E17F2">
              <w:instrText>FORMDROPDOWN</w:instrText>
            </w:r>
            <w:r w:rsidRPr="006E17F2">
              <w:instrText xml:space="preserve"> </w:instrText>
            </w:r>
            <w:r w:rsidR="00506ADE">
              <w:fldChar w:fldCharType="separate"/>
            </w:r>
            <w:r w:rsidRPr="006E17F2">
              <w:fldChar w:fldCharType="end"/>
            </w:r>
            <w:bookmarkEnd w:id="2"/>
            <w:r w:rsidR="002129A1" w:rsidRPr="006E17F2">
              <w:t xml:space="preserve"> </w:t>
            </w:r>
          </w:p>
        </w:tc>
      </w:tr>
      <w:tr w:rsidR="002129A1" w:rsidRPr="006E17F2" w14:paraId="4B28D94E"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560948B6" w14:textId="2F96DBE5" w:rsidR="002129A1" w:rsidRPr="00280D18" w:rsidRDefault="000E5004" w:rsidP="006A1B3C">
            <w:pPr>
              <w:pStyle w:val="WeisungKopfteil"/>
              <w:framePr w:hSpace="0" w:wrap="auto" w:vAnchor="margin" w:hAnchor="text" w:xAlign="left" w:yAlign="inline"/>
              <w:spacing w:before="0" w:after="0"/>
              <w:ind w:right="51"/>
              <w:rPr>
                <w:b w:val="0"/>
              </w:rPr>
            </w:pPr>
            <w:r>
              <w:rPr>
                <w:b w:val="0"/>
              </w:rPr>
              <w:t>SKOS C.6.8</w:t>
            </w:r>
          </w:p>
        </w:tc>
        <w:tc>
          <w:tcPr>
            <w:tcW w:w="4453" w:type="dxa"/>
            <w:vMerge/>
            <w:tcBorders>
              <w:left w:val="single" w:sz="6" w:space="0" w:color="808080"/>
              <w:bottom w:val="single" w:sz="6" w:space="0" w:color="808080"/>
              <w:right w:val="single" w:sz="6" w:space="0" w:color="808080"/>
            </w:tcBorders>
            <w:shd w:val="clear" w:color="auto" w:fill="F3F3F3"/>
          </w:tcPr>
          <w:p w14:paraId="3D374230" w14:textId="77777777" w:rsidR="002129A1" w:rsidRPr="006E17F2" w:rsidRDefault="002129A1" w:rsidP="007630D2">
            <w:pPr>
              <w:pStyle w:val="WeisungKopfteil"/>
              <w:framePr w:hSpace="0" w:wrap="auto" w:vAnchor="margin" w:hAnchor="text" w:xAlign="left" w:yAlign="inline"/>
              <w:spacing w:after="0"/>
              <w:ind w:right="51"/>
              <w:jc w:val="both"/>
            </w:pPr>
          </w:p>
        </w:tc>
        <w:tc>
          <w:tcPr>
            <w:tcW w:w="2414" w:type="dxa"/>
            <w:tcBorders>
              <w:top w:val="nil"/>
              <w:left w:val="single" w:sz="6" w:space="0" w:color="808080"/>
              <w:bottom w:val="single" w:sz="6" w:space="0" w:color="808080"/>
              <w:right w:val="single" w:sz="4" w:space="0" w:color="808080"/>
            </w:tcBorders>
            <w:shd w:val="clear" w:color="auto" w:fill="F3F3F3"/>
          </w:tcPr>
          <w:p w14:paraId="0BF2FDA3" w14:textId="05A21097" w:rsidR="00E44ECC" w:rsidRPr="000E5004" w:rsidRDefault="00C47739" w:rsidP="006930F1">
            <w:pPr>
              <w:pStyle w:val="WeisungKopfteil"/>
              <w:framePr w:hSpace="0" w:wrap="auto" w:vAnchor="margin" w:hAnchor="text" w:xAlign="left" w:yAlign="inline"/>
              <w:spacing w:before="0" w:after="0"/>
              <w:ind w:right="51"/>
              <w:jc w:val="right"/>
              <w:rPr>
                <w:b w:val="0"/>
                <w:szCs w:val="22"/>
              </w:rPr>
            </w:pPr>
            <w:r>
              <w:rPr>
                <w:b w:val="0"/>
                <w:szCs w:val="22"/>
                <w:highlight w:val="yellow"/>
              </w:rPr>
              <w:t>01.01</w:t>
            </w:r>
            <w:r w:rsidR="00737BC3" w:rsidRPr="00737BC3">
              <w:rPr>
                <w:b w:val="0"/>
                <w:szCs w:val="22"/>
                <w:highlight w:val="yellow"/>
              </w:rPr>
              <w:t>.2022</w:t>
            </w:r>
          </w:p>
          <w:p w14:paraId="03F913A9" w14:textId="77777777" w:rsidR="00F07A2E" w:rsidRPr="000E5004" w:rsidRDefault="00E44ECC" w:rsidP="006930F1">
            <w:pPr>
              <w:pStyle w:val="WeisungKopfteil"/>
              <w:framePr w:hSpace="0" w:wrap="auto" w:vAnchor="margin" w:hAnchor="text" w:xAlign="left" w:yAlign="inline"/>
              <w:spacing w:before="0" w:after="0"/>
              <w:ind w:right="51"/>
              <w:jc w:val="right"/>
              <w:rPr>
                <w:b w:val="0"/>
                <w:szCs w:val="22"/>
              </w:rPr>
            </w:pPr>
            <w:r w:rsidRPr="000E5004">
              <w:rPr>
                <w:b w:val="0"/>
                <w:szCs w:val="22"/>
              </w:rPr>
              <w:t xml:space="preserve">Ersetzt: </w:t>
            </w:r>
            <w:r w:rsidR="006930F1" w:rsidRPr="000E5004">
              <w:rPr>
                <w:b w:val="0"/>
                <w:szCs w:val="22"/>
              </w:rPr>
              <w:t>01.0</w:t>
            </w:r>
            <w:r w:rsidR="00280D18" w:rsidRPr="000E5004">
              <w:rPr>
                <w:b w:val="0"/>
                <w:szCs w:val="22"/>
              </w:rPr>
              <w:t>7</w:t>
            </w:r>
            <w:r w:rsidR="006930F1" w:rsidRPr="000E5004">
              <w:rPr>
                <w:b w:val="0"/>
                <w:szCs w:val="22"/>
              </w:rPr>
              <w:t>.201</w:t>
            </w:r>
            <w:r w:rsidR="00280D18" w:rsidRPr="000E5004">
              <w:rPr>
                <w:b w:val="0"/>
                <w:szCs w:val="22"/>
              </w:rPr>
              <w:t>6</w:t>
            </w:r>
            <w:r w:rsidR="00F07A2E" w:rsidRPr="000E5004">
              <w:rPr>
                <w:b w:val="0"/>
                <w:szCs w:val="22"/>
              </w:rPr>
              <w:t xml:space="preserve"> </w:t>
            </w:r>
          </w:p>
          <w:p w14:paraId="0573EBC7" w14:textId="77777777" w:rsidR="002129A1" w:rsidRPr="006E17F2" w:rsidRDefault="002129A1" w:rsidP="006930F1">
            <w:pPr>
              <w:pStyle w:val="WeisungKopfteil"/>
              <w:framePr w:hSpace="0" w:wrap="auto" w:vAnchor="margin" w:hAnchor="text" w:xAlign="left" w:yAlign="inline"/>
              <w:spacing w:before="0" w:after="0"/>
              <w:ind w:right="51"/>
              <w:jc w:val="right"/>
            </w:pPr>
          </w:p>
        </w:tc>
      </w:tr>
      <w:tr w:rsidR="002129A1" w:rsidRPr="006E17F2" w14:paraId="29BB5348"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79255F06" w14:textId="77777777" w:rsidR="002129A1" w:rsidRPr="006E17F2" w:rsidRDefault="00D86B69" w:rsidP="007630D2">
            <w:pPr>
              <w:pStyle w:val="WeisungKopfteil"/>
              <w:framePr w:hSpace="0" w:wrap="auto" w:vAnchor="margin" w:hAnchor="text" w:xAlign="left" w:yAlign="inline"/>
              <w:ind w:right="51"/>
              <w:jc w:val="both"/>
            </w:pPr>
            <w:r w:rsidRPr="006E17F2">
              <w:t>Sozialbegleitung für Familien (SOF)</w:t>
            </w:r>
          </w:p>
        </w:tc>
      </w:tr>
    </w:tbl>
    <w:p w14:paraId="1276AC6D" w14:textId="77777777" w:rsidR="003415A9" w:rsidRPr="006E17F2" w:rsidRDefault="003415A9" w:rsidP="007630D2">
      <w:pPr>
        <w:pStyle w:val="Absatz0"/>
        <w:ind w:right="51"/>
        <w:jc w:val="both"/>
        <w:sectPr w:rsidR="003415A9" w:rsidRPr="006E17F2" w:rsidSect="00D802D1">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567" w:left="1701" w:header="567" w:footer="227" w:gutter="0"/>
          <w:cols w:space="720"/>
          <w:titlePg/>
          <w:docGrid w:linePitch="299"/>
        </w:sectPr>
      </w:pPr>
    </w:p>
    <w:p w14:paraId="6DC19F12" w14:textId="77777777" w:rsidR="000D3C6F" w:rsidRPr="006E17F2" w:rsidRDefault="000D3C6F" w:rsidP="00F07A2E">
      <w:pPr>
        <w:pStyle w:val="berschrift1"/>
        <w:spacing w:before="360" w:after="240"/>
        <w:ind w:right="51"/>
        <w:jc w:val="both"/>
      </w:pPr>
      <w:r w:rsidRPr="006E17F2">
        <w:t>Grundlage</w:t>
      </w:r>
    </w:p>
    <w:p w14:paraId="03A397EE" w14:textId="2ED386EA" w:rsidR="00837E00" w:rsidRDefault="00C358F2" w:rsidP="007E308D">
      <w:pPr>
        <w:jc w:val="both"/>
        <w:rPr>
          <w:bCs/>
        </w:rPr>
      </w:pPr>
      <w:r>
        <w:rPr>
          <w:bCs/>
        </w:rPr>
        <w:t>Neben der</w:t>
      </w:r>
      <w:r w:rsidR="00837E00">
        <w:rPr>
          <w:bCs/>
        </w:rPr>
        <w:t xml:space="preserve"> wirtschaftliche</w:t>
      </w:r>
      <w:r w:rsidR="00CE2D8C">
        <w:rPr>
          <w:bCs/>
        </w:rPr>
        <w:t>n</w:t>
      </w:r>
      <w:r w:rsidR="00837E00">
        <w:rPr>
          <w:bCs/>
        </w:rPr>
        <w:t xml:space="preserve"> Exist</w:t>
      </w:r>
      <w:r w:rsidR="000D3C1C">
        <w:rPr>
          <w:bCs/>
        </w:rPr>
        <w:t>e</w:t>
      </w:r>
      <w:r w:rsidR="00837E00">
        <w:rPr>
          <w:bCs/>
        </w:rPr>
        <w:t>nzsicherung</w:t>
      </w:r>
      <w:r>
        <w:rPr>
          <w:bCs/>
        </w:rPr>
        <w:t xml:space="preserve"> besteht</w:t>
      </w:r>
      <w:r w:rsidR="00837E00">
        <w:rPr>
          <w:bCs/>
        </w:rPr>
        <w:t xml:space="preserve"> </w:t>
      </w:r>
      <w:r>
        <w:rPr>
          <w:bCs/>
        </w:rPr>
        <w:t>e</w:t>
      </w:r>
      <w:r w:rsidR="00280D18">
        <w:rPr>
          <w:bCs/>
        </w:rPr>
        <w:t xml:space="preserve">in </w:t>
      </w:r>
      <w:r w:rsidR="00A17883">
        <w:rPr>
          <w:bCs/>
        </w:rPr>
        <w:t xml:space="preserve">weiterer </w:t>
      </w:r>
      <w:r w:rsidR="00280D18">
        <w:rPr>
          <w:bCs/>
        </w:rPr>
        <w:t xml:space="preserve">zentraler Auftrag </w:t>
      </w:r>
      <w:r>
        <w:rPr>
          <w:bCs/>
        </w:rPr>
        <w:t>der öffentlichen Sozialhilfe</w:t>
      </w:r>
      <w:r w:rsidR="00280D18">
        <w:rPr>
          <w:bCs/>
        </w:rPr>
        <w:t xml:space="preserve"> in der </w:t>
      </w:r>
      <w:r w:rsidR="00837E00">
        <w:rPr>
          <w:bCs/>
        </w:rPr>
        <w:t>soziale</w:t>
      </w:r>
      <w:r w:rsidR="00280D18">
        <w:rPr>
          <w:bCs/>
        </w:rPr>
        <w:t>n</w:t>
      </w:r>
      <w:r w:rsidR="00837E00">
        <w:rPr>
          <w:bCs/>
        </w:rPr>
        <w:t xml:space="preserve"> Integration</w:t>
      </w:r>
      <w:r w:rsidR="00B607D8">
        <w:rPr>
          <w:bCs/>
        </w:rPr>
        <w:t xml:space="preserve"> von Personen und Familien in schwierigen Lebenslagen</w:t>
      </w:r>
      <w:r w:rsidR="00837E00">
        <w:rPr>
          <w:bCs/>
        </w:rPr>
        <w:t>.</w:t>
      </w:r>
      <w:r w:rsidR="00280D18">
        <w:rPr>
          <w:bCs/>
        </w:rPr>
        <w:t xml:space="preserve"> </w:t>
      </w:r>
      <w:r w:rsidR="00B607D8">
        <w:rPr>
          <w:bCs/>
        </w:rPr>
        <w:t xml:space="preserve">Sie </w:t>
      </w:r>
      <w:r>
        <w:rPr>
          <w:bCs/>
        </w:rPr>
        <w:t xml:space="preserve">sind </w:t>
      </w:r>
      <w:r w:rsidR="00B607D8">
        <w:rPr>
          <w:bCs/>
        </w:rPr>
        <w:t xml:space="preserve">darin </w:t>
      </w:r>
      <w:r>
        <w:rPr>
          <w:bCs/>
        </w:rPr>
        <w:t xml:space="preserve">zu </w:t>
      </w:r>
      <w:r w:rsidR="00B607D8">
        <w:rPr>
          <w:bCs/>
        </w:rPr>
        <w:t>unterstütz</w:t>
      </w:r>
      <w:r>
        <w:rPr>
          <w:bCs/>
        </w:rPr>
        <w:t>en</w:t>
      </w:r>
      <w:r w:rsidR="00B607D8">
        <w:rPr>
          <w:bCs/>
        </w:rPr>
        <w:t xml:space="preserve">, </w:t>
      </w:r>
      <w:r w:rsidR="00837E00">
        <w:rPr>
          <w:bCs/>
        </w:rPr>
        <w:t>am sozialen Geschehen teilnehmen und e</w:t>
      </w:r>
      <w:r w:rsidR="00280D18">
        <w:rPr>
          <w:bCs/>
        </w:rPr>
        <w:t xml:space="preserve">in </w:t>
      </w:r>
      <w:r w:rsidR="00A17883">
        <w:rPr>
          <w:bCs/>
        </w:rPr>
        <w:t xml:space="preserve">möglichst </w:t>
      </w:r>
      <w:r w:rsidR="00280D18">
        <w:rPr>
          <w:bCs/>
        </w:rPr>
        <w:t>selbstbestimmtes L</w:t>
      </w:r>
      <w:r w:rsidR="00837E00">
        <w:rPr>
          <w:bCs/>
        </w:rPr>
        <w:t xml:space="preserve">eben führen </w:t>
      </w:r>
      <w:r w:rsidR="00924662">
        <w:rPr>
          <w:bCs/>
        </w:rPr>
        <w:t xml:space="preserve">zu </w:t>
      </w:r>
      <w:r w:rsidR="00837E00">
        <w:rPr>
          <w:bCs/>
        </w:rPr>
        <w:t xml:space="preserve">können. </w:t>
      </w:r>
      <w:r w:rsidR="00A17883" w:rsidDel="004667D7">
        <w:rPr>
          <w:bCs/>
        </w:rPr>
        <w:t>Den</w:t>
      </w:r>
      <w:r w:rsidR="00280D18" w:rsidDel="004667D7">
        <w:rPr>
          <w:bCs/>
        </w:rPr>
        <w:t xml:space="preserve"> Bedürfnisse</w:t>
      </w:r>
      <w:r w:rsidR="00A17883" w:rsidDel="004667D7">
        <w:rPr>
          <w:bCs/>
        </w:rPr>
        <w:t>n</w:t>
      </w:r>
      <w:r w:rsidR="00280D18" w:rsidDel="004667D7">
        <w:rPr>
          <w:bCs/>
        </w:rPr>
        <w:t xml:space="preserve"> von Kindern und Jugendlichen</w:t>
      </w:r>
      <w:r w:rsidR="00A17883" w:rsidDel="004667D7">
        <w:rPr>
          <w:bCs/>
        </w:rPr>
        <w:t xml:space="preserve"> ist </w:t>
      </w:r>
      <w:r w:rsidR="00B607D8" w:rsidDel="004667D7">
        <w:rPr>
          <w:bCs/>
        </w:rPr>
        <w:t xml:space="preserve">dabei </w:t>
      </w:r>
      <w:r w:rsidR="00A17883" w:rsidDel="004667D7">
        <w:rPr>
          <w:bCs/>
        </w:rPr>
        <w:t xml:space="preserve">speziell Rechnung zu </w:t>
      </w:r>
      <w:r w:rsidR="00A17883">
        <w:rPr>
          <w:bCs/>
        </w:rPr>
        <w:t>tragen</w:t>
      </w:r>
      <w:r w:rsidR="00750A97">
        <w:rPr>
          <w:bCs/>
        </w:rPr>
        <w:t xml:space="preserve"> (§ 15 Abs. 3 Sozialhilfegesetz/SHG)</w:t>
      </w:r>
      <w:r w:rsidR="00A17883">
        <w:rPr>
          <w:bCs/>
        </w:rPr>
        <w:t>.</w:t>
      </w:r>
    </w:p>
    <w:p w14:paraId="0FB8A2A6" w14:textId="77777777" w:rsidR="007E308D" w:rsidRDefault="007E308D" w:rsidP="007E308D">
      <w:pPr>
        <w:jc w:val="both"/>
        <w:rPr>
          <w:bCs/>
        </w:rPr>
      </w:pPr>
    </w:p>
    <w:p w14:paraId="36084334" w14:textId="2A398EC1" w:rsidR="00837E00" w:rsidRPr="00C44FA4" w:rsidRDefault="00A17883" w:rsidP="008D385A">
      <w:pPr>
        <w:jc w:val="both"/>
      </w:pPr>
      <w:r>
        <w:rPr>
          <w:bCs/>
        </w:rPr>
        <w:t xml:space="preserve">Zur Erfüllung dieses Auftrags </w:t>
      </w:r>
      <w:r w:rsidR="00837E00">
        <w:rPr>
          <w:bCs/>
        </w:rPr>
        <w:t xml:space="preserve">bieten </w:t>
      </w:r>
      <w:r>
        <w:rPr>
          <w:bCs/>
        </w:rPr>
        <w:t xml:space="preserve">die SOD </w:t>
      </w:r>
      <w:r w:rsidR="00837E00">
        <w:rPr>
          <w:bCs/>
        </w:rPr>
        <w:t xml:space="preserve">unterschiedliche </w:t>
      </w:r>
      <w:r w:rsidR="006F4526">
        <w:rPr>
          <w:bCs/>
        </w:rPr>
        <w:t xml:space="preserve">eigene </w:t>
      </w:r>
      <w:r w:rsidR="00837E00">
        <w:rPr>
          <w:bCs/>
        </w:rPr>
        <w:t>Beratungsleistungen an</w:t>
      </w:r>
      <w:r w:rsidR="001667EA">
        <w:rPr>
          <w:bCs/>
        </w:rPr>
        <w:t xml:space="preserve">. Bei Bedarf </w:t>
      </w:r>
      <w:r w:rsidR="00837E00">
        <w:rPr>
          <w:bCs/>
        </w:rPr>
        <w:t xml:space="preserve">vermitteln </w:t>
      </w:r>
      <w:r w:rsidR="006F4526">
        <w:rPr>
          <w:bCs/>
        </w:rPr>
        <w:t>und finanzieren</w:t>
      </w:r>
      <w:r w:rsidR="001667EA">
        <w:rPr>
          <w:bCs/>
        </w:rPr>
        <w:t xml:space="preserve"> die SOD</w:t>
      </w:r>
      <w:r w:rsidR="006F4526">
        <w:rPr>
          <w:bCs/>
        </w:rPr>
        <w:t xml:space="preserve"> im Rahmen der wirtschaftlichen Hilfe </w:t>
      </w:r>
      <w:r w:rsidR="00973EC7">
        <w:rPr>
          <w:bCs/>
        </w:rPr>
        <w:t xml:space="preserve">(WH) </w:t>
      </w:r>
      <w:r w:rsidR="00837E00">
        <w:rPr>
          <w:bCs/>
        </w:rPr>
        <w:t>spezialisierte</w:t>
      </w:r>
      <w:r w:rsidR="00B607D8">
        <w:rPr>
          <w:bCs/>
        </w:rPr>
        <w:t xml:space="preserve"> </w:t>
      </w:r>
      <w:r w:rsidR="006F4526">
        <w:rPr>
          <w:bCs/>
        </w:rPr>
        <w:t>Leistungsangebote Dritter</w:t>
      </w:r>
      <w:r w:rsidR="00837E00">
        <w:rPr>
          <w:bCs/>
        </w:rPr>
        <w:t>. Eines dieser Angebote ist die Sozia</w:t>
      </w:r>
      <w:r>
        <w:rPr>
          <w:bCs/>
        </w:rPr>
        <w:t>lbegleitung für Familien (SOF).</w:t>
      </w:r>
      <w:r w:rsidR="006D1470">
        <w:rPr>
          <w:bCs/>
        </w:rPr>
        <w:t xml:space="preserve"> </w:t>
      </w:r>
      <w:r w:rsidR="004667D7">
        <w:rPr>
          <w:bCs/>
        </w:rPr>
        <w:t xml:space="preserve">Sind die Voraussetzungen von §§ 14 ff. SHG erfüllt, wird </w:t>
      </w:r>
      <w:r w:rsidR="005369A4">
        <w:rPr>
          <w:bCs/>
        </w:rPr>
        <w:t>SOF</w:t>
      </w:r>
      <w:r w:rsidR="004667D7">
        <w:rPr>
          <w:bCs/>
        </w:rPr>
        <w:t xml:space="preserve"> als fördernde</w:t>
      </w:r>
      <w:r w:rsidR="0092404E">
        <w:rPr>
          <w:bCs/>
        </w:rPr>
        <w:t xml:space="preserve"> </w:t>
      </w:r>
      <w:r w:rsidR="007E308D">
        <w:rPr>
          <w:bCs/>
        </w:rPr>
        <w:t>situationsbedingte Leistung</w:t>
      </w:r>
      <w:r w:rsidR="004667D7">
        <w:rPr>
          <w:bCs/>
        </w:rPr>
        <w:t xml:space="preserve"> über die wirtschaftliche Sozialhilfe</w:t>
      </w:r>
      <w:r w:rsidR="007E308D">
        <w:rPr>
          <w:bCs/>
        </w:rPr>
        <w:t xml:space="preserve"> </w:t>
      </w:r>
      <w:r w:rsidR="0092404E">
        <w:rPr>
          <w:bCs/>
        </w:rPr>
        <w:t>finanziert</w:t>
      </w:r>
      <w:r w:rsidR="007E308D">
        <w:rPr>
          <w:bCs/>
        </w:rPr>
        <w:t>.</w:t>
      </w:r>
      <w:r w:rsidR="004667D7" w:rsidRPr="004667D7">
        <w:rPr>
          <w:bCs/>
        </w:rPr>
        <w:t xml:space="preserve"> </w:t>
      </w:r>
    </w:p>
    <w:p w14:paraId="7606EF24" w14:textId="5A991C11" w:rsidR="00C75A43" w:rsidRPr="006E17F2" w:rsidRDefault="009A15A8" w:rsidP="00C75A43">
      <w:pPr>
        <w:pStyle w:val="berschrift1"/>
        <w:spacing w:before="360" w:after="240"/>
        <w:ind w:right="51"/>
        <w:jc w:val="both"/>
      </w:pPr>
      <w:r>
        <w:t>Beschreibung</w:t>
      </w:r>
      <w:r w:rsidR="002442E4">
        <w:t xml:space="preserve"> </w:t>
      </w:r>
      <w:r w:rsidR="006B450B">
        <w:t>SOF</w:t>
      </w:r>
      <w:r w:rsidR="00CB14EC">
        <w:t xml:space="preserve"> und Abgrenzung</w:t>
      </w:r>
    </w:p>
    <w:p w14:paraId="03111C56" w14:textId="71F2EB35" w:rsidR="003E174D" w:rsidRDefault="00C75A43" w:rsidP="003E174D">
      <w:pPr>
        <w:pStyle w:val="Absatz0"/>
        <w:ind w:right="51"/>
        <w:jc w:val="both"/>
      </w:pPr>
      <w:r>
        <w:t xml:space="preserve">SOF ist eine </w:t>
      </w:r>
      <w:r w:rsidR="0014420C" w:rsidRPr="00420A4E">
        <w:t xml:space="preserve">freiwillige, </w:t>
      </w:r>
      <w:r w:rsidRPr="00420A4E">
        <w:t>niederschwellige</w:t>
      </w:r>
      <w:r w:rsidR="0014420C" w:rsidRPr="00420A4E">
        <w:t xml:space="preserve"> und</w:t>
      </w:r>
      <w:r w:rsidRPr="00420A4E">
        <w:t xml:space="preserve"> aufsuchende Begleitung </w:t>
      </w:r>
      <w:r w:rsidR="002442E4" w:rsidRPr="00420A4E">
        <w:t>von</w:t>
      </w:r>
      <w:r w:rsidRPr="00420A4E">
        <w:t xml:space="preserve"> Fam</w:t>
      </w:r>
      <w:r w:rsidR="00795A11" w:rsidRPr="00420A4E">
        <w:t>ilien</w:t>
      </w:r>
      <w:r w:rsidR="00662B91" w:rsidRPr="00420A4E">
        <w:t xml:space="preserve"> in belasteten Lebenssituationen</w:t>
      </w:r>
      <w:r w:rsidR="00662B91">
        <w:t xml:space="preserve">. Die Unterstützung erfolgt direkt im Alltag, </w:t>
      </w:r>
      <w:r w:rsidR="003E174D">
        <w:t xml:space="preserve">indem die </w:t>
      </w:r>
      <w:r w:rsidR="00A80A9E">
        <w:t xml:space="preserve">Begleitpersonen </w:t>
      </w:r>
      <w:r w:rsidR="00662B91">
        <w:t xml:space="preserve">den Eltern </w:t>
      </w:r>
      <w:r w:rsidR="003E174D">
        <w:t>in den vertraglich festgelegten Bereichen aktiv zu</w:t>
      </w:r>
      <w:r w:rsidR="006F4526">
        <w:t>r</w:t>
      </w:r>
      <w:r w:rsidR="003E174D">
        <w:t xml:space="preserve"> Hand gehen</w:t>
      </w:r>
      <w:r w:rsidR="00662B91">
        <w:t xml:space="preserve">. </w:t>
      </w:r>
      <w:r w:rsidR="006F4526">
        <w:t>Es wird praktische</w:t>
      </w:r>
      <w:r w:rsidR="003E174D">
        <w:t xml:space="preserve"> Hilfe zur Selbsthilfe</w:t>
      </w:r>
      <w:r w:rsidR="006F4526">
        <w:t xml:space="preserve"> geleistet</w:t>
      </w:r>
      <w:r w:rsidR="005369A4">
        <w:t>.</w:t>
      </w:r>
    </w:p>
    <w:p w14:paraId="4278C437" w14:textId="77777777" w:rsidR="004612E7" w:rsidRDefault="004612E7" w:rsidP="003E174D">
      <w:pPr>
        <w:pStyle w:val="Absatz0"/>
        <w:ind w:right="51"/>
        <w:jc w:val="both"/>
      </w:pPr>
    </w:p>
    <w:p w14:paraId="2E0C5BEF" w14:textId="307778BD" w:rsidR="004612E7" w:rsidRDefault="004612E7" w:rsidP="004612E7">
      <w:pPr>
        <w:pStyle w:val="Absatz0"/>
        <w:ind w:right="51"/>
        <w:jc w:val="both"/>
      </w:pPr>
      <w:r>
        <w:t xml:space="preserve">Damit SOF im Einzelfall indiziert ist, muss </w:t>
      </w:r>
      <w:r w:rsidR="00836505">
        <w:t xml:space="preserve">erwartet </w:t>
      </w:r>
      <w:r w:rsidR="000F28FD">
        <w:t xml:space="preserve">werden können, dass </w:t>
      </w:r>
      <w:r w:rsidR="00CE2D8C">
        <w:t xml:space="preserve">der Einsatz der </w:t>
      </w:r>
      <w:r w:rsidR="00A80A9E">
        <w:t xml:space="preserve">Begleitpersonen </w:t>
      </w:r>
      <w:r>
        <w:t>die Familiensituation</w:t>
      </w:r>
      <w:r w:rsidR="00614D39">
        <w:t xml:space="preserve"> stabilisieren und soweit möglich verbessern wird. </w:t>
      </w:r>
    </w:p>
    <w:p w14:paraId="2B2FA429" w14:textId="479AFDCC" w:rsidR="004612E7" w:rsidRDefault="004612E7" w:rsidP="004612E7">
      <w:pPr>
        <w:pStyle w:val="Absatz0"/>
        <w:ind w:right="51"/>
        <w:jc w:val="both"/>
      </w:pPr>
    </w:p>
    <w:p w14:paraId="67910715" w14:textId="2C03F2B6" w:rsidR="00614D39" w:rsidRDefault="00614D39" w:rsidP="00614D39">
      <w:pPr>
        <w:pStyle w:val="Absatz0"/>
        <w:ind w:right="51"/>
        <w:jc w:val="both"/>
      </w:pPr>
      <w:r>
        <w:t>SOF kann insbesondere bei einer oder mehreren der folgenden Ausgangslagen indiziert sein</w:t>
      </w:r>
      <w:r w:rsidR="006E214A">
        <w:t>.</w:t>
      </w:r>
    </w:p>
    <w:p w14:paraId="41C9AF55" w14:textId="23C9EB45" w:rsidR="00614D39" w:rsidRPr="00344F7A" w:rsidRDefault="00614D39" w:rsidP="00614D39">
      <w:pPr>
        <w:numPr>
          <w:ilvl w:val="1"/>
          <w:numId w:val="21"/>
        </w:numPr>
        <w:tabs>
          <w:tab w:val="clear" w:pos="1033"/>
          <w:tab w:val="left" w:pos="426"/>
          <w:tab w:val="left" w:pos="8829"/>
        </w:tabs>
        <w:spacing w:before="90"/>
        <w:ind w:left="435" w:right="51" w:hanging="435"/>
        <w:jc w:val="both"/>
        <w:rPr>
          <w:rFonts w:eastAsia="Arial Unicode MS"/>
        </w:rPr>
      </w:pPr>
      <w:r>
        <w:rPr>
          <w:rFonts w:eastAsia="Arial Unicode MS"/>
        </w:rPr>
        <w:t xml:space="preserve">Die Eltern (oder ein Elternteil) sind aufgrund einer psychischen oder physischen Beeinträchtigung resp. eines Erschöpfungszustandes </w:t>
      </w:r>
      <w:r w:rsidRPr="00646064">
        <w:rPr>
          <w:rFonts w:eastAsia="Arial Unicode MS"/>
        </w:rPr>
        <w:t>punktuell</w:t>
      </w:r>
      <w:r>
        <w:rPr>
          <w:rFonts w:eastAsia="Arial Unicode MS"/>
        </w:rPr>
        <w:t xml:space="preserve"> nicht in der Lage, ihre Kinder ausreichend zu</w:t>
      </w:r>
      <w:r w:rsidR="005369A4">
        <w:rPr>
          <w:rFonts w:eastAsia="Arial Unicode MS"/>
        </w:rPr>
        <w:t xml:space="preserve"> betreuen oder zu</w:t>
      </w:r>
      <w:r>
        <w:rPr>
          <w:rFonts w:eastAsia="Arial Unicode MS"/>
        </w:rPr>
        <w:t xml:space="preserve"> versorgen.</w:t>
      </w:r>
    </w:p>
    <w:p w14:paraId="71582FA2" w14:textId="77777777" w:rsidR="00614D39" w:rsidRPr="00344F7A" w:rsidRDefault="00614D39" w:rsidP="00614D39">
      <w:pPr>
        <w:numPr>
          <w:ilvl w:val="1"/>
          <w:numId w:val="21"/>
        </w:numPr>
        <w:tabs>
          <w:tab w:val="clear" w:pos="1033"/>
          <w:tab w:val="left" w:pos="426"/>
          <w:tab w:val="left" w:pos="8829"/>
        </w:tabs>
        <w:spacing w:before="90"/>
        <w:ind w:left="435" w:right="51" w:hanging="435"/>
        <w:jc w:val="both"/>
        <w:rPr>
          <w:rFonts w:eastAsia="Arial Unicode MS"/>
        </w:rPr>
      </w:pPr>
      <w:r>
        <w:rPr>
          <w:rFonts w:eastAsia="Arial Unicode MS"/>
        </w:rPr>
        <w:t>Die Eltern sind mit der Bewältigung des Alltags so stark überfordert, dass die innerfamiliären Beziehungen – insbesondere zu den Kindern - darunter leiden und/oder sich die Familie zunehmend isoliert und wichtige Termine nicht wahrnimmt.</w:t>
      </w:r>
    </w:p>
    <w:p w14:paraId="5F285F4C" w14:textId="77777777" w:rsidR="00614D39" w:rsidRPr="00CE2D8C" w:rsidRDefault="00614D39" w:rsidP="00614D39">
      <w:pPr>
        <w:numPr>
          <w:ilvl w:val="1"/>
          <w:numId w:val="21"/>
        </w:numPr>
        <w:tabs>
          <w:tab w:val="clear" w:pos="1033"/>
          <w:tab w:val="left" w:pos="426"/>
          <w:tab w:val="left" w:pos="8829"/>
        </w:tabs>
        <w:spacing w:before="90"/>
        <w:ind w:left="435" w:right="51" w:hanging="435"/>
        <w:jc w:val="both"/>
        <w:rPr>
          <w:rFonts w:eastAsia="Arial Unicode MS"/>
        </w:rPr>
      </w:pPr>
      <w:r>
        <w:rPr>
          <w:rFonts w:eastAsia="Arial Unicode MS"/>
        </w:rPr>
        <w:t>Die Eltern sind wenig vertraut mit dem schweizerischen Bildungssystem und den hiesigen Gepflogenheiten, was sich negativ auf ihre</w:t>
      </w:r>
      <w:r w:rsidRPr="00CE2D8C">
        <w:rPr>
          <w:rFonts w:eastAsia="Arial Unicode MS"/>
        </w:rPr>
        <w:t xml:space="preserve"> soziale und berufliche Integration auswirkt. </w:t>
      </w:r>
    </w:p>
    <w:p w14:paraId="2ADCD3C8" w14:textId="77777777" w:rsidR="00614D39" w:rsidRPr="00560FEB" w:rsidRDefault="00614D39" w:rsidP="00614D39">
      <w:pPr>
        <w:numPr>
          <w:ilvl w:val="1"/>
          <w:numId w:val="21"/>
        </w:numPr>
        <w:tabs>
          <w:tab w:val="clear" w:pos="1033"/>
          <w:tab w:val="left" w:pos="426"/>
          <w:tab w:val="left" w:pos="8829"/>
        </w:tabs>
        <w:spacing w:before="90"/>
        <w:ind w:left="435" w:right="51" w:hanging="435"/>
        <w:jc w:val="both"/>
        <w:rPr>
          <w:rFonts w:eastAsia="Arial Unicode MS"/>
        </w:rPr>
      </w:pPr>
      <w:r w:rsidRPr="00560FEB">
        <w:rPr>
          <w:rFonts w:eastAsia="Arial Unicode MS"/>
        </w:rPr>
        <w:t>Die Familie ist sozial isoliert.</w:t>
      </w:r>
    </w:p>
    <w:p w14:paraId="5E7492C8" w14:textId="163AB91E" w:rsidR="00614D39" w:rsidRDefault="00614D39">
      <w:r>
        <w:br w:type="page"/>
      </w:r>
    </w:p>
    <w:p w14:paraId="65DC5F5B" w14:textId="77777777" w:rsidR="00614D39" w:rsidRDefault="00614D39" w:rsidP="004612E7">
      <w:pPr>
        <w:pStyle w:val="Absatz0"/>
        <w:ind w:right="51"/>
        <w:jc w:val="both"/>
      </w:pPr>
    </w:p>
    <w:p w14:paraId="558B7BFA" w14:textId="1F8CC26B" w:rsidR="00614D39" w:rsidRDefault="00614D39" w:rsidP="00614D39">
      <w:pPr>
        <w:pStyle w:val="berschrift2"/>
      </w:pPr>
      <w:r>
        <w:t>Abgrenzung zum Kindesschutz</w:t>
      </w:r>
      <w:r w:rsidR="00A31472">
        <w:t>, insbesondere zur Sozialpädagogischen Familienbegleitung (SPF)</w:t>
      </w:r>
    </w:p>
    <w:p w14:paraId="37EF603E" w14:textId="2C18E8F5" w:rsidR="00614D39" w:rsidRDefault="00614D39" w:rsidP="003E174D">
      <w:pPr>
        <w:pStyle w:val="Absatz0"/>
        <w:ind w:right="51"/>
        <w:jc w:val="both"/>
      </w:pPr>
      <w:r>
        <w:t xml:space="preserve">SOF </w:t>
      </w:r>
      <w:r w:rsidR="00836505">
        <w:t xml:space="preserve">zielt darauf ab, </w:t>
      </w:r>
      <w:r>
        <w:t xml:space="preserve">das Familiensystem zu stützen, </w:t>
      </w:r>
      <w:r w:rsidR="00836505">
        <w:t>das Vertrauen der begleiteten Familien in ihre Selbstwirksamkeit zu stärken und ihre Alltags- und Sozialkompetenzen zu fördern.</w:t>
      </w:r>
      <w:r>
        <w:t xml:space="preserve"> Damit ist </w:t>
      </w:r>
      <w:r w:rsidRPr="00420A4E">
        <w:rPr>
          <w:b/>
        </w:rPr>
        <w:t>SOF</w:t>
      </w:r>
      <w:r>
        <w:t xml:space="preserve"> </w:t>
      </w:r>
      <w:r w:rsidR="005369A4">
        <w:t xml:space="preserve">eine </w:t>
      </w:r>
      <w:r>
        <w:t xml:space="preserve">in hohem Masse </w:t>
      </w:r>
      <w:r w:rsidRPr="00420A4E">
        <w:rPr>
          <w:b/>
        </w:rPr>
        <w:t>präventive Hilfe</w:t>
      </w:r>
      <w:r>
        <w:t>. Sie wirkt negativen Entwicklungen entgegen, welche mittelfristig zu einer Beeinträchtigung des Kindeswohls führen könnten.</w:t>
      </w:r>
    </w:p>
    <w:p w14:paraId="02AF0468" w14:textId="77777777" w:rsidR="00614D39" w:rsidRDefault="00614D39" w:rsidP="003E174D">
      <w:pPr>
        <w:pStyle w:val="Absatz0"/>
        <w:ind w:right="51"/>
        <w:jc w:val="both"/>
      </w:pPr>
    </w:p>
    <w:p w14:paraId="2928824F" w14:textId="35E1C22B" w:rsidR="00614D39" w:rsidRDefault="004612E7" w:rsidP="003E174D">
      <w:pPr>
        <w:pStyle w:val="Absatz0"/>
        <w:ind w:right="51"/>
        <w:jc w:val="both"/>
      </w:pPr>
      <w:r>
        <w:t xml:space="preserve">Liegt </w:t>
      </w:r>
      <w:r w:rsidR="00836505">
        <w:t xml:space="preserve">hingegen </w:t>
      </w:r>
      <w:r>
        <w:t xml:space="preserve">bereits eine </w:t>
      </w:r>
      <w:r w:rsidRPr="00420A4E">
        <w:rPr>
          <w:b/>
        </w:rPr>
        <w:t>Kindeswohlgefährdung</w:t>
      </w:r>
      <w:r>
        <w:t xml:space="preserve"> vor,</w:t>
      </w:r>
      <w:r w:rsidR="00614D39">
        <w:t xml:space="preserve"> insbesondere weil es den Eltern an den nötigen Erziehungskompetenzen fehlt,</w:t>
      </w:r>
      <w:r>
        <w:t xml:space="preserve"> reicht SOF </w:t>
      </w:r>
      <w:r w:rsidR="00614D39">
        <w:t xml:space="preserve">als Massnahme </w:t>
      </w:r>
      <w:r>
        <w:t>nicht aus</w:t>
      </w:r>
      <w:r w:rsidR="00614D39">
        <w:t xml:space="preserve">. Vielmehr bedarf es einer </w:t>
      </w:r>
      <w:r w:rsidR="005369A4" w:rsidRPr="005369A4">
        <w:rPr>
          <w:b/>
        </w:rPr>
        <w:t xml:space="preserve">ergänzenden Hilfe zur Erziehung </w:t>
      </w:r>
      <w:r w:rsidR="00EC0094">
        <w:rPr>
          <w:b/>
        </w:rPr>
        <w:t>(</w:t>
      </w:r>
      <w:proofErr w:type="spellStart"/>
      <w:r w:rsidR="00EC0094">
        <w:rPr>
          <w:b/>
        </w:rPr>
        <w:t>eHE</w:t>
      </w:r>
      <w:proofErr w:type="spellEnd"/>
      <w:r w:rsidR="00EC0094">
        <w:rPr>
          <w:b/>
        </w:rPr>
        <w:t xml:space="preserve">) </w:t>
      </w:r>
      <w:r w:rsidR="005369A4" w:rsidRPr="005369A4">
        <w:rPr>
          <w:b/>
        </w:rPr>
        <w:t>gemäss Kinder- und Jugendheimgesetz</w:t>
      </w:r>
      <w:r w:rsidR="00420A4E">
        <w:rPr>
          <w:b/>
        </w:rPr>
        <w:t>/KJG</w:t>
      </w:r>
      <w:r w:rsidR="005369A4">
        <w:t xml:space="preserve"> (z.B. einer SPF)</w:t>
      </w:r>
      <w:r w:rsidR="006E214A">
        <w:t>.</w:t>
      </w:r>
    </w:p>
    <w:p w14:paraId="18F67811" w14:textId="77777777" w:rsidR="006E214A" w:rsidRDefault="006E214A" w:rsidP="0052526B">
      <w:pPr>
        <w:pStyle w:val="Absatz0"/>
        <w:ind w:right="51"/>
        <w:jc w:val="both"/>
      </w:pPr>
    </w:p>
    <w:p w14:paraId="05303D9B" w14:textId="03922733" w:rsidR="0052526B" w:rsidRDefault="0052526B" w:rsidP="0052526B">
      <w:pPr>
        <w:pStyle w:val="Absatz0"/>
        <w:ind w:right="51"/>
        <w:jc w:val="both"/>
      </w:pPr>
      <w:r>
        <w:t xml:space="preserve">Die </w:t>
      </w:r>
      <w:r w:rsidRPr="00420A4E">
        <w:rPr>
          <w:b/>
        </w:rPr>
        <w:t>Finanzierung</w:t>
      </w:r>
      <w:r>
        <w:t xml:space="preserve"> von </w:t>
      </w:r>
      <w:proofErr w:type="spellStart"/>
      <w:r>
        <w:t>eHE</w:t>
      </w:r>
      <w:proofErr w:type="spellEnd"/>
      <w:r>
        <w:t xml:space="preserve"> erfolgt </w:t>
      </w:r>
      <w:r w:rsidRPr="00420A4E">
        <w:rPr>
          <w:b/>
        </w:rPr>
        <w:t xml:space="preserve">gestützt auf das KJG durch den Kanton </w:t>
      </w:r>
      <w:r>
        <w:t xml:space="preserve">und nicht wie SOF gestützt auf das SHG durch die SOD. </w:t>
      </w:r>
    </w:p>
    <w:p w14:paraId="3A95C0BE" w14:textId="77777777" w:rsidR="00614D39" w:rsidRDefault="00614D39" w:rsidP="003E174D">
      <w:pPr>
        <w:pStyle w:val="Absatz0"/>
        <w:ind w:right="51"/>
        <w:jc w:val="both"/>
      </w:pPr>
    </w:p>
    <w:p w14:paraId="455E0936" w14:textId="4BFD450E" w:rsidR="00775C03" w:rsidRPr="005369A4" w:rsidRDefault="00775C03" w:rsidP="003E174D">
      <w:pPr>
        <w:pStyle w:val="Absatz0"/>
        <w:ind w:right="51"/>
        <w:jc w:val="both"/>
        <w:rPr>
          <w:b/>
        </w:rPr>
      </w:pPr>
      <w:r w:rsidRPr="005369A4">
        <w:rPr>
          <w:b/>
        </w:rPr>
        <w:t>Abgrenzung SOF</w:t>
      </w:r>
      <w:r w:rsidR="002F511E" w:rsidRPr="005369A4">
        <w:rPr>
          <w:b/>
        </w:rPr>
        <w:t xml:space="preserve"> </w:t>
      </w:r>
      <w:r w:rsidR="005369A4" w:rsidRPr="005369A4">
        <w:rPr>
          <w:b/>
        </w:rPr>
        <w:t>- SPF</w:t>
      </w:r>
    </w:p>
    <w:p w14:paraId="0CF6EBB4" w14:textId="77777777" w:rsidR="00775C03" w:rsidRDefault="00775C03" w:rsidP="003E174D">
      <w:pPr>
        <w:pStyle w:val="Absatz0"/>
        <w:ind w:right="51"/>
        <w:jc w:val="both"/>
      </w:pPr>
    </w:p>
    <w:tbl>
      <w:tblPr>
        <w:tblStyle w:val="Tabellenraster"/>
        <w:tblW w:w="0" w:type="auto"/>
        <w:tblLook w:val="04A0" w:firstRow="1" w:lastRow="0" w:firstColumn="1" w:lastColumn="0" w:noHBand="0" w:noVBand="1"/>
      </w:tblPr>
      <w:tblGrid>
        <w:gridCol w:w="3020"/>
        <w:gridCol w:w="3020"/>
        <w:gridCol w:w="3021"/>
      </w:tblGrid>
      <w:tr w:rsidR="002D5080" w14:paraId="0017B25A" w14:textId="77777777" w:rsidTr="002D5080">
        <w:tc>
          <w:tcPr>
            <w:tcW w:w="3020" w:type="dxa"/>
          </w:tcPr>
          <w:p w14:paraId="35DAA83F" w14:textId="621A1692" w:rsidR="002D5080" w:rsidRDefault="002D5080" w:rsidP="003E174D">
            <w:pPr>
              <w:pStyle w:val="Absatz0"/>
              <w:ind w:right="51"/>
              <w:jc w:val="both"/>
            </w:pPr>
          </w:p>
        </w:tc>
        <w:tc>
          <w:tcPr>
            <w:tcW w:w="3020" w:type="dxa"/>
          </w:tcPr>
          <w:p w14:paraId="20754DA2" w14:textId="7F5A0C71" w:rsidR="002D5080" w:rsidRDefault="002D5080" w:rsidP="003E174D">
            <w:pPr>
              <w:pStyle w:val="Absatz0"/>
              <w:ind w:right="51"/>
              <w:jc w:val="both"/>
            </w:pPr>
            <w:r>
              <w:t>SOF</w:t>
            </w:r>
          </w:p>
        </w:tc>
        <w:tc>
          <w:tcPr>
            <w:tcW w:w="3021" w:type="dxa"/>
          </w:tcPr>
          <w:p w14:paraId="4F300409" w14:textId="2E94B5FE" w:rsidR="002D5080" w:rsidRDefault="002D5080" w:rsidP="003E174D">
            <w:pPr>
              <w:pStyle w:val="Absatz0"/>
              <w:ind w:right="51"/>
              <w:jc w:val="both"/>
            </w:pPr>
            <w:r>
              <w:t>SPF</w:t>
            </w:r>
          </w:p>
        </w:tc>
      </w:tr>
      <w:tr w:rsidR="002D5080" w14:paraId="2DA95A5F" w14:textId="77777777" w:rsidTr="002D5080">
        <w:tc>
          <w:tcPr>
            <w:tcW w:w="3020" w:type="dxa"/>
          </w:tcPr>
          <w:p w14:paraId="2821DB72" w14:textId="495EBD36" w:rsidR="002D5080" w:rsidRPr="00775C03" w:rsidRDefault="00775C03" w:rsidP="003E174D">
            <w:pPr>
              <w:pStyle w:val="Absatz0"/>
              <w:ind w:right="51"/>
              <w:jc w:val="both"/>
            </w:pPr>
            <w:r>
              <w:t xml:space="preserve">Im </w:t>
            </w:r>
            <w:r w:rsidRPr="00775C03">
              <w:t>Fokus der Hilfe</w:t>
            </w:r>
            <w:r>
              <w:t xml:space="preserve"> steht:</w:t>
            </w:r>
          </w:p>
        </w:tc>
        <w:tc>
          <w:tcPr>
            <w:tcW w:w="3020" w:type="dxa"/>
          </w:tcPr>
          <w:p w14:paraId="28CAC480" w14:textId="77777777" w:rsidR="002D5080" w:rsidRPr="002D5080" w:rsidRDefault="002D5080" w:rsidP="003E174D">
            <w:pPr>
              <w:pStyle w:val="Absatz0"/>
              <w:ind w:right="51"/>
              <w:jc w:val="both"/>
              <w:rPr>
                <w:b/>
              </w:rPr>
            </w:pPr>
            <w:r w:rsidRPr="002D5080">
              <w:rPr>
                <w:b/>
              </w:rPr>
              <w:t>Alltagsbewältigung</w:t>
            </w:r>
          </w:p>
          <w:p w14:paraId="35EC7976" w14:textId="596803CC" w:rsidR="002D5080" w:rsidRDefault="002D5080" w:rsidP="00817F23">
            <w:pPr>
              <w:pStyle w:val="Absatz0"/>
              <w:ind w:right="51"/>
              <w:jc w:val="both"/>
            </w:pPr>
            <w:r>
              <w:t xml:space="preserve">Die Eltern verfügen grundsätzlich über gute Erziehungskompetenzen. Diese </w:t>
            </w:r>
            <w:r w:rsidR="00775C03">
              <w:t>werden j</w:t>
            </w:r>
            <w:r>
              <w:t xml:space="preserve">edoch </w:t>
            </w:r>
            <w:r w:rsidR="00FE293F">
              <w:t>durch</w:t>
            </w:r>
            <w:r w:rsidR="00775C03">
              <w:t xml:space="preserve"> eine Überforderung oder </w:t>
            </w:r>
            <w:r>
              <w:t>Überlastung</w:t>
            </w:r>
            <w:r w:rsidR="00775C03">
              <w:t xml:space="preserve"> </w:t>
            </w:r>
            <w:r w:rsidR="00817F23">
              <w:t xml:space="preserve">im Alltag </w:t>
            </w:r>
            <w:r w:rsidR="00FE293F">
              <w:t>überlagert</w:t>
            </w:r>
            <w:r w:rsidR="00775C03">
              <w:t>.</w:t>
            </w:r>
            <w:r w:rsidR="00550CE2">
              <w:t xml:space="preserve"> SOF </w:t>
            </w:r>
            <w:r w:rsidR="00FE293F">
              <w:t>entlastet die Eltern</w:t>
            </w:r>
            <w:r w:rsidR="00817F23">
              <w:t xml:space="preserve"> dort, wo es nötig ist,</w:t>
            </w:r>
            <w:r w:rsidR="00FE293F">
              <w:t xml:space="preserve"> und befähigt sie zur Bewältigung </w:t>
            </w:r>
            <w:r w:rsidR="00836505">
              <w:t>der</w:t>
            </w:r>
            <w:r w:rsidR="00FE293F">
              <w:t xml:space="preserve"> praktischen Herausforderungen im </w:t>
            </w:r>
            <w:r w:rsidR="00817F23">
              <w:t>Familiena</w:t>
            </w:r>
            <w:r w:rsidR="00FE293F">
              <w:t>lltag.</w:t>
            </w:r>
          </w:p>
        </w:tc>
        <w:tc>
          <w:tcPr>
            <w:tcW w:w="3021" w:type="dxa"/>
          </w:tcPr>
          <w:p w14:paraId="62BF1817" w14:textId="77777777" w:rsidR="002D5080" w:rsidRDefault="00775C03" w:rsidP="003E174D">
            <w:pPr>
              <w:pStyle w:val="Absatz0"/>
              <w:ind w:right="51"/>
              <w:jc w:val="both"/>
              <w:rPr>
                <w:b/>
              </w:rPr>
            </w:pPr>
            <w:r w:rsidRPr="00775C03">
              <w:rPr>
                <w:b/>
              </w:rPr>
              <w:t>Erziehungskompetenzen der Eltern</w:t>
            </w:r>
          </w:p>
          <w:p w14:paraId="4BFC6B33" w14:textId="76974EE6" w:rsidR="00775C03" w:rsidRPr="00775C03" w:rsidRDefault="00775C03" w:rsidP="00D01A17">
            <w:pPr>
              <w:pStyle w:val="Absatz0"/>
              <w:ind w:right="51"/>
              <w:jc w:val="both"/>
            </w:pPr>
            <w:r>
              <w:t xml:space="preserve">Um </w:t>
            </w:r>
            <w:r w:rsidR="00550CE2">
              <w:t>das Kindeswohl zu sichern</w:t>
            </w:r>
            <w:r w:rsidR="00FE293F">
              <w:t xml:space="preserve"> oder wiederherzustellen</w:t>
            </w:r>
            <w:r w:rsidR="00550CE2">
              <w:t xml:space="preserve">, </w:t>
            </w:r>
            <w:r w:rsidR="00FE293F">
              <w:t>arbeitet SPF</w:t>
            </w:r>
            <w:r w:rsidR="00550CE2">
              <w:t xml:space="preserve"> mit den Eltern </w:t>
            </w:r>
            <w:r w:rsidR="00D01A17">
              <w:t>auf</w:t>
            </w:r>
            <w:r w:rsidR="00836505">
              <w:t xml:space="preserve"> Erziehungs</w:t>
            </w:r>
            <w:r w:rsidR="00CE7005">
              <w:t>methoden</w:t>
            </w:r>
            <w:r w:rsidR="00D01A17">
              <w:t xml:space="preserve"> hin</w:t>
            </w:r>
            <w:r w:rsidR="00CE7005">
              <w:t>, we</w:t>
            </w:r>
            <w:r w:rsidR="00FE293F">
              <w:t>lche</w:t>
            </w:r>
            <w:r w:rsidR="00550CE2">
              <w:t xml:space="preserve"> </w:t>
            </w:r>
            <w:r w:rsidR="00CE7005">
              <w:t>den</w:t>
            </w:r>
            <w:r w:rsidR="00550CE2">
              <w:t xml:space="preserve"> Bedürfnisse</w:t>
            </w:r>
            <w:r w:rsidR="00CE7005">
              <w:t>n</w:t>
            </w:r>
            <w:r w:rsidR="00550CE2">
              <w:t xml:space="preserve"> ihres Kindes</w:t>
            </w:r>
            <w:r w:rsidR="00CE7005">
              <w:t xml:space="preserve"> Rechnung tragen u</w:t>
            </w:r>
            <w:r w:rsidR="00550CE2">
              <w:t>nd</w:t>
            </w:r>
            <w:r w:rsidR="00CE7005">
              <w:t xml:space="preserve"> deren gesunde Entwicklung </w:t>
            </w:r>
            <w:proofErr w:type="spellStart"/>
            <w:r w:rsidR="00CE7005">
              <w:t>fö</w:t>
            </w:r>
            <w:r w:rsidR="00550CE2">
              <w:t>dern</w:t>
            </w:r>
            <w:proofErr w:type="spellEnd"/>
            <w:r w:rsidR="00550CE2">
              <w:t>.</w:t>
            </w:r>
          </w:p>
        </w:tc>
      </w:tr>
    </w:tbl>
    <w:p w14:paraId="40DD9E4F" w14:textId="77777777" w:rsidR="00817F23" w:rsidRDefault="00817F23" w:rsidP="003E174D">
      <w:pPr>
        <w:pStyle w:val="Absatz0"/>
        <w:ind w:right="51"/>
        <w:jc w:val="both"/>
      </w:pPr>
    </w:p>
    <w:p w14:paraId="2FD686CF" w14:textId="70EDAF72" w:rsidR="0014420C" w:rsidRDefault="0014420C" w:rsidP="00D01A17">
      <w:pPr>
        <w:pStyle w:val="berschrift1"/>
        <w:rPr>
          <w:rFonts w:eastAsia="Arial Unicode MS"/>
        </w:rPr>
      </w:pPr>
      <w:r>
        <w:rPr>
          <w:rFonts w:eastAsia="Arial Unicode MS"/>
        </w:rPr>
        <w:t>Indikationsstellung und -überprüfung</w:t>
      </w:r>
    </w:p>
    <w:p w14:paraId="1D6A752F" w14:textId="5B3F5246" w:rsidR="0014420C" w:rsidRDefault="0014420C" w:rsidP="0014420C">
      <w:pPr>
        <w:tabs>
          <w:tab w:val="left" w:pos="426"/>
          <w:tab w:val="left" w:pos="8829"/>
        </w:tabs>
        <w:spacing w:before="90"/>
        <w:ind w:right="51"/>
        <w:jc w:val="both"/>
        <w:rPr>
          <w:rFonts w:eastAsia="Arial Unicode MS"/>
        </w:rPr>
      </w:pPr>
      <w:r>
        <w:rPr>
          <w:rFonts w:eastAsia="Arial Unicode MS"/>
        </w:rPr>
        <w:t>Die Fallführung stellt d</w:t>
      </w:r>
      <w:r w:rsidRPr="00344F7A">
        <w:rPr>
          <w:rFonts w:eastAsia="Arial Unicode MS"/>
        </w:rPr>
        <w:t xml:space="preserve">ie Indikation und </w:t>
      </w:r>
      <w:r>
        <w:rPr>
          <w:rFonts w:eastAsia="Arial Unicode MS"/>
        </w:rPr>
        <w:t xml:space="preserve">dokumentiert sie </w:t>
      </w:r>
      <w:r w:rsidRPr="00344F7A">
        <w:rPr>
          <w:rFonts w:eastAsia="Arial Unicode MS"/>
        </w:rPr>
        <w:t xml:space="preserve">im </w:t>
      </w:r>
      <w:r>
        <w:rPr>
          <w:rFonts w:eastAsia="Arial Unicode MS"/>
        </w:rPr>
        <w:t>elektronischen Fallführungssystem</w:t>
      </w:r>
      <w:r w:rsidRPr="00344F7A">
        <w:rPr>
          <w:rFonts w:eastAsia="Arial Unicode MS"/>
        </w:rPr>
        <w:t>.</w:t>
      </w:r>
    </w:p>
    <w:p w14:paraId="7FC295AE" w14:textId="2D74DD73" w:rsidR="00560FEB" w:rsidRDefault="0014420C" w:rsidP="00560FEB">
      <w:pPr>
        <w:tabs>
          <w:tab w:val="left" w:pos="426"/>
          <w:tab w:val="left" w:pos="8829"/>
        </w:tabs>
        <w:spacing w:before="90"/>
        <w:ind w:right="51"/>
        <w:jc w:val="both"/>
      </w:pPr>
      <w:r>
        <w:rPr>
          <w:rFonts w:eastAsia="Arial Unicode MS"/>
        </w:rPr>
        <w:t>N</w:t>
      </w:r>
      <w:r w:rsidRPr="00763765">
        <w:rPr>
          <w:rFonts w:eastAsia="Arial Unicode MS"/>
        </w:rPr>
        <w:t>ach</w:t>
      </w:r>
      <w:r>
        <w:rPr>
          <w:rFonts w:eastAsia="Arial Unicode MS"/>
        </w:rPr>
        <w:t xml:space="preserve"> drei Monaten erfolgt eine erste Standortbestimmung, an der anhand der im Einsatzvertrag gesetzten Ziele die Richtigkeit der Indikation überprüft wird. Anschliessend finden die Standortbestimmungen nach Bedarf statt, mindestens jedoch alle </w:t>
      </w:r>
      <w:r w:rsidR="00EC0094">
        <w:rPr>
          <w:rFonts w:eastAsia="Arial Unicode MS"/>
        </w:rPr>
        <w:t xml:space="preserve">sechs </w:t>
      </w:r>
      <w:r>
        <w:rPr>
          <w:rFonts w:eastAsia="Arial Unicode MS"/>
        </w:rPr>
        <w:t>Monate.</w:t>
      </w:r>
      <w:r w:rsidR="00560FEB" w:rsidRPr="00560FEB">
        <w:t xml:space="preserve"> </w:t>
      </w:r>
    </w:p>
    <w:p w14:paraId="31D70682" w14:textId="3BB62E1A" w:rsidR="0014420C" w:rsidRPr="0014420C" w:rsidRDefault="00560FEB" w:rsidP="00D01A17">
      <w:pPr>
        <w:tabs>
          <w:tab w:val="left" w:pos="426"/>
          <w:tab w:val="left" w:pos="8829"/>
        </w:tabs>
        <w:spacing w:before="90"/>
        <w:ind w:right="51"/>
        <w:jc w:val="both"/>
        <w:rPr>
          <w:rFonts w:eastAsia="Arial Unicode MS"/>
        </w:rPr>
      </w:pPr>
      <w:r>
        <w:t>Erscheint</w:t>
      </w:r>
      <w:r w:rsidRPr="00344F7A">
        <w:t xml:space="preserve"> </w:t>
      </w:r>
      <w:r>
        <w:t>das Kindeswohl</w:t>
      </w:r>
      <w:r w:rsidRPr="00344F7A">
        <w:t xml:space="preserve"> aufgrund des Umgangs der Eltern mit den Kindern </w:t>
      </w:r>
      <w:r>
        <w:t>und/</w:t>
      </w:r>
      <w:r w:rsidRPr="00344F7A">
        <w:t xml:space="preserve">oder ihres Allgemeinzustandes </w:t>
      </w:r>
      <w:r>
        <w:t xml:space="preserve">als </w:t>
      </w:r>
      <w:r w:rsidRPr="00344F7A">
        <w:t xml:space="preserve">gefährdet, </w:t>
      </w:r>
      <w:r>
        <w:t xml:space="preserve">ist SOF höchstens in Kombination mit einer </w:t>
      </w:r>
      <w:proofErr w:type="spellStart"/>
      <w:r w:rsidR="00DF11B5">
        <w:t>eHE</w:t>
      </w:r>
      <w:proofErr w:type="spellEnd"/>
      <w:r w:rsidR="00DF11B5">
        <w:t xml:space="preserve"> </w:t>
      </w:r>
      <w:r>
        <w:t>indiziert</w:t>
      </w:r>
      <w:r w:rsidR="00F34669">
        <w:t>, welche über das KJG finanziert wird</w:t>
      </w:r>
      <w:r>
        <w:t>.</w:t>
      </w:r>
    </w:p>
    <w:p w14:paraId="188368EC" w14:textId="7CE9F45F" w:rsidR="00FE293F" w:rsidRDefault="00FE293F" w:rsidP="00FE293F">
      <w:pPr>
        <w:pStyle w:val="berschrift1"/>
      </w:pPr>
      <w:r>
        <w:t>Verträge</w:t>
      </w:r>
      <w:r w:rsidR="007863A3">
        <w:t xml:space="preserve"> und</w:t>
      </w:r>
      <w:r w:rsidR="007863A3" w:rsidRPr="007863A3">
        <w:t xml:space="preserve"> </w:t>
      </w:r>
      <w:r w:rsidR="007863A3">
        <w:t xml:space="preserve">Leistungserbringende </w:t>
      </w:r>
      <w:r w:rsidR="00420A4E">
        <w:t>SOF</w:t>
      </w:r>
    </w:p>
    <w:p w14:paraId="724DBDFE" w14:textId="2D356605" w:rsidR="00CE7005" w:rsidRDefault="00CE7005" w:rsidP="00FE293F">
      <w:pPr>
        <w:pStyle w:val="Absatz0"/>
        <w:jc w:val="both"/>
      </w:pPr>
      <w:r>
        <w:t>Die SOD schliessen mit Leistungserbringenden Rahmenverträge ab</w:t>
      </w:r>
      <w:r w:rsidR="00954110">
        <w:t>.</w:t>
      </w:r>
      <w:r>
        <w:t xml:space="preserve"> </w:t>
      </w:r>
      <w:r w:rsidR="00954110">
        <w:t>In den Rahmenverträgen wird</w:t>
      </w:r>
      <w:r>
        <w:t xml:space="preserve"> unter anderem </w:t>
      </w:r>
      <w:r w:rsidR="00954110">
        <w:t>geregelt</w:t>
      </w:r>
      <w:r>
        <w:t xml:space="preserve">, welche </w:t>
      </w:r>
      <w:r w:rsidR="00954110">
        <w:t xml:space="preserve">Leistungen </w:t>
      </w:r>
      <w:r>
        <w:t xml:space="preserve">zur Verbesserung der in Ziff. 2 beschriebenen Ausganslagen </w:t>
      </w:r>
      <w:r w:rsidR="00954110">
        <w:t>als SOF-Leistungen vereinbart werden können</w:t>
      </w:r>
      <w:r>
        <w:t>.</w:t>
      </w:r>
    </w:p>
    <w:p w14:paraId="7A850067" w14:textId="77777777" w:rsidR="00CE7005" w:rsidRDefault="00CE7005" w:rsidP="00FE293F">
      <w:pPr>
        <w:pStyle w:val="Absatz0"/>
        <w:jc w:val="both"/>
      </w:pPr>
    </w:p>
    <w:p w14:paraId="3F2E1B85" w14:textId="175E159C" w:rsidR="00FE293F" w:rsidRDefault="00FE293F" w:rsidP="00FE293F">
      <w:pPr>
        <w:pStyle w:val="Absatz0"/>
        <w:jc w:val="both"/>
      </w:pPr>
      <w:r>
        <w:lastRenderedPageBreak/>
        <w:t xml:space="preserve">Die Fallführenden arbeiten nur mit Leistungserbringenden zusammen, die über einen </w:t>
      </w:r>
      <w:r w:rsidRPr="00420A4E">
        <w:rPr>
          <w:b/>
        </w:rPr>
        <w:t>Rahmenvertrag</w:t>
      </w:r>
      <w:r>
        <w:t xml:space="preserve"> mit den SOD verfügen.</w:t>
      </w:r>
      <w:r w:rsidR="00AC4079">
        <w:t xml:space="preserve"> </w:t>
      </w:r>
      <w:r w:rsidR="00954110">
        <w:t xml:space="preserve">Im </w:t>
      </w:r>
      <w:r w:rsidR="00D01A17">
        <w:t xml:space="preserve">individuellen </w:t>
      </w:r>
      <w:r w:rsidR="00954110" w:rsidRPr="00420A4E">
        <w:rPr>
          <w:b/>
        </w:rPr>
        <w:t>Einsatzvertrag</w:t>
      </w:r>
      <w:r w:rsidR="00954110">
        <w:t xml:space="preserve"> vereinbaren die Eltern </w:t>
      </w:r>
      <w:r w:rsidR="007863A3">
        <w:t>und die Fallführung SOD mit der</w:t>
      </w:r>
      <w:r w:rsidR="00954110">
        <w:t xml:space="preserve"> Leistungserbringerin/de</w:t>
      </w:r>
      <w:r w:rsidR="007863A3">
        <w:t>m</w:t>
      </w:r>
      <w:r w:rsidR="00954110">
        <w:t xml:space="preserve"> Le</w:t>
      </w:r>
      <w:r w:rsidR="007863A3">
        <w:t xml:space="preserve">istungserbringerbringer insbesondere die Art und den Umfang der benötigten SOF-Leistungen </w:t>
      </w:r>
      <w:r w:rsidR="00D01A17">
        <w:t xml:space="preserve">gemäss Rahmenvertrag </w:t>
      </w:r>
      <w:r w:rsidR="007863A3">
        <w:t xml:space="preserve">und definieren deren Zielsetzungen. </w:t>
      </w:r>
      <w:r>
        <w:t xml:space="preserve">Der Inhalt des Rahmenvertrags </w:t>
      </w:r>
      <w:r w:rsidR="00420A4E">
        <w:t>ist</w:t>
      </w:r>
      <w:r w:rsidR="007863A3">
        <w:t xml:space="preserve"> </w:t>
      </w:r>
      <w:r>
        <w:t>integrierte</w:t>
      </w:r>
      <w:r w:rsidR="00420A4E">
        <w:t>r</w:t>
      </w:r>
      <w:r>
        <w:t xml:space="preserve"> Bestandteil des</w:t>
      </w:r>
      <w:r w:rsidR="007863A3">
        <w:t xml:space="preserve"> </w:t>
      </w:r>
      <w:r>
        <w:t>Einsatzvertrag</w:t>
      </w:r>
      <w:r w:rsidR="00420A4E">
        <w:t>e</w:t>
      </w:r>
      <w:r>
        <w:t>s</w:t>
      </w:r>
      <w:r w:rsidR="00337894">
        <w:t>.</w:t>
      </w:r>
    </w:p>
    <w:p w14:paraId="6E52FC83" w14:textId="77777777" w:rsidR="00FB46E4" w:rsidRPr="00FB46E4" w:rsidRDefault="00CD1B48" w:rsidP="00A17883">
      <w:pPr>
        <w:pStyle w:val="berschrift1"/>
      </w:pPr>
      <w:r>
        <w:t xml:space="preserve">Finanzierung und </w:t>
      </w:r>
      <w:r w:rsidR="00FB46E4" w:rsidRPr="00A17883">
        <w:t>Ausgabenkompetenz</w:t>
      </w:r>
    </w:p>
    <w:p w14:paraId="2D80F95D" w14:textId="77777777" w:rsidR="00420A4E" w:rsidRDefault="007863A3" w:rsidP="00C66431">
      <w:pPr>
        <w:tabs>
          <w:tab w:val="left" w:pos="426"/>
          <w:tab w:val="left" w:pos="8829"/>
        </w:tabs>
        <w:spacing w:before="90"/>
        <w:ind w:right="51"/>
        <w:jc w:val="both"/>
        <w:rPr>
          <w:rFonts w:eastAsia="Arial Unicode MS"/>
        </w:rPr>
      </w:pPr>
      <w:r>
        <w:rPr>
          <w:rFonts w:eastAsia="Arial Unicode MS"/>
        </w:rPr>
        <w:t xml:space="preserve">SOF </w:t>
      </w:r>
      <w:r w:rsidR="00817F23">
        <w:rPr>
          <w:rFonts w:eastAsia="Arial Unicode MS"/>
        </w:rPr>
        <w:t xml:space="preserve">stellt keine </w:t>
      </w:r>
      <w:proofErr w:type="spellStart"/>
      <w:r w:rsidR="00817F23">
        <w:rPr>
          <w:rFonts w:eastAsia="Arial Unicode MS"/>
        </w:rPr>
        <w:t>eHE</w:t>
      </w:r>
      <w:proofErr w:type="spellEnd"/>
      <w:r w:rsidR="00817F23">
        <w:rPr>
          <w:rFonts w:eastAsia="Arial Unicode MS"/>
        </w:rPr>
        <w:t xml:space="preserve"> dar, weshalb sie nicht über das KJG finanziert wird. </w:t>
      </w:r>
    </w:p>
    <w:p w14:paraId="1B9BF3F4" w14:textId="74C66E0F" w:rsidR="00560FEB" w:rsidRDefault="00420A4E" w:rsidP="00C66431">
      <w:pPr>
        <w:tabs>
          <w:tab w:val="left" w:pos="426"/>
          <w:tab w:val="left" w:pos="8829"/>
        </w:tabs>
        <w:spacing w:before="90"/>
        <w:ind w:right="51"/>
        <w:jc w:val="both"/>
        <w:rPr>
          <w:rFonts w:eastAsia="Arial Unicode MS"/>
        </w:rPr>
      </w:pPr>
      <w:r>
        <w:rPr>
          <w:rFonts w:eastAsia="Arial Unicode MS"/>
        </w:rPr>
        <w:t>SOF</w:t>
      </w:r>
      <w:r w:rsidR="00817F23">
        <w:rPr>
          <w:rFonts w:eastAsia="Arial Unicode MS"/>
        </w:rPr>
        <w:t xml:space="preserve"> wird </w:t>
      </w:r>
      <w:r w:rsidR="00560FEB">
        <w:rPr>
          <w:rFonts w:eastAsia="Arial Unicode MS"/>
        </w:rPr>
        <w:t xml:space="preserve">als </w:t>
      </w:r>
      <w:r w:rsidR="00560FEB" w:rsidRPr="00420A4E">
        <w:rPr>
          <w:rFonts w:eastAsia="Arial Unicode MS"/>
          <w:b/>
        </w:rPr>
        <w:t>fördernde situationsbedingte Leistung</w:t>
      </w:r>
      <w:r w:rsidR="00560FEB">
        <w:rPr>
          <w:rFonts w:eastAsia="Arial Unicode MS"/>
        </w:rPr>
        <w:t xml:space="preserve"> </w:t>
      </w:r>
      <w:r w:rsidR="007863A3">
        <w:rPr>
          <w:rFonts w:eastAsia="Arial Unicode MS"/>
        </w:rPr>
        <w:t xml:space="preserve">über die WH finanziert, </w:t>
      </w:r>
      <w:r w:rsidR="00560FEB">
        <w:rPr>
          <w:rFonts w:eastAsia="Arial Unicode MS"/>
        </w:rPr>
        <w:t>wenn:</w:t>
      </w:r>
    </w:p>
    <w:p w14:paraId="5604CEB2" w14:textId="01A8B2E6" w:rsidR="00560FEB" w:rsidRDefault="00560FEB" w:rsidP="00D01A17">
      <w:pPr>
        <w:pStyle w:val="Listenabsatz"/>
        <w:numPr>
          <w:ilvl w:val="0"/>
          <w:numId w:val="28"/>
        </w:numPr>
        <w:tabs>
          <w:tab w:val="left" w:pos="426"/>
          <w:tab w:val="left" w:pos="8829"/>
        </w:tabs>
        <w:spacing w:before="90"/>
        <w:ind w:right="51"/>
        <w:jc w:val="both"/>
        <w:rPr>
          <w:rFonts w:eastAsia="Arial Unicode MS"/>
        </w:rPr>
      </w:pPr>
      <w:r>
        <w:rPr>
          <w:rFonts w:eastAsia="Arial Unicode MS"/>
        </w:rPr>
        <w:t xml:space="preserve">SOF </w:t>
      </w:r>
      <w:r w:rsidR="00D703CA" w:rsidRPr="00560FEB">
        <w:rPr>
          <w:rFonts w:eastAsia="Arial Unicode MS"/>
        </w:rPr>
        <w:t>fachlich</w:t>
      </w:r>
      <w:r>
        <w:rPr>
          <w:rFonts w:eastAsia="Arial Unicode MS"/>
        </w:rPr>
        <w:t xml:space="preserve"> indiziert ist,</w:t>
      </w:r>
    </w:p>
    <w:p w14:paraId="0CC0FFB4" w14:textId="77777777" w:rsidR="00560FEB" w:rsidRDefault="00560FEB" w:rsidP="00D01A17">
      <w:pPr>
        <w:pStyle w:val="Listenabsatz"/>
        <w:numPr>
          <w:ilvl w:val="0"/>
          <w:numId w:val="28"/>
        </w:numPr>
        <w:tabs>
          <w:tab w:val="left" w:pos="426"/>
          <w:tab w:val="left" w:pos="8829"/>
        </w:tabs>
        <w:spacing w:before="90"/>
        <w:ind w:right="51"/>
        <w:jc w:val="both"/>
        <w:rPr>
          <w:rFonts w:eastAsia="Arial Unicode MS"/>
        </w:rPr>
      </w:pPr>
      <w:r>
        <w:rPr>
          <w:rFonts w:eastAsia="Arial Unicode MS"/>
        </w:rPr>
        <w:t>die Eltern mit SOF und deren Finanzierung über die wirtschaftliche Sozialhilfe einverstanden sind (Freiwilligkeit),</w:t>
      </w:r>
    </w:p>
    <w:p w14:paraId="11BBE04A" w14:textId="4870473E" w:rsidR="00560FEB" w:rsidRDefault="00560FEB" w:rsidP="00560FEB">
      <w:pPr>
        <w:pStyle w:val="Listenabsatz"/>
        <w:numPr>
          <w:ilvl w:val="0"/>
          <w:numId w:val="28"/>
        </w:numPr>
        <w:tabs>
          <w:tab w:val="left" w:pos="426"/>
          <w:tab w:val="left" w:pos="8829"/>
        </w:tabs>
        <w:spacing w:before="90"/>
        <w:ind w:right="51"/>
        <w:jc w:val="both"/>
        <w:rPr>
          <w:rFonts w:eastAsia="Arial Unicode MS"/>
        </w:rPr>
      </w:pPr>
      <w:r>
        <w:rPr>
          <w:rFonts w:eastAsia="Arial Unicode MS"/>
        </w:rPr>
        <w:t xml:space="preserve">keine gleichwertige und kostengünstigere </w:t>
      </w:r>
      <w:r w:rsidRPr="00560FEB">
        <w:rPr>
          <w:rFonts w:eastAsia="Arial Unicode MS"/>
        </w:rPr>
        <w:t>Lösung zur Verfügung steh</w:t>
      </w:r>
      <w:r>
        <w:rPr>
          <w:rFonts w:eastAsia="Arial Unicode MS"/>
        </w:rPr>
        <w:t>t,</w:t>
      </w:r>
      <w:r w:rsidR="007F3284">
        <w:rPr>
          <w:rFonts w:eastAsia="Arial Unicode MS"/>
        </w:rPr>
        <w:t xml:space="preserve"> </w:t>
      </w:r>
      <w:r w:rsidRPr="00560FEB">
        <w:rPr>
          <w:rFonts w:eastAsia="Arial Unicode MS"/>
        </w:rPr>
        <w:t xml:space="preserve">z.B. </w:t>
      </w:r>
      <w:r>
        <w:rPr>
          <w:rFonts w:eastAsia="Arial Unicode MS"/>
        </w:rPr>
        <w:t xml:space="preserve">eine </w:t>
      </w:r>
      <w:r w:rsidRPr="00560FEB">
        <w:rPr>
          <w:rFonts w:eastAsia="Arial Unicode MS"/>
        </w:rPr>
        <w:t>Unterstützung aus dem persönlichen Umfeld der Familie, Entlastung durch Kita- oder Hortbesuch</w:t>
      </w:r>
      <w:r>
        <w:rPr>
          <w:rFonts w:eastAsia="Arial Unicode MS"/>
        </w:rPr>
        <w:t xml:space="preserve"> (Subsidiarität), </w:t>
      </w:r>
    </w:p>
    <w:p w14:paraId="2CDDDB1C" w14:textId="058E2FF9" w:rsidR="00560FEB" w:rsidRPr="00560FEB" w:rsidRDefault="00560FEB" w:rsidP="00560FEB">
      <w:pPr>
        <w:pStyle w:val="Listenabsatz"/>
        <w:numPr>
          <w:ilvl w:val="0"/>
          <w:numId w:val="28"/>
        </w:numPr>
        <w:tabs>
          <w:tab w:val="left" w:pos="426"/>
          <w:tab w:val="left" w:pos="8829"/>
        </w:tabs>
        <w:spacing w:before="90"/>
        <w:ind w:right="51"/>
        <w:jc w:val="both"/>
        <w:rPr>
          <w:rFonts w:eastAsia="Arial Unicode MS"/>
        </w:rPr>
      </w:pPr>
      <w:r>
        <w:rPr>
          <w:rFonts w:eastAsia="Arial Unicode MS"/>
        </w:rPr>
        <w:t>ein Einsatzvertrag mit eine/r Leistungserbringenden mit Rahmenvertrag mit den SOD vorliegt.</w:t>
      </w:r>
    </w:p>
    <w:p w14:paraId="43AB0615" w14:textId="626470AB" w:rsidR="00560FEB" w:rsidRDefault="00560FEB" w:rsidP="00337894">
      <w:pPr>
        <w:pStyle w:val="Listenabsatz"/>
        <w:tabs>
          <w:tab w:val="left" w:pos="426"/>
          <w:tab w:val="left" w:pos="8829"/>
        </w:tabs>
        <w:spacing w:before="90"/>
        <w:ind w:right="51"/>
        <w:jc w:val="both"/>
        <w:rPr>
          <w:rFonts w:eastAsia="Arial Unicode MS"/>
        </w:rPr>
      </w:pPr>
    </w:p>
    <w:p w14:paraId="23433C02" w14:textId="16727311" w:rsidR="00691490" w:rsidRPr="00560FEB" w:rsidRDefault="00691490" w:rsidP="00560FEB">
      <w:pPr>
        <w:tabs>
          <w:tab w:val="left" w:pos="426"/>
          <w:tab w:val="left" w:pos="8829"/>
        </w:tabs>
        <w:spacing w:before="90"/>
        <w:ind w:right="51"/>
        <w:jc w:val="both"/>
        <w:rPr>
          <w:rFonts w:eastAsia="Arial Unicode MS"/>
        </w:rPr>
      </w:pPr>
      <w:r w:rsidRPr="00560FEB">
        <w:rPr>
          <w:rFonts w:eastAsia="Arial Unicode MS"/>
        </w:rPr>
        <w:t xml:space="preserve">Die Kosten </w:t>
      </w:r>
      <w:r w:rsidR="00560FEB">
        <w:rPr>
          <w:rFonts w:eastAsia="Arial Unicode MS"/>
        </w:rPr>
        <w:t>werden</w:t>
      </w:r>
      <w:r w:rsidRPr="00560FEB">
        <w:rPr>
          <w:rFonts w:eastAsia="Arial Unicode MS"/>
        </w:rPr>
        <w:t xml:space="preserve"> unter der </w:t>
      </w:r>
      <w:r w:rsidRPr="00420A4E">
        <w:rPr>
          <w:rFonts w:eastAsia="Arial Unicode MS"/>
          <w:b/>
        </w:rPr>
        <w:t>Leistungsart LA 336</w:t>
      </w:r>
      <w:r w:rsidRPr="00560FEB">
        <w:rPr>
          <w:rFonts w:eastAsia="Arial Unicode MS"/>
        </w:rPr>
        <w:t xml:space="preserve"> verbuch</w:t>
      </w:r>
      <w:r w:rsidR="009017C9">
        <w:rPr>
          <w:rFonts w:eastAsia="Arial Unicode MS"/>
        </w:rPr>
        <w:t>t</w:t>
      </w:r>
      <w:r w:rsidRPr="00560FEB">
        <w:rPr>
          <w:rFonts w:eastAsia="Arial Unicode MS"/>
        </w:rPr>
        <w:t>.</w:t>
      </w:r>
    </w:p>
    <w:p w14:paraId="1C65B6E7" w14:textId="55007FB2" w:rsidR="00CD1B48" w:rsidRDefault="00CD1B48" w:rsidP="00C66431">
      <w:pPr>
        <w:tabs>
          <w:tab w:val="left" w:pos="426"/>
          <w:tab w:val="left" w:pos="8829"/>
        </w:tabs>
        <w:spacing w:before="90"/>
        <w:ind w:right="51"/>
        <w:jc w:val="both"/>
        <w:rPr>
          <w:rFonts w:eastAsia="Arial Unicode MS"/>
          <w:i/>
        </w:rPr>
      </w:pPr>
      <w:r w:rsidRPr="00CD1B48">
        <w:rPr>
          <w:rFonts w:eastAsia="Arial Unicode MS"/>
          <w:i/>
        </w:rPr>
        <w:t>Abgestufte Kompetenz</w:t>
      </w:r>
    </w:p>
    <w:p w14:paraId="0F2FACE1" w14:textId="77777777" w:rsidR="00A63454" w:rsidRPr="00CD1B48" w:rsidRDefault="00A63454" w:rsidP="00C66431">
      <w:pPr>
        <w:tabs>
          <w:tab w:val="left" w:pos="426"/>
          <w:tab w:val="left" w:pos="8829"/>
        </w:tabs>
        <w:spacing w:before="90"/>
        <w:ind w:right="51"/>
        <w:jc w:val="both"/>
        <w:rPr>
          <w:rFonts w:eastAsia="Arial Unicode M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9"/>
        <w:gridCol w:w="1924"/>
        <w:gridCol w:w="1851"/>
        <w:gridCol w:w="1892"/>
        <w:gridCol w:w="1683"/>
        <w:gridCol w:w="1372"/>
      </w:tblGrid>
      <w:tr w:rsidR="00A63454" w:rsidRPr="00A63454" w14:paraId="63C75519" w14:textId="77777777" w:rsidTr="00802C0B">
        <w:tc>
          <w:tcPr>
            <w:tcW w:w="2263" w:type="dxa"/>
            <w:gridSpan w:val="2"/>
          </w:tcPr>
          <w:p w14:paraId="33EDD8C6" w14:textId="5DE881CC" w:rsidR="00A63454" w:rsidRPr="00A63454" w:rsidRDefault="00A63454" w:rsidP="00A63454">
            <w:pPr>
              <w:keepNext/>
              <w:widowControl w:val="0"/>
              <w:tabs>
                <w:tab w:val="left" w:pos="8829"/>
              </w:tabs>
              <w:ind w:right="-193"/>
              <w:jc w:val="both"/>
              <w:rPr>
                <w:b/>
                <w:szCs w:val="22"/>
              </w:rPr>
            </w:pPr>
            <w:r w:rsidRPr="00A63454">
              <w:rPr>
                <w:b/>
                <w:szCs w:val="22"/>
              </w:rPr>
              <w:t>Interventionsgrad</w:t>
            </w:r>
          </w:p>
        </w:tc>
        <w:tc>
          <w:tcPr>
            <w:tcW w:w="1851" w:type="dxa"/>
          </w:tcPr>
          <w:p w14:paraId="46A1EEDC" w14:textId="53C023DD" w:rsidR="00A63454" w:rsidRPr="00A63454" w:rsidRDefault="00A63454" w:rsidP="00A63454">
            <w:pPr>
              <w:keepNext/>
              <w:widowControl w:val="0"/>
              <w:tabs>
                <w:tab w:val="left" w:pos="8829"/>
              </w:tabs>
              <w:ind w:right="-193"/>
              <w:jc w:val="both"/>
              <w:rPr>
                <w:b/>
                <w:szCs w:val="22"/>
              </w:rPr>
            </w:pPr>
            <w:r>
              <w:rPr>
                <w:b/>
                <w:szCs w:val="22"/>
              </w:rPr>
              <w:t>Anzahl Stunden</w:t>
            </w:r>
          </w:p>
        </w:tc>
        <w:tc>
          <w:tcPr>
            <w:tcW w:w="4947" w:type="dxa"/>
            <w:gridSpan w:val="3"/>
          </w:tcPr>
          <w:p w14:paraId="1AA5C01A" w14:textId="66786FD7" w:rsidR="00A63454" w:rsidRPr="00A63454" w:rsidRDefault="00A63454" w:rsidP="00A63454">
            <w:pPr>
              <w:keepNext/>
              <w:widowControl w:val="0"/>
              <w:tabs>
                <w:tab w:val="left" w:pos="8829"/>
              </w:tabs>
              <w:ind w:right="-193"/>
              <w:jc w:val="both"/>
              <w:rPr>
                <w:b/>
                <w:szCs w:val="22"/>
              </w:rPr>
            </w:pPr>
            <w:r>
              <w:rPr>
                <w:b/>
                <w:szCs w:val="22"/>
              </w:rPr>
              <w:t>Ausgabenkompetenz</w:t>
            </w:r>
          </w:p>
        </w:tc>
      </w:tr>
      <w:tr w:rsidR="00366CF2" w:rsidRPr="001E6E57" w14:paraId="1ECA68B7" w14:textId="77777777" w:rsidTr="00A63454">
        <w:tc>
          <w:tcPr>
            <w:tcW w:w="339" w:type="dxa"/>
          </w:tcPr>
          <w:p w14:paraId="7CB5B5D0" w14:textId="1996FE26" w:rsidR="00366CF2" w:rsidRDefault="00366CF2" w:rsidP="00366CF2">
            <w:pPr>
              <w:keepNext/>
              <w:widowControl w:val="0"/>
              <w:tabs>
                <w:tab w:val="left" w:pos="8829"/>
              </w:tabs>
              <w:ind w:right="-193"/>
              <w:jc w:val="both"/>
              <w:rPr>
                <w:szCs w:val="22"/>
              </w:rPr>
            </w:pPr>
            <w:r>
              <w:rPr>
                <w:szCs w:val="22"/>
              </w:rPr>
              <w:t>1</w:t>
            </w:r>
          </w:p>
        </w:tc>
        <w:tc>
          <w:tcPr>
            <w:tcW w:w="1924" w:type="dxa"/>
          </w:tcPr>
          <w:p w14:paraId="620CD8D5" w14:textId="5B32667F" w:rsidR="00366CF2" w:rsidRDefault="00366CF2" w:rsidP="00366CF2">
            <w:pPr>
              <w:keepNext/>
              <w:widowControl w:val="0"/>
              <w:tabs>
                <w:tab w:val="left" w:pos="8829"/>
              </w:tabs>
              <w:ind w:right="-193"/>
              <w:jc w:val="both"/>
              <w:rPr>
                <w:szCs w:val="22"/>
              </w:rPr>
            </w:pPr>
            <w:r>
              <w:rPr>
                <w:szCs w:val="22"/>
              </w:rPr>
              <w:t>Normale Einsätze</w:t>
            </w:r>
          </w:p>
        </w:tc>
        <w:tc>
          <w:tcPr>
            <w:tcW w:w="1851" w:type="dxa"/>
          </w:tcPr>
          <w:p w14:paraId="21E74F5A" w14:textId="37930F39" w:rsidR="00366CF2" w:rsidRDefault="00366CF2" w:rsidP="00366CF2">
            <w:pPr>
              <w:keepNext/>
              <w:widowControl w:val="0"/>
              <w:tabs>
                <w:tab w:val="left" w:pos="8829"/>
              </w:tabs>
              <w:ind w:right="-193"/>
              <w:jc w:val="both"/>
              <w:rPr>
                <w:szCs w:val="22"/>
              </w:rPr>
            </w:pPr>
            <w:r>
              <w:rPr>
                <w:szCs w:val="22"/>
              </w:rPr>
              <w:t>≤ 6h / Woche</w:t>
            </w:r>
          </w:p>
        </w:tc>
        <w:tc>
          <w:tcPr>
            <w:tcW w:w="1892" w:type="dxa"/>
          </w:tcPr>
          <w:p w14:paraId="41DBFFB8" w14:textId="287BCCC0" w:rsidR="00366CF2" w:rsidRDefault="00366CF2" w:rsidP="00366CF2">
            <w:pPr>
              <w:keepNext/>
              <w:widowControl w:val="0"/>
              <w:tabs>
                <w:tab w:val="left" w:pos="8829"/>
              </w:tabs>
              <w:ind w:right="-193"/>
              <w:jc w:val="both"/>
              <w:rPr>
                <w:szCs w:val="22"/>
              </w:rPr>
            </w:pPr>
            <w:r>
              <w:rPr>
                <w:szCs w:val="22"/>
              </w:rPr>
              <w:t>1. bis 6. Monat</w:t>
            </w:r>
          </w:p>
        </w:tc>
        <w:tc>
          <w:tcPr>
            <w:tcW w:w="1683" w:type="dxa"/>
          </w:tcPr>
          <w:p w14:paraId="2FEE0F62" w14:textId="078EF9D8" w:rsidR="00366CF2" w:rsidRPr="00A440D3" w:rsidRDefault="00366CF2" w:rsidP="00366CF2">
            <w:pPr>
              <w:keepNext/>
              <w:widowControl w:val="0"/>
              <w:tabs>
                <w:tab w:val="left" w:pos="8829"/>
              </w:tabs>
              <w:ind w:right="-193"/>
              <w:jc w:val="both"/>
              <w:rPr>
                <w:szCs w:val="22"/>
              </w:rPr>
            </w:pPr>
            <w:r>
              <w:rPr>
                <w:szCs w:val="22"/>
              </w:rPr>
              <w:t>7. bis 12. Monat</w:t>
            </w:r>
          </w:p>
        </w:tc>
        <w:tc>
          <w:tcPr>
            <w:tcW w:w="1372" w:type="dxa"/>
          </w:tcPr>
          <w:p w14:paraId="5AD0FEC3" w14:textId="6DDE6BF2" w:rsidR="00366CF2" w:rsidRPr="007E308D" w:rsidRDefault="00366CF2" w:rsidP="00366CF2">
            <w:pPr>
              <w:keepNext/>
              <w:widowControl w:val="0"/>
              <w:tabs>
                <w:tab w:val="left" w:pos="8829"/>
              </w:tabs>
              <w:ind w:right="-193"/>
              <w:jc w:val="both"/>
              <w:rPr>
                <w:szCs w:val="22"/>
              </w:rPr>
            </w:pPr>
            <w:r>
              <w:rPr>
                <w:szCs w:val="22"/>
              </w:rPr>
              <w:t>ab 12. Monat</w:t>
            </w:r>
          </w:p>
        </w:tc>
      </w:tr>
      <w:tr w:rsidR="00A440D3" w:rsidRPr="001E6E57" w14:paraId="501F72BC" w14:textId="77777777" w:rsidTr="00A63454">
        <w:tc>
          <w:tcPr>
            <w:tcW w:w="339" w:type="dxa"/>
          </w:tcPr>
          <w:p w14:paraId="2F23C06B" w14:textId="3D5CE912" w:rsidR="00A440D3" w:rsidRDefault="00A440D3" w:rsidP="0062463A">
            <w:pPr>
              <w:keepNext/>
              <w:widowControl w:val="0"/>
              <w:tabs>
                <w:tab w:val="left" w:pos="8829"/>
              </w:tabs>
              <w:ind w:right="-193"/>
              <w:jc w:val="both"/>
              <w:rPr>
                <w:szCs w:val="22"/>
              </w:rPr>
            </w:pPr>
          </w:p>
        </w:tc>
        <w:tc>
          <w:tcPr>
            <w:tcW w:w="1924" w:type="dxa"/>
          </w:tcPr>
          <w:p w14:paraId="09999228" w14:textId="3EDF3DF0" w:rsidR="00A440D3" w:rsidRPr="001E6E57" w:rsidRDefault="00A440D3" w:rsidP="0062463A">
            <w:pPr>
              <w:keepNext/>
              <w:widowControl w:val="0"/>
              <w:tabs>
                <w:tab w:val="left" w:pos="8829"/>
              </w:tabs>
              <w:ind w:right="-193"/>
              <w:jc w:val="both"/>
              <w:rPr>
                <w:szCs w:val="22"/>
              </w:rPr>
            </w:pPr>
          </w:p>
        </w:tc>
        <w:tc>
          <w:tcPr>
            <w:tcW w:w="1851" w:type="dxa"/>
          </w:tcPr>
          <w:p w14:paraId="6388AE5E" w14:textId="23B3AC21" w:rsidR="00A440D3" w:rsidRPr="001E6E57" w:rsidRDefault="00A440D3" w:rsidP="00DC434D">
            <w:pPr>
              <w:keepNext/>
              <w:widowControl w:val="0"/>
              <w:tabs>
                <w:tab w:val="left" w:pos="8829"/>
              </w:tabs>
              <w:ind w:right="-193"/>
              <w:jc w:val="both"/>
              <w:rPr>
                <w:szCs w:val="22"/>
              </w:rPr>
            </w:pPr>
          </w:p>
        </w:tc>
        <w:tc>
          <w:tcPr>
            <w:tcW w:w="1892" w:type="dxa"/>
          </w:tcPr>
          <w:p w14:paraId="0D9641F0" w14:textId="77777777" w:rsidR="00A440D3" w:rsidRDefault="00A440D3" w:rsidP="0062463A">
            <w:pPr>
              <w:keepNext/>
              <w:widowControl w:val="0"/>
              <w:tabs>
                <w:tab w:val="left" w:pos="8829"/>
              </w:tabs>
              <w:ind w:right="-193"/>
              <w:jc w:val="both"/>
              <w:rPr>
                <w:szCs w:val="22"/>
              </w:rPr>
            </w:pPr>
            <w:r>
              <w:rPr>
                <w:szCs w:val="22"/>
              </w:rPr>
              <w:t>Sozialarbeitende</w:t>
            </w:r>
          </w:p>
        </w:tc>
        <w:tc>
          <w:tcPr>
            <w:tcW w:w="1683" w:type="dxa"/>
          </w:tcPr>
          <w:p w14:paraId="6A26409E" w14:textId="33673601" w:rsidR="00A440D3" w:rsidRPr="009A7693" w:rsidRDefault="00A440D3" w:rsidP="00C361D8">
            <w:pPr>
              <w:keepNext/>
              <w:widowControl w:val="0"/>
              <w:tabs>
                <w:tab w:val="left" w:pos="8829"/>
              </w:tabs>
              <w:ind w:right="-193"/>
              <w:jc w:val="both"/>
              <w:rPr>
                <w:szCs w:val="22"/>
                <w:highlight w:val="yellow"/>
              </w:rPr>
            </w:pPr>
            <w:r w:rsidRPr="00A440D3">
              <w:rPr>
                <w:szCs w:val="22"/>
              </w:rPr>
              <w:t>Stellenleitung</w:t>
            </w:r>
          </w:p>
        </w:tc>
        <w:tc>
          <w:tcPr>
            <w:tcW w:w="1372" w:type="dxa"/>
          </w:tcPr>
          <w:p w14:paraId="586C5C58" w14:textId="4ED40C9F" w:rsidR="00A440D3" w:rsidRPr="009A7693" w:rsidRDefault="00A440D3" w:rsidP="00C361D8">
            <w:pPr>
              <w:keepNext/>
              <w:widowControl w:val="0"/>
              <w:tabs>
                <w:tab w:val="left" w:pos="8829"/>
              </w:tabs>
              <w:ind w:right="-193"/>
              <w:jc w:val="both"/>
              <w:rPr>
                <w:szCs w:val="22"/>
                <w:highlight w:val="yellow"/>
              </w:rPr>
            </w:pPr>
            <w:r w:rsidRPr="007E308D">
              <w:rPr>
                <w:szCs w:val="22"/>
              </w:rPr>
              <w:t>Zentrumsleitung</w:t>
            </w:r>
          </w:p>
        </w:tc>
      </w:tr>
      <w:tr w:rsidR="00366CF2" w:rsidRPr="001E6E57" w14:paraId="7DABF568" w14:textId="77777777" w:rsidTr="00366CF2">
        <w:tc>
          <w:tcPr>
            <w:tcW w:w="339" w:type="dxa"/>
          </w:tcPr>
          <w:p w14:paraId="2B4C1FC7" w14:textId="4C5614E4" w:rsidR="00366CF2" w:rsidRDefault="00366CF2" w:rsidP="00366CF2">
            <w:pPr>
              <w:keepNext/>
              <w:widowControl w:val="0"/>
              <w:tabs>
                <w:tab w:val="left" w:pos="8829"/>
              </w:tabs>
              <w:ind w:right="-193"/>
              <w:jc w:val="both"/>
              <w:rPr>
                <w:szCs w:val="22"/>
              </w:rPr>
            </w:pPr>
            <w:r>
              <w:rPr>
                <w:szCs w:val="22"/>
              </w:rPr>
              <w:t>2</w:t>
            </w:r>
          </w:p>
        </w:tc>
        <w:tc>
          <w:tcPr>
            <w:tcW w:w="1924" w:type="dxa"/>
          </w:tcPr>
          <w:p w14:paraId="226BDB6E" w14:textId="616C1999" w:rsidR="00366CF2" w:rsidRDefault="00366CF2" w:rsidP="00366CF2">
            <w:pPr>
              <w:keepNext/>
              <w:widowControl w:val="0"/>
              <w:tabs>
                <w:tab w:val="left" w:pos="8829"/>
              </w:tabs>
              <w:ind w:right="-193"/>
              <w:jc w:val="both"/>
              <w:rPr>
                <w:szCs w:val="22"/>
              </w:rPr>
            </w:pPr>
            <w:r>
              <w:rPr>
                <w:szCs w:val="22"/>
              </w:rPr>
              <w:t>Intensive Einsätze</w:t>
            </w:r>
          </w:p>
        </w:tc>
        <w:tc>
          <w:tcPr>
            <w:tcW w:w="1851" w:type="dxa"/>
          </w:tcPr>
          <w:p w14:paraId="1ECDBF0A" w14:textId="0B1EEF28" w:rsidR="00366CF2" w:rsidRDefault="00366CF2" w:rsidP="00366CF2">
            <w:pPr>
              <w:keepNext/>
              <w:widowControl w:val="0"/>
              <w:tabs>
                <w:tab w:val="left" w:pos="8829"/>
              </w:tabs>
              <w:ind w:right="-193"/>
              <w:jc w:val="both"/>
              <w:rPr>
                <w:szCs w:val="22"/>
              </w:rPr>
            </w:pPr>
            <w:r>
              <w:rPr>
                <w:szCs w:val="22"/>
              </w:rPr>
              <w:t>&gt; 6h / Woche</w:t>
            </w:r>
          </w:p>
        </w:tc>
        <w:tc>
          <w:tcPr>
            <w:tcW w:w="1892" w:type="dxa"/>
          </w:tcPr>
          <w:p w14:paraId="56269F53" w14:textId="4CA75712" w:rsidR="00366CF2" w:rsidRPr="00366CF2" w:rsidRDefault="00366CF2" w:rsidP="00366CF2">
            <w:pPr>
              <w:keepNext/>
              <w:widowControl w:val="0"/>
              <w:tabs>
                <w:tab w:val="left" w:pos="8829"/>
              </w:tabs>
              <w:ind w:right="-193"/>
              <w:jc w:val="both"/>
              <w:rPr>
                <w:szCs w:val="22"/>
              </w:rPr>
            </w:pPr>
            <w:r w:rsidRPr="00366CF2">
              <w:rPr>
                <w:szCs w:val="22"/>
              </w:rPr>
              <w:t>1. bis 6. Monat</w:t>
            </w:r>
          </w:p>
        </w:tc>
        <w:tc>
          <w:tcPr>
            <w:tcW w:w="3055" w:type="dxa"/>
            <w:gridSpan w:val="2"/>
            <w:shd w:val="clear" w:color="auto" w:fill="auto"/>
          </w:tcPr>
          <w:p w14:paraId="22BB11F0" w14:textId="6B5B16E8" w:rsidR="00366CF2" w:rsidRPr="00366CF2" w:rsidRDefault="00366CF2" w:rsidP="00366CF2">
            <w:pPr>
              <w:keepNext/>
              <w:widowControl w:val="0"/>
              <w:tabs>
                <w:tab w:val="left" w:pos="8829"/>
              </w:tabs>
              <w:ind w:right="-193"/>
              <w:jc w:val="both"/>
              <w:rPr>
                <w:szCs w:val="22"/>
              </w:rPr>
            </w:pPr>
            <w:r w:rsidRPr="00366CF2">
              <w:rPr>
                <w:szCs w:val="22"/>
              </w:rPr>
              <w:t>ab 7. Monat</w:t>
            </w:r>
          </w:p>
        </w:tc>
      </w:tr>
      <w:tr w:rsidR="00366CF2" w:rsidRPr="001E6E57" w14:paraId="4DBD33E4" w14:textId="77777777" w:rsidTr="00366CF2">
        <w:tc>
          <w:tcPr>
            <w:tcW w:w="339" w:type="dxa"/>
          </w:tcPr>
          <w:p w14:paraId="228E9CF1" w14:textId="1B4DF569" w:rsidR="00366CF2" w:rsidRDefault="00366CF2" w:rsidP="00366CF2">
            <w:pPr>
              <w:keepNext/>
              <w:widowControl w:val="0"/>
              <w:tabs>
                <w:tab w:val="left" w:pos="8829"/>
              </w:tabs>
              <w:ind w:right="-193"/>
              <w:jc w:val="both"/>
              <w:rPr>
                <w:szCs w:val="22"/>
              </w:rPr>
            </w:pPr>
          </w:p>
        </w:tc>
        <w:tc>
          <w:tcPr>
            <w:tcW w:w="1924" w:type="dxa"/>
          </w:tcPr>
          <w:p w14:paraId="54279959" w14:textId="1B678BC3" w:rsidR="00366CF2" w:rsidRPr="001E6E57" w:rsidRDefault="00366CF2" w:rsidP="00366CF2">
            <w:pPr>
              <w:keepNext/>
              <w:widowControl w:val="0"/>
              <w:tabs>
                <w:tab w:val="left" w:pos="8829"/>
              </w:tabs>
              <w:ind w:right="-193"/>
              <w:jc w:val="both"/>
              <w:rPr>
                <w:szCs w:val="22"/>
              </w:rPr>
            </w:pPr>
          </w:p>
        </w:tc>
        <w:tc>
          <w:tcPr>
            <w:tcW w:w="1851" w:type="dxa"/>
          </w:tcPr>
          <w:p w14:paraId="0E32D655" w14:textId="28B74F3C" w:rsidR="00366CF2" w:rsidRPr="001E6E57" w:rsidRDefault="00366CF2" w:rsidP="00366CF2">
            <w:pPr>
              <w:keepNext/>
              <w:widowControl w:val="0"/>
              <w:tabs>
                <w:tab w:val="left" w:pos="8829"/>
              </w:tabs>
              <w:ind w:right="-193"/>
              <w:jc w:val="both"/>
              <w:rPr>
                <w:szCs w:val="22"/>
              </w:rPr>
            </w:pPr>
          </w:p>
        </w:tc>
        <w:tc>
          <w:tcPr>
            <w:tcW w:w="1892" w:type="dxa"/>
          </w:tcPr>
          <w:p w14:paraId="09D22296" w14:textId="402621FC" w:rsidR="00366CF2" w:rsidRPr="00366CF2" w:rsidRDefault="00366CF2" w:rsidP="00366CF2">
            <w:pPr>
              <w:keepNext/>
              <w:widowControl w:val="0"/>
              <w:tabs>
                <w:tab w:val="left" w:pos="8829"/>
              </w:tabs>
              <w:ind w:right="-193"/>
              <w:jc w:val="both"/>
              <w:rPr>
                <w:szCs w:val="22"/>
              </w:rPr>
            </w:pPr>
            <w:r w:rsidRPr="00366CF2">
              <w:rPr>
                <w:szCs w:val="22"/>
              </w:rPr>
              <w:t>Stellenleitung</w:t>
            </w:r>
          </w:p>
        </w:tc>
        <w:tc>
          <w:tcPr>
            <w:tcW w:w="3055" w:type="dxa"/>
            <w:gridSpan w:val="2"/>
            <w:shd w:val="clear" w:color="auto" w:fill="auto"/>
          </w:tcPr>
          <w:p w14:paraId="14139163" w14:textId="32D44DCC" w:rsidR="00366CF2" w:rsidRPr="00366CF2" w:rsidRDefault="00366CF2" w:rsidP="00366CF2">
            <w:pPr>
              <w:keepNext/>
              <w:widowControl w:val="0"/>
              <w:tabs>
                <w:tab w:val="left" w:pos="8829"/>
              </w:tabs>
              <w:ind w:right="-193"/>
              <w:jc w:val="both"/>
              <w:rPr>
                <w:szCs w:val="22"/>
              </w:rPr>
            </w:pPr>
            <w:r w:rsidRPr="00366CF2">
              <w:rPr>
                <w:szCs w:val="22"/>
              </w:rPr>
              <w:t>Zentrumsleitung</w:t>
            </w:r>
          </w:p>
        </w:tc>
      </w:tr>
    </w:tbl>
    <w:p w14:paraId="00D5F322" w14:textId="77777777" w:rsidR="000329D9" w:rsidRDefault="000329D9" w:rsidP="000329D9">
      <w:pPr>
        <w:tabs>
          <w:tab w:val="left" w:pos="8829"/>
        </w:tabs>
        <w:ind w:right="-193"/>
        <w:jc w:val="both"/>
        <w:rPr>
          <w:rFonts w:eastAsia="Arial Unicode MS"/>
          <w:u w:val="single"/>
        </w:rPr>
      </w:pPr>
    </w:p>
    <w:sectPr w:rsidR="000329D9" w:rsidSect="007E308D">
      <w:type w:val="continuous"/>
      <w:pgSz w:w="11906" w:h="16838" w:code="9"/>
      <w:pgMar w:top="1985" w:right="1134" w:bottom="1560" w:left="1701" w:header="567" w:footer="8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B6197" w14:textId="77777777" w:rsidR="00C44EE1" w:rsidRDefault="00C44EE1">
      <w:r>
        <w:separator/>
      </w:r>
    </w:p>
    <w:p w14:paraId="0DEBB8F9" w14:textId="77777777" w:rsidR="00C44EE1" w:rsidRDefault="00C44EE1"/>
  </w:endnote>
  <w:endnote w:type="continuationSeparator" w:id="0">
    <w:p w14:paraId="250139C6" w14:textId="77777777" w:rsidR="00C44EE1" w:rsidRDefault="00C44EE1">
      <w:r>
        <w:continuationSeparator/>
      </w:r>
    </w:p>
    <w:p w14:paraId="3B123586" w14:textId="77777777" w:rsidR="00C44EE1" w:rsidRDefault="00C44E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EB2" w14:textId="77777777" w:rsidR="00F46595" w:rsidRDefault="00F465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A00DA9" w14:paraId="36253310" w14:textId="77777777">
      <w:trPr>
        <w:trHeight w:val="284"/>
      </w:trPr>
      <w:tc>
        <w:tcPr>
          <w:tcW w:w="5063" w:type="dxa"/>
        </w:tcPr>
        <w:p w14:paraId="257A2155" w14:textId="37B32230" w:rsidR="00A00DA9" w:rsidRDefault="004574F5" w:rsidP="002F5D8C">
          <w:pPr>
            <w:pStyle w:val="Fuzeile"/>
            <w:tabs>
              <w:tab w:val="clear" w:pos="4536"/>
              <w:tab w:val="clear" w:pos="9072"/>
              <w:tab w:val="right" w:pos="8504"/>
            </w:tabs>
            <w:rPr>
              <w:noProof/>
              <w:sz w:val="17"/>
            </w:rPr>
          </w:pPr>
          <w:r>
            <w:rPr>
              <w:sz w:val="17"/>
            </w:rPr>
            <w:fldChar w:fldCharType="begin"/>
          </w:r>
          <w:r>
            <w:rPr>
              <w:sz w:val="17"/>
            </w:rPr>
            <w:instrText xml:space="preserve"> FILENAME \* MERGEFORMAT </w:instrText>
          </w:r>
          <w:r>
            <w:rPr>
              <w:sz w:val="17"/>
            </w:rPr>
            <w:fldChar w:fldCharType="separate"/>
          </w:r>
          <w:r w:rsidR="002F5D8C">
            <w:rPr>
              <w:noProof/>
              <w:sz w:val="17"/>
            </w:rPr>
            <w:t>HAW SOF</w:t>
          </w:r>
          <w:r>
            <w:rPr>
              <w:sz w:val="17"/>
            </w:rPr>
            <w:fldChar w:fldCharType="end"/>
          </w:r>
        </w:p>
      </w:tc>
      <w:tc>
        <w:tcPr>
          <w:tcW w:w="1430" w:type="dxa"/>
        </w:tcPr>
        <w:p w14:paraId="595D7512" w14:textId="77777777" w:rsidR="00A00DA9" w:rsidRDefault="00A00DA9">
          <w:pPr>
            <w:pStyle w:val="Fuzeile"/>
            <w:tabs>
              <w:tab w:val="clear" w:pos="4536"/>
              <w:tab w:val="clear" w:pos="9072"/>
              <w:tab w:val="right" w:pos="8504"/>
            </w:tabs>
            <w:jc w:val="center"/>
            <w:rPr>
              <w:sz w:val="17"/>
            </w:rPr>
          </w:pPr>
        </w:p>
      </w:tc>
      <w:tc>
        <w:tcPr>
          <w:tcW w:w="2640" w:type="dxa"/>
        </w:tcPr>
        <w:p w14:paraId="71612068" w14:textId="77777777" w:rsidR="00A00DA9" w:rsidRDefault="00A00DA9">
          <w:pPr>
            <w:pStyle w:val="Fuzeile"/>
            <w:tabs>
              <w:tab w:val="clear" w:pos="4536"/>
              <w:tab w:val="clear" w:pos="9072"/>
              <w:tab w:val="right" w:pos="8504"/>
            </w:tabs>
            <w:jc w:val="center"/>
            <w:rPr>
              <w:sz w:val="17"/>
              <w:lang w:val="de-DE"/>
            </w:rPr>
          </w:pPr>
        </w:p>
      </w:tc>
    </w:tr>
  </w:tbl>
  <w:p w14:paraId="4C24BB43" w14:textId="77777777" w:rsidR="00A00DA9" w:rsidRDefault="00A00DA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4109"/>
      <w:gridCol w:w="1985"/>
      <w:gridCol w:w="3039"/>
    </w:tblGrid>
    <w:tr w:rsidR="00A00DA9" w14:paraId="01B992C0" w14:textId="77777777" w:rsidTr="007910AA">
      <w:trPr>
        <w:trHeight w:val="284"/>
      </w:trPr>
      <w:tc>
        <w:tcPr>
          <w:tcW w:w="4109" w:type="dxa"/>
        </w:tcPr>
        <w:p w14:paraId="1B390003" w14:textId="384AC693" w:rsidR="00A00DA9" w:rsidRDefault="00CA043F" w:rsidP="004574F5">
          <w:pPr>
            <w:pStyle w:val="Fuzeile"/>
            <w:tabs>
              <w:tab w:val="clear" w:pos="4536"/>
              <w:tab w:val="clear" w:pos="9072"/>
              <w:tab w:val="right" w:pos="8504"/>
            </w:tabs>
            <w:rPr>
              <w:sz w:val="17"/>
            </w:rPr>
          </w:pPr>
          <w:r>
            <w:rPr>
              <w:sz w:val="17"/>
            </w:rPr>
            <w:t>HAW SOF</w:t>
          </w:r>
          <w:r w:rsidR="00F46595">
            <w:rPr>
              <w:sz w:val="17"/>
            </w:rPr>
            <w:t xml:space="preserve"> - öffentlich</w:t>
          </w:r>
        </w:p>
      </w:tc>
      <w:tc>
        <w:tcPr>
          <w:tcW w:w="1985" w:type="dxa"/>
        </w:tcPr>
        <w:p w14:paraId="74C225F7" w14:textId="77777777" w:rsidR="00A00DA9" w:rsidRDefault="00A00DA9" w:rsidP="000329D9">
          <w:pPr>
            <w:pStyle w:val="Fuzeile"/>
            <w:tabs>
              <w:tab w:val="clear" w:pos="4536"/>
              <w:tab w:val="clear" w:pos="9072"/>
              <w:tab w:val="right" w:pos="8504"/>
            </w:tabs>
            <w:rPr>
              <w:sz w:val="17"/>
            </w:rPr>
          </w:pPr>
          <w:r>
            <w:rPr>
              <w:sz w:val="17"/>
            </w:rPr>
            <w:t xml:space="preserve">Version </w:t>
          </w:r>
          <w:r w:rsidR="00133F80">
            <w:rPr>
              <w:sz w:val="17"/>
            </w:rPr>
            <w:t>1</w:t>
          </w:r>
          <w:r w:rsidR="00E27D8A">
            <w:rPr>
              <w:sz w:val="17"/>
            </w:rPr>
            <w:t>.</w:t>
          </w:r>
          <w:r w:rsidR="000329D9">
            <w:rPr>
              <w:sz w:val="17"/>
            </w:rPr>
            <w:t>2</w:t>
          </w:r>
        </w:p>
      </w:tc>
      <w:tc>
        <w:tcPr>
          <w:tcW w:w="3039" w:type="dxa"/>
        </w:tcPr>
        <w:p w14:paraId="57375B62" w14:textId="2F5C8D01" w:rsidR="00A00DA9" w:rsidRDefault="00437501" w:rsidP="00384237">
          <w:pPr>
            <w:pStyle w:val="Fuzeile"/>
            <w:tabs>
              <w:tab w:val="clear" w:pos="4536"/>
              <w:tab w:val="clear" w:pos="9072"/>
              <w:tab w:val="right" w:pos="8504"/>
            </w:tabs>
            <w:jc w:val="right"/>
            <w:rPr>
              <w:sz w:val="17"/>
              <w:lang w:val="de-DE"/>
            </w:rPr>
          </w:pPr>
          <w:r>
            <w:rPr>
              <w:sz w:val="17"/>
              <w:lang w:val="de-DE"/>
            </w:rPr>
            <w:t xml:space="preserve">Verfasserin: FS </w:t>
          </w:r>
          <w:r w:rsidR="00384237">
            <w:rPr>
              <w:sz w:val="17"/>
              <w:lang w:val="de-DE"/>
            </w:rPr>
            <w:t>WH und FS KJH</w:t>
          </w:r>
        </w:p>
      </w:tc>
    </w:tr>
    <w:tr w:rsidR="00A47D55" w14:paraId="6A803AE8" w14:textId="77777777" w:rsidTr="00D15D38">
      <w:trPr>
        <w:trHeight w:val="284"/>
      </w:trPr>
      <w:tc>
        <w:tcPr>
          <w:tcW w:w="9133" w:type="dxa"/>
          <w:gridSpan w:val="3"/>
        </w:tcPr>
        <w:p w14:paraId="473F828D" w14:textId="77777777" w:rsidR="00A47D55" w:rsidRDefault="00A47D55" w:rsidP="00A47D55">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5460C566" w14:textId="77777777" w:rsidR="00A00DA9" w:rsidRDefault="00A00DA9"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D8CAE" w14:textId="77777777" w:rsidR="00C44EE1" w:rsidRDefault="00C44EE1">
      <w:r>
        <w:separator/>
      </w:r>
    </w:p>
    <w:p w14:paraId="76EAD7E2" w14:textId="77777777" w:rsidR="00C44EE1" w:rsidRDefault="00C44EE1"/>
  </w:footnote>
  <w:footnote w:type="continuationSeparator" w:id="0">
    <w:p w14:paraId="16C3E76F" w14:textId="77777777" w:rsidR="00C44EE1" w:rsidRDefault="00C44EE1">
      <w:r>
        <w:continuationSeparator/>
      </w:r>
    </w:p>
    <w:p w14:paraId="74925900" w14:textId="77777777" w:rsidR="00C44EE1" w:rsidRDefault="00C44E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A16E" w14:textId="77777777" w:rsidR="00F46595" w:rsidRDefault="00F465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A00DA9" w14:paraId="68EA3E4D" w14:textId="77777777">
      <w:tc>
        <w:tcPr>
          <w:tcW w:w="7257" w:type="dxa"/>
          <w:gridSpan w:val="2"/>
        </w:tcPr>
        <w:p w14:paraId="0469D673" w14:textId="77777777" w:rsidR="00A00DA9" w:rsidRDefault="00AD7E0C">
          <w:pPr>
            <w:pStyle w:val="Kopfzeile"/>
            <w:tabs>
              <w:tab w:val="clear" w:pos="4536"/>
              <w:tab w:val="clear" w:pos="9072"/>
            </w:tabs>
            <w:rPr>
              <w:szCs w:val="22"/>
            </w:rPr>
          </w:pPr>
          <w:r>
            <w:rPr>
              <w:noProof/>
              <w:szCs w:val="22"/>
              <w:lang w:eastAsia="de-CH"/>
            </w:rPr>
            <w:drawing>
              <wp:inline distT="0" distB="0" distL="0" distR="0" wp14:anchorId="4BDEDDCA" wp14:editId="3FEF7DCD">
                <wp:extent cx="1352550" cy="276225"/>
                <wp:effectExtent l="0" t="0" r="0" b="9525"/>
                <wp:docPr id="5"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6B54A4DC" w14:textId="77777777" w:rsidR="00A00DA9" w:rsidRDefault="00A00DA9">
          <w:pPr>
            <w:pStyle w:val="Kopfzeile"/>
            <w:tabs>
              <w:tab w:val="clear" w:pos="4536"/>
              <w:tab w:val="clear" w:pos="9072"/>
            </w:tabs>
            <w:rPr>
              <w:szCs w:val="22"/>
            </w:rPr>
          </w:pPr>
        </w:p>
      </w:tc>
      <w:tc>
        <w:tcPr>
          <w:tcW w:w="2495" w:type="dxa"/>
        </w:tcPr>
        <w:p w14:paraId="294576C5" w14:textId="77777777" w:rsidR="00A00DA9" w:rsidRDefault="00A00DA9">
          <w:pPr>
            <w:pStyle w:val="Kopfzeile"/>
            <w:tabs>
              <w:tab w:val="clear" w:pos="4536"/>
              <w:tab w:val="clear" w:pos="9072"/>
            </w:tabs>
            <w:rPr>
              <w:sz w:val="17"/>
              <w:szCs w:val="17"/>
            </w:rPr>
          </w:pPr>
        </w:p>
      </w:tc>
    </w:tr>
    <w:tr w:rsidR="00A00DA9" w14:paraId="07057125" w14:textId="77777777">
      <w:trPr>
        <w:trHeight w:val="210"/>
      </w:trPr>
      <w:tc>
        <w:tcPr>
          <w:tcW w:w="680" w:type="dxa"/>
        </w:tcPr>
        <w:p w14:paraId="7D650EE6" w14:textId="77777777" w:rsidR="00A00DA9" w:rsidRDefault="00A00DA9">
          <w:pPr>
            <w:pStyle w:val="Kopfzeile"/>
          </w:pPr>
        </w:p>
      </w:tc>
      <w:tc>
        <w:tcPr>
          <w:tcW w:w="9072" w:type="dxa"/>
          <w:gridSpan w:val="2"/>
        </w:tcPr>
        <w:p w14:paraId="28F98238" w14:textId="7F473FB4" w:rsidR="00A00DA9" w:rsidRDefault="00A00DA9">
          <w:pPr>
            <w:pStyle w:val="Kopfzeile"/>
          </w:pPr>
          <w:r>
            <w:fldChar w:fldCharType="begin"/>
          </w:r>
          <w:r>
            <w:instrText xml:space="preserve"> </w:instrText>
          </w:r>
          <w:r w:rsidR="00614CEC">
            <w:instrText>PAGE</w:instrText>
          </w:r>
          <w:r>
            <w:instrText xml:space="preserve">   \* MERGEFORMAT </w:instrText>
          </w:r>
          <w:r>
            <w:fldChar w:fldCharType="separate"/>
          </w:r>
          <w:r w:rsidR="00506ADE">
            <w:rPr>
              <w:noProof/>
            </w:rPr>
            <w:t>3</w:t>
          </w:r>
          <w:r>
            <w:fldChar w:fldCharType="end"/>
          </w:r>
          <w:r>
            <w:t>/</w:t>
          </w:r>
          <w:r>
            <w:fldChar w:fldCharType="begin"/>
          </w:r>
          <w:r>
            <w:instrText xml:space="preserve"> </w:instrText>
          </w:r>
          <w:r w:rsidR="00614CEC">
            <w:instrText>NUMPAGES</w:instrText>
          </w:r>
          <w:r>
            <w:instrText xml:space="preserve">   \* MERGEFORMAT </w:instrText>
          </w:r>
          <w:r>
            <w:fldChar w:fldCharType="separate"/>
          </w:r>
          <w:r w:rsidR="00506ADE">
            <w:rPr>
              <w:noProof/>
            </w:rPr>
            <w:t>3</w:t>
          </w:r>
          <w:r>
            <w:fldChar w:fldCharType="end"/>
          </w:r>
        </w:p>
      </w:tc>
    </w:tr>
  </w:tbl>
  <w:p w14:paraId="76D240E6" w14:textId="77777777" w:rsidR="00A00DA9" w:rsidRDefault="00A00DA9">
    <w:pPr>
      <w:pStyle w:val="Kopfzeile"/>
      <w:tabs>
        <w:tab w:val="clear" w:pos="4536"/>
        <w:tab w:val="clear" w:pos="9072"/>
      </w:tabs>
      <w:rPr>
        <w:sz w:val="2"/>
      </w:rPr>
    </w:pPr>
  </w:p>
  <w:p w14:paraId="7B10BB0D" w14:textId="77777777" w:rsidR="00A00DA9" w:rsidRDefault="00A00DA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A00DA9" w14:paraId="7727CDF3" w14:textId="77777777">
      <w:tc>
        <w:tcPr>
          <w:tcW w:w="7257" w:type="dxa"/>
        </w:tcPr>
        <w:p w14:paraId="4527F19D" w14:textId="77777777" w:rsidR="00A00DA9" w:rsidRDefault="00AD7E0C">
          <w:pPr>
            <w:pStyle w:val="Kopfzeile"/>
            <w:tabs>
              <w:tab w:val="clear" w:pos="4536"/>
              <w:tab w:val="clear" w:pos="9072"/>
            </w:tabs>
            <w:rPr>
              <w:szCs w:val="22"/>
            </w:rPr>
          </w:pPr>
          <w:r>
            <w:rPr>
              <w:noProof/>
              <w:szCs w:val="22"/>
              <w:lang w:eastAsia="de-CH"/>
            </w:rPr>
            <w:drawing>
              <wp:inline distT="0" distB="0" distL="0" distR="0" wp14:anchorId="61B9FF22" wp14:editId="377D9724">
                <wp:extent cx="1352550" cy="276225"/>
                <wp:effectExtent l="0" t="0" r="0" b="9525"/>
                <wp:docPr id="6"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86CF60B" w14:textId="77777777" w:rsidR="00A00DA9" w:rsidRDefault="00A00DA9">
          <w:pPr>
            <w:pStyle w:val="Kopfzeile"/>
            <w:tabs>
              <w:tab w:val="clear" w:pos="4536"/>
              <w:tab w:val="clear" w:pos="9072"/>
            </w:tabs>
            <w:rPr>
              <w:sz w:val="17"/>
              <w:szCs w:val="17"/>
            </w:rPr>
          </w:pPr>
        </w:p>
      </w:tc>
    </w:tr>
    <w:tr w:rsidR="00A00DA9" w14:paraId="73791588" w14:textId="77777777">
      <w:tc>
        <w:tcPr>
          <w:tcW w:w="7257" w:type="dxa"/>
        </w:tcPr>
        <w:p w14:paraId="4D14C7D5" w14:textId="77777777" w:rsidR="00A00DA9" w:rsidRDefault="00A00DA9">
          <w:pPr>
            <w:pStyle w:val="Kopfzeile"/>
            <w:tabs>
              <w:tab w:val="clear" w:pos="4536"/>
              <w:tab w:val="clear" w:pos="9072"/>
            </w:tabs>
            <w:rPr>
              <w:szCs w:val="22"/>
            </w:rPr>
          </w:pPr>
        </w:p>
      </w:tc>
      <w:tc>
        <w:tcPr>
          <w:tcW w:w="2495" w:type="dxa"/>
        </w:tcPr>
        <w:p w14:paraId="3143073A" w14:textId="77777777" w:rsidR="00A00DA9" w:rsidRDefault="00A00DA9">
          <w:pPr>
            <w:pStyle w:val="Kopfzeile"/>
            <w:tabs>
              <w:tab w:val="clear" w:pos="4536"/>
              <w:tab w:val="clear" w:pos="9072"/>
            </w:tabs>
            <w:rPr>
              <w:noProof/>
              <w:sz w:val="17"/>
              <w:szCs w:val="17"/>
              <w:lang w:val="de-DE"/>
            </w:rPr>
          </w:pPr>
        </w:p>
      </w:tc>
    </w:tr>
  </w:tbl>
  <w:p w14:paraId="073BFDF8" w14:textId="77777777" w:rsidR="00A00DA9" w:rsidRDefault="00A00DA9">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424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BCA9A62"/>
    <w:lvl w:ilvl="0">
      <w:start w:val="1"/>
      <w:numFmt w:val="bullet"/>
      <w:pStyle w:val="Aufzhlung"/>
      <w:lvlText w:val=""/>
      <w:lvlJc w:val="left"/>
      <w:pPr>
        <w:tabs>
          <w:tab w:val="num" w:pos="360"/>
        </w:tabs>
        <w:ind w:left="360" w:hanging="360"/>
      </w:pPr>
      <w:rPr>
        <w:rFonts w:ascii="Wingdings" w:hAnsi="Wingdings" w:hint="default"/>
      </w:rPr>
    </w:lvl>
  </w:abstractNum>
  <w:abstractNum w:abstractNumId="3"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0EE067E0"/>
    <w:multiLevelType w:val="hybridMultilevel"/>
    <w:tmpl w:val="E536E530"/>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6361E8"/>
    <w:multiLevelType w:val="hybridMultilevel"/>
    <w:tmpl w:val="85DEFCE6"/>
    <w:lvl w:ilvl="0" w:tplc="DE62ED18">
      <w:start w:val="1"/>
      <w:numFmt w:val="bullet"/>
      <w:lvlText w:val=""/>
      <w:lvlJc w:val="left"/>
      <w:pPr>
        <w:tabs>
          <w:tab w:val="num" w:pos="340"/>
        </w:tabs>
        <w:ind w:left="340"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DC0FCC"/>
    <w:multiLevelType w:val="hybridMultilevel"/>
    <w:tmpl w:val="B8067378"/>
    <w:lvl w:ilvl="0" w:tplc="FFFFFFFF">
      <w:start w:val="2"/>
      <w:numFmt w:val="bullet"/>
      <w:lvlText w:val="-"/>
      <w:lvlJc w:val="left"/>
      <w:pPr>
        <w:tabs>
          <w:tab w:val="num" w:pos="720"/>
        </w:tabs>
        <w:ind w:left="720" w:hanging="360"/>
      </w:pPr>
      <w:rPr>
        <w:rFonts w:ascii="Arial" w:eastAsia="Arial Unicode M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EA547A"/>
    <w:multiLevelType w:val="hybridMultilevel"/>
    <w:tmpl w:val="61660A88"/>
    <w:lvl w:ilvl="0" w:tplc="E2383920">
      <w:start w:val="1"/>
      <w:numFmt w:val="bullet"/>
      <w:lvlText w:val="-"/>
      <w:lvlJc w:val="left"/>
      <w:pPr>
        <w:tabs>
          <w:tab w:val="num" w:pos="360"/>
        </w:tabs>
        <w:ind w:left="360" w:hanging="360"/>
      </w:pPr>
      <w:rPr>
        <w:rFonts w:ascii="Calibri" w:hAnsi="Calibri" w:hint="default"/>
      </w:rPr>
    </w:lvl>
    <w:lvl w:ilvl="1" w:tplc="E2383920">
      <w:start w:val="1"/>
      <w:numFmt w:val="bullet"/>
      <w:lvlText w:val="-"/>
      <w:lvlJc w:val="left"/>
      <w:pPr>
        <w:tabs>
          <w:tab w:val="num" w:pos="1033"/>
        </w:tabs>
        <w:ind w:left="1033" w:hanging="283"/>
      </w:pPr>
      <w:rPr>
        <w:rFonts w:ascii="Calibri" w:hAnsi="Calibri" w:hint="default"/>
      </w:rPr>
    </w:lvl>
    <w:lvl w:ilvl="2" w:tplc="08070005" w:tentative="1">
      <w:start w:val="1"/>
      <w:numFmt w:val="bullet"/>
      <w:lvlText w:val=""/>
      <w:lvlJc w:val="left"/>
      <w:pPr>
        <w:tabs>
          <w:tab w:val="num" w:pos="1830"/>
        </w:tabs>
        <w:ind w:left="1830" w:hanging="360"/>
      </w:pPr>
      <w:rPr>
        <w:rFonts w:ascii="Wingdings" w:hAnsi="Wingdings" w:hint="default"/>
      </w:rPr>
    </w:lvl>
    <w:lvl w:ilvl="3" w:tplc="08070001" w:tentative="1">
      <w:start w:val="1"/>
      <w:numFmt w:val="bullet"/>
      <w:lvlText w:val=""/>
      <w:lvlJc w:val="left"/>
      <w:pPr>
        <w:tabs>
          <w:tab w:val="num" w:pos="2550"/>
        </w:tabs>
        <w:ind w:left="2550" w:hanging="360"/>
      </w:pPr>
      <w:rPr>
        <w:rFonts w:ascii="Symbol" w:hAnsi="Symbol" w:hint="default"/>
      </w:rPr>
    </w:lvl>
    <w:lvl w:ilvl="4" w:tplc="08070003" w:tentative="1">
      <w:start w:val="1"/>
      <w:numFmt w:val="bullet"/>
      <w:lvlText w:val="o"/>
      <w:lvlJc w:val="left"/>
      <w:pPr>
        <w:tabs>
          <w:tab w:val="num" w:pos="3270"/>
        </w:tabs>
        <w:ind w:left="3270" w:hanging="360"/>
      </w:pPr>
      <w:rPr>
        <w:rFonts w:ascii="Courier New" w:hAnsi="Courier New" w:cs="Courier New" w:hint="default"/>
      </w:rPr>
    </w:lvl>
    <w:lvl w:ilvl="5" w:tplc="08070005" w:tentative="1">
      <w:start w:val="1"/>
      <w:numFmt w:val="bullet"/>
      <w:lvlText w:val=""/>
      <w:lvlJc w:val="left"/>
      <w:pPr>
        <w:tabs>
          <w:tab w:val="num" w:pos="3990"/>
        </w:tabs>
        <w:ind w:left="3990" w:hanging="360"/>
      </w:pPr>
      <w:rPr>
        <w:rFonts w:ascii="Wingdings" w:hAnsi="Wingdings" w:hint="default"/>
      </w:rPr>
    </w:lvl>
    <w:lvl w:ilvl="6" w:tplc="08070001" w:tentative="1">
      <w:start w:val="1"/>
      <w:numFmt w:val="bullet"/>
      <w:lvlText w:val=""/>
      <w:lvlJc w:val="left"/>
      <w:pPr>
        <w:tabs>
          <w:tab w:val="num" w:pos="4710"/>
        </w:tabs>
        <w:ind w:left="4710" w:hanging="360"/>
      </w:pPr>
      <w:rPr>
        <w:rFonts w:ascii="Symbol" w:hAnsi="Symbol" w:hint="default"/>
      </w:rPr>
    </w:lvl>
    <w:lvl w:ilvl="7" w:tplc="08070003" w:tentative="1">
      <w:start w:val="1"/>
      <w:numFmt w:val="bullet"/>
      <w:lvlText w:val="o"/>
      <w:lvlJc w:val="left"/>
      <w:pPr>
        <w:tabs>
          <w:tab w:val="num" w:pos="5430"/>
        </w:tabs>
        <w:ind w:left="5430" w:hanging="360"/>
      </w:pPr>
      <w:rPr>
        <w:rFonts w:ascii="Courier New" w:hAnsi="Courier New" w:cs="Courier New" w:hint="default"/>
      </w:rPr>
    </w:lvl>
    <w:lvl w:ilvl="8" w:tplc="08070005" w:tentative="1">
      <w:start w:val="1"/>
      <w:numFmt w:val="bullet"/>
      <w:lvlText w:val=""/>
      <w:lvlJc w:val="left"/>
      <w:pPr>
        <w:tabs>
          <w:tab w:val="num" w:pos="6150"/>
        </w:tabs>
        <w:ind w:left="6150" w:hanging="360"/>
      </w:pPr>
      <w:rPr>
        <w:rFonts w:ascii="Wingdings" w:hAnsi="Wingdings" w:hint="default"/>
      </w:rPr>
    </w:lvl>
  </w:abstractNum>
  <w:abstractNum w:abstractNumId="11" w15:restartNumberingAfterBreak="0">
    <w:nsid w:val="32953B2E"/>
    <w:multiLevelType w:val="hybridMultilevel"/>
    <w:tmpl w:val="4638342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409B39A8"/>
    <w:multiLevelType w:val="hybridMultilevel"/>
    <w:tmpl w:val="4F68DE86"/>
    <w:lvl w:ilvl="0" w:tplc="DE62ED18">
      <w:start w:val="1"/>
      <w:numFmt w:val="bullet"/>
      <w:lvlText w:val=""/>
      <w:lvlJc w:val="left"/>
      <w:pPr>
        <w:tabs>
          <w:tab w:val="num" w:pos="340"/>
        </w:tabs>
        <w:ind w:left="340"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404B3A"/>
    <w:multiLevelType w:val="hybridMultilevel"/>
    <w:tmpl w:val="4A98FDAA"/>
    <w:lvl w:ilvl="0" w:tplc="E2383920">
      <w:start w:val="1"/>
      <w:numFmt w:val="bullet"/>
      <w:lvlText w:val="-"/>
      <w:lvlJc w:val="left"/>
      <w:pPr>
        <w:tabs>
          <w:tab w:val="num" w:pos="340"/>
        </w:tabs>
        <w:ind w:left="340" w:hanging="283"/>
      </w:pPr>
      <w:rPr>
        <w:rFonts w:ascii="Calibri" w:hAnsi="Calibri"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AA1A60"/>
    <w:multiLevelType w:val="hybridMultilevel"/>
    <w:tmpl w:val="01B2822E"/>
    <w:lvl w:ilvl="0" w:tplc="73FC2B42">
      <w:start w:val="3"/>
      <w:numFmt w:val="bullet"/>
      <w:lvlText w:val="-"/>
      <w:lvlJc w:val="left"/>
      <w:pPr>
        <w:tabs>
          <w:tab w:val="num" w:pos="720"/>
        </w:tabs>
        <w:ind w:left="720" w:hanging="360"/>
      </w:pPr>
      <w:rPr>
        <w:rFonts w:ascii="Arial" w:eastAsia="Arial Unicode MS" w:hAnsi="Arial" w:cs="Arial" w:hint="default"/>
      </w:rPr>
    </w:lvl>
    <w:lvl w:ilvl="1" w:tplc="DE62ED18">
      <w:start w:val="1"/>
      <w:numFmt w:val="bullet"/>
      <w:lvlText w:val=""/>
      <w:lvlJc w:val="left"/>
      <w:pPr>
        <w:tabs>
          <w:tab w:val="num" w:pos="1363"/>
        </w:tabs>
        <w:ind w:left="1363" w:hanging="283"/>
      </w:pPr>
      <w:rPr>
        <w:rFonts w:ascii="Symbol" w:hAnsi="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254F59"/>
    <w:multiLevelType w:val="hybridMultilevel"/>
    <w:tmpl w:val="CB4009A2"/>
    <w:lvl w:ilvl="0" w:tplc="62AA8FD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B5C6658"/>
    <w:multiLevelType w:val="hybridMultilevel"/>
    <w:tmpl w:val="2C960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AA020E"/>
    <w:multiLevelType w:val="hybridMultilevel"/>
    <w:tmpl w:val="F6E08254"/>
    <w:lvl w:ilvl="0" w:tplc="FFFFFFFF">
      <w:start w:val="2"/>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104900"/>
    <w:multiLevelType w:val="hybridMultilevel"/>
    <w:tmpl w:val="5476B800"/>
    <w:lvl w:ilvl="0" w:tplc="0F84ABC6">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20" w15:restartNumberingAfterBreak="0">
    <w:nsid w:val="71CD0DA0"/>
    <w:multiLevelType w:val="hybridMultilevel"/>
    <w:tmpl w:val="C576DD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D423A1"/>
    <w:multiLevelType w:val="hybridMultilevel"/>
    <w:tmpl w:val="BBD8D9DE"/>
    <w:lvl w:ilvl="0" w:tplc="E2383920">
      <w:start w:val="1"/>
      <w:numFmt w:val="bullet"/>
      <w:lvlText w:val="-"/>
      <w:lvlJc w:val="left"/>
      <w:pPr>
        <w:tabs>
          <w:tab w:val="num" w:pos="360"/>
        </w:tabs>
        <w:ind w:left="360" w:hanging="360"/>
      </w:pPr>
      <w:rPr>
        <w:rFonts w:ascii="Calibri" w:hAnsi="Calibri"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D270DA2"/>
    <w:multiLevelType w:val="hybridMultilevel"/>
    <w:tmpl w:val="5AD29C0C"/>
    <w:lvl w:ilvl="0" w:tplc="85BAAD42">
      <w:start w:val="1"/>
      <w:numFmt w:val="bullet"/>
      <w:lvlText w:val=""/>
      <w:lvlJc w:val="left"/>
      <w:pPr>
        <w:tabs>
          <w:tab w:val="num" w:pos="360"/>
        </w:tabs>
        <w:ind w:left="360" w:hanging="360"/>
      </w:pPr>
      <w:rPr>
        <w:rFonts w:ascii="Symbol" w:hAnsi="Symbol" w:hint="default"/>
      </w:rPr>
    </w:lvl>
    <w:lvl w:ilvl="1" w:tplc="DE62ED18">
      <w:start w:val="1"/>
      <w:numFmt w:val="bullet"/>
      <w:lvlText w:val=""/>
      <w:lvlJc w:val="left"/>
      <w:pPr>
        <w:tabs>
          <w:tab w:val="num" w:pos="1033"/>
        </w:tabs>
        <w:ind w:left="1033" w:hanging="283"/>
      </w:pPr>
      <w:rPr>
        <w:rFonts w:ascii="Symbol" w:hAnsi="Symbol" w:hint="default"/>
      </w:rPr>
    </w:lvl>
    <w:lvl w:ilvl="2" w:tplc="08070005" w:tentative="1">
      <w:start w:val="1"/>
      <w:numFmt w:val="bullet"/>
      <w:lvlText w:val=""/>
      <w:lvlJc w:val="left"/>
      <w:pPr>
        <w:tabs>
          <w:tab w:val="num" w:pos="1830"/>
        </w:tabs>
        <w:ind w:left="1830" w:hanging="360"/>
      </w:pPr>
      <w:rPr>
        <w:rFonts w:ascii="Wingdings" w:hAnsi="Wingdings" w:hint="default"/>
      </w:rPr>
    </w:lvl>
    <w:lvl w:ilvl="3" w:tplc="08070001" w:tentative="1">
      <w:start w:val="1"/>
      <w:numFmt w:val="bullet"/>
      <w:lvlText w:val=""/>
      <w:lvlJc w:val="left"/>
      <w:pPr>
        <w:tabs>
          <w:tab w:val="num" w:pos="2550"/>
        </w:tabs>
        <w:ind w:left="2550" w:hanging="360"/>
      </w:pPr>
      <w:rPr>
        <w:rFonts w:ascii="Symbol" w:hAnsi="Symbol" w:hint="default"/>
      </w:rPr>
    </w:lvl>
    <w:lvl w:ilvl="4" w:tplc="08070003" w:tentative="1">
      <w:start w:val="1"/>
      <w:numFmt w:val="bullet"/>
      <w:lvlText w:val="o"/>
      <w:lvlJc w:val="left"/>
      <w:pPr>
        <w:tabs>
          <w:tab w:val="num" w:pos="3270"/>
        </w:tabs>
        <w:ind w:left="3270" w:hanging="360"/>
      </w:pPr>
      <w:rPr>
        <w:rFonts w:ascii="Courier New" w:hAnsi="Courier New" w:cs="Courier New" w:hint="default"/>
      </w:rPr>
    </w:lvl>
    <w:lvl w:ilvl="5" w:tplc="08070005" w:tentative="1">
      <w:start w:val="1"/>
      <w:numFmt w:val="bullet"/>
      <w:lvlText w:val=""/>
      <w:lvlJc w:val="left"/>
      <w:pPr>
        <w:tabs>
          <w:tab w:val="num" w:pos="3990"/>
        </w:tabs>
        <w:ind w:left="3990" w:hanging="360"/>
      </w:pPr>
      <w:rPr>
        <w:rFonts w:ascii="Wingdings" w:hAnsi="Wingdings" w:hint="default"/>
      </w:rPr>
    </w:lvl>
    <w:lvl w:ilvl="6" w:tplc="08070001" w:tentative="1">
      <w:start w:val="1"/>
      <w:numFmt w:val="bullet"/>
      <w:lvlText w:val=""/>
      <w:lvlJc w:val="left"/>
      <w:pPr>
        <w:tabs>
          <w:tab w:val="num" w:pos="4710"/>
        </w:tabs>
        <w:ind w:left="4710" w:hanging="360"/>
      </w:pPr>
      <w:rPr>
        <w:rFonts w:ascii="Symbol" w:hAnsi="Symbol" w:hint="default"/>
      </w:rPr>
    </w:lvl>
    <w:lvl w:ilvl="7" w:tplc="08070003" w:tentative="1">
      <w:start w:val="1"/>
      <w:numFmt w:val="bullet"/>
      <w:lvlText w:val="o"/>
      <w:lvlJc w:val="left"/>
      <w:pPr>
        <w:tabs>
          <w:tab w:val="num" w:pos="5430"/>
        </w:tabs>
        <w:ind w:left="5430" w:hanging="360"/>
      </w:pPr>
      <w:rPr>
        <w:rFonts w:ascii="Courier New" w:hAnsi="Courier New" w:cs="Courier New" w:hint="default"/>
      </w:rPr>
    </w:lvl>
    <w:lvl w:ilvl="8" w:tplc="08070005" w:tentative="1">
      <w:start w:val="1"/>
      <w:numFmt w:val="bullet"/>
      <w:lvlText w:val=""/>
      <w:lvlJc w:val="left"/>
      <w:pPr>
        <w:tabs>
          <w:tab w:val="num" w:pos="6150"/>
        </w:tabs>
        <w:ind w:left="6150" w:hanging="360"/>
      </w:pPr>
      <w:rPr>
        <w:rFonts w:ascii="Wingdings" w:hAnsi="Wingdings" w:hint="default"/>
      </w:rPr>
    </w:lvl>
  </w:abstractNum>
  <w:abstractNum w:abstractNumId="24" w15:restartNumberingAfterBreak="0">
    <w:nsid w:val="7EBE07F5"/>
    <w:multiLevelType w:val="hybridMultilevel"/>
    <w:tmpl w:val="D7F8C9E0"/>
    <w:lvl w:ilvl="0" w:tplc="DE62ED18">
      <w:start w:val="1"/>
      <w:numFmt w:val="bullet"/>
      <w:lvlText w:val=""/>
      <w:lvlJc w:val="left"/>
      <w:pPr>
        <w:tabs>
          <w:tab w:val="num" w:pos="340"/>
        </w:tabs>
        <w:ind w:left="340"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5"/>
  </w:num>
  <w:num w:numId="4">
    <w:abstractNumId w:val="13"/>
  </w:num>
  <w:num w:numId="5">
    <w:abstractNumId w:val="22"/>
  </w:num>
  <w:num w:numId="6">
    <w:abstractNumId w:val="6"/>
  </w:num>
  <w:num w:numId="7">
    <w:abstractNumId w:val="3"/>
  </w:num>
  <w:num w:numId="8">
    <w:abstractNumId w:val="2"/>
  </w:num>
  <w:num w:numId="9">
    <w:abstractNumId w:val="1"/>
  </w:num>
  <w:num w:numId="10">
    <w:abstractNumId w:val="4"/>
  </w:num>
  <w:num w:numId="11">
    <w:abstractNumId w:val="23"/>
  </w:num>
  <w:num w:numId="12">
    <w:abstractNumId w:val="21"/>
  </w:num>
  <w:num w:numId="13">
    <w:abstractNumId w:val="9"/>
  </w:num>
  <w:num w:numId="14">
    <w:abstractNumId w:val="18"/>
  </w:num>
  <w:num w:numId="15">
    <w:abstractNumId w:val="8"/>
  </w:num>
  <w:num w:numId="16">
    <w:abstractNumId w:val="12"/>
  </w:num>
  <w:num w:numId="17">
    <w:abstractNumId w:val="15"/>
  </w:num>
  <w:num w:numId="18">
    <w:abstractNumId w:val="24"/>
  </w:num>
  <w:num w:numId="19">
    <w:abstractNumId w:val="0"/>
  </w:num>
  <w:num w:numId="20">
    <w:abstractNumId w:val="19"/>
  </w:num>
  <w:num w:numId="21">
    <w:abstractNumId w:val="10"/>
  </w:num>
  <w:num w:numId="22">
    <w:abstractNumId w:val="14"/>
  </w:num>
  <w:num w:numId="23">
    <w:abstractNumId w:val="11"/>
  </w:num>
  <w:num w:numId="24">
    <w:abstractNumId w:val="3"/>
    <w:lvlOverride w:ilvl="0">
      <w:startOverride w:val="3"/>
    </w:lvlOverride>
    <w:lvlOverride w:ilvl="1">
      <w:startOverride w:val="2"/>
    </w:lvlOverride>
  </w:num>
  <w:num w:numId="25">
    <w:abstractNumId w:val="3"/>
  </w:num>
  <w:num w:numId="26">
    <w:abstractNumId w:val="17"/>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B4654F2-B348-41B7-9414-01351DF4032F}"/>
    <w:docVar w:name="dgnword-eventsink" w:val="608070160"/>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EB5DCC"/>
    <w:rsid w:val="000154D2"/>
    <w:rsid w:val="000222D3"/>
    <w:rsid w:val="000329D9"/>
    <w:rsid w:val="00053A98"/>
    <w:rsid w:val="00057C4D"/>
    <w:rsid w:val="00073A59"/>
    <w:rsid w:val="0009556B"/>
    <w:rsid w:val="000A3703"/>
    <w:rsid w:val="000A45C6"/>
    <w:rsid w:val="000C5B49"/>
    <w:rsid w:val="000C606E"/>
    <w:rsid w:val="000C6907"/>
    <w:rsid w:val="000C7930"/>
    <w:rsid w:val="000D1888"/>
    <w:rsid w:val="000D3C1C"/>
    <w:rsid w:val="000D3C6F"/>
    <w:rsid w:val="000E5004"/>
    <w:rsid w:val="000F28FD"/>
    <w:rsid w:val="000F4AB4"/>
    <w:rsid w:val="000F6EB7"/>
    <w:rsid w:val="001034CB"/>
    <w:rsid w:val="00104B90"/>
    <w:rsid w:val="00111536"/>
    <w:rsid w:val="00132B54"/>
    <w:rsid w:val="00133F80"/>
    <w:rsid w:val="0014420C"/>
    <w:rsid w:val="00150838"/>
    <w:rsid w:val="00156C6A"/>
    <w:rsid w:val="00165D98"/>
    <w:rsid w:val="001667EA"/>
    <w:rsid w:val="00177642"/>
    <w:rsid w:val="00190C6A"/>
    <w:rsid w:val="001948F5"/>
    <w:rsid w:val="001B0441"/>
    <w:rsid w:val="001B70ED"/>
    <w:rsid w:val="001D44BB"/>
    <w:rsid w:val="001F7C79"/>
    <w:rsid w:val="002123D2"/>
    <w:rsid w:val="002129A1"/>
    <w:rsid w:val="00237B98"/>
    <w:rsid w:val="002417D6"/>
    <w:rsid w:val="002442E4"/>
    <w:rsid w:val="00280D18"/>
    <w:rsid w:val="00297BFD"/>
    <w:rsid w:val="002B4773"/>
    <w:rsid w:val="002B6F85"/>
    <w:rsid w:val="002C3ACE"/>
    <w:rsid w:val="002D0917"/>
    <w:rsid w:val="002D5080"/>
    <w:rsid w:val="002F511E"/>
    <w:rsid w:val="002F5D8C"/>
    <w:rsid w:val="00333270"/>
    <w:rsid w:val="00337894"/>
    <w:rsid w:val="003415A9"/>
    <w:rsid w:val="00344F7A"/>
    <w:rsid w:val="00366CF2"/>
    <w:rsid w:val="003709C4"/>
    <w:rsid w:val="00375FC2"/>
    <w:rsid w:val="00377B36"/>
    <w:rsid w:val="00384237"/>
    <w:rsid w:val="0039266A"/>
    <w:rsid w:val="003A0EAC"/>
    <w:rsid w:val="003C66CD"/>
    <w:rsid w:val="003D62AE"/>
    <w:rsid w:val="003E174D"/>
    <w:rsid w:val="003E309B"/>
    <w:rsid w:val="003E3CC9"/>
    <w:rsid w:val="003E5FC8"/>
    <w:rsid w:val="003F36FC"/>
    <w:rsid w:val="003F656C"/>
    <w:rsid w:val="003F7659"/>
    <w:rsid w:val="004063F4"/>
    <w:rsid w:val="00420A4E"/>
    <w:rsid w:val="00421D82"/>
    <w:rsid w:val="00437501"/>
    <w:rsid w:val="00440C1E"/>
    <w:rsid w:val="0044381E"/>
    <w:rsid w:val="00455AD3"/>
    <w:rsid w:val="004574F5"/>
    <w:rsid w:val="004612E7"/>
    <w:rsid w:val="004667D7"/>
    <w:rsid w:val="0048173E"/>
    <w:rsid w:val="004B441C"/>
    <w:rsid w:val="004C0B7D"/>
    <w:rsid w:val="004D46A0"/>
    <w:rsid w:val="004E0E3F"/>
    <w:rsid w:val="0050641E"/>
    <w:rsid w:val="00506ADE"/>
    <w:rsid w:val="00511EDF"/>
    <w:rsid w:val="005230DF"/>
    <w:rsid w:val="0052526B"/>
    <w:rsid w:val="0053312E"/>
    <w:rsid w:val="005369A4"/>
    <w:rsid w:val="0054486B"/>
    <w:rsid w:val="005454DF"/>
    <w:rsid w:val="00550CE2"/>
    <w:rsid w:val="00556DB5"/>
    <w:rsid w:val="00560FEB"/>
    <w:rsid w:val="0058273C"/>
    <w:rsid w:val="00591243"/>
    <w:rsid w:val="00594F48"/>
    <w:rsid w:val="005C4CF1"/>
    <w:rsid w:val="005F63E4"/>
    <w:rsid w:val="00600904"/>
    <w:rsid w:val="006032D2"/>
    <w:rsid w:val="00614CEC"/>
    <w:rsid w:val="00614D39"/>
    <w:rsid w:val="006231FE"/>
    <w:rsid w:val="00625D09"/>
    <w:rsid w:val="00646064"/>
    <w:rsid w:val="00652EC3"/>
    <w:rsid w:val="00656384"/>
    <w:rsid w:val="00662B91"/>
    <w:rsid w:val="006817B6"/>
    <w:rsid w:val="00684889"/>
    <w:rsid w:val="00691490"/>
    <w:rsid w:val="006930F1"/>
    <w:rsid w:val="00695023"/>
    <w:rsid w:val="006A1B3C"/>
    <w:rsid w:val="006A1BE2"/>
    <w:rsid w:val="006A1F7D"/>
    <w:rsid w:val="006A72BA"/>
    <w:rsid w:val="006A7A92"/>
    <w:rsid w:val="006B450B"/>
    <w:rsid w:val="006B53AE"/>
    <w:rsid w:val="006D00C8"/>
    <w:rsid w:val="006D1470"/>
    <w:rsid w:val="006E17F2"/>
    <w:rsid w:val="006E1B90"/>
    <w:rsid w:val="006E214A"/>
    <w:rsid w:val="006F4526"/>
    <w:rsid w:val="00711334"/>
    <w:rsid w:val="00722DF0"/>
    <w:rsid w:val="00737BC3"/>
    <w:rsid w:val="00746ECE"/>
    <w:rsid w:val="00750A97"/>
    <w:rsid w:val="00754E95"/>
    <w:rsid w:val="00761483"/>
    <w:rsid w:val="007630D2"/>
    <w:rsid w:val="00763765"/>
    <w:rsid w:val="00775C03"/>
    <w:rsid w:val="00784C37"/>
    <w:rsid w:val="007863A3"/>
    <w:rsid w:val="007910AA"/>
    <w:rsid w:val="00794C4A"/>
    <w:rsid w:val="00795A11"/>
    <w:rsid w:val="00795E48"/>
    <w:rsid w:val="007A00CC"/>
    <w:rsid w:val="007A3C63"/>
    <w:rsid w:val="007A71A5"/>
    <w:rsid w:val="007C0E4D"/>
    <w:rsid w:val="007C2E51"/>
    <w:rsid w:val="007E308D"/>
    <w:rsid w:val="007E7CF6"/>
    <w:rsid w:val="007E7FA0"/>
    <w:rsid w:val="007F3284"/>
    <w:rsid w:val="007F7E11"/>
    <w:rsid w:val="00807661"/>
    <w:rsid w:val="00811B14"/>
    <w:rsid w:val="00817F23"/>
    <w:rsid w:val="008208B0"/>
    <w:rsid w:val="00820DD6"/>
    <w:rsid w:val="00836505"/>
    <w:rsid w:val="00837E00"/>
    <w:rsid w:val="0084268A"/>
    <w:rsid w:val="00842FC2"/>
    <w:rsid w:val="00854A85"/>
    <w:rsid w:val="00856E04"/>
    <w:rsid w:val="0086244F"/>
    <w:rsid w:val="008837AB"/>
    <w:rsid w:val="00893EC0"/>
    <w:rsid w:val="008A5BEC"/>
    <w:rsid w:val="008D385A"/>
    <w:rsid w:val="008D4F0F"/>
    <w:rsid w:val="008E2520"/>
    <w:rsid w:val="008E3DDF"/>
    <w:rsid w:val="008F115A"/>
    <w:rsid w:val="009017C9"/>
    <w:rsid w:val="00920B2B"/>
    <w:rsid w:val="0092404E"/>
    <w:rsid w:val="00924117"/>
    <w:rsid w:val="00924662"/>
    <w:rsid w:val="00941481"/>
    <w:rsid w:val="00945EBB"/>
    <w:rsid w:val="00954110"/>
    <w:rsid w:val="00957535"/>
    <w:rsid w:val="00963BE7"/>
    <w:rsid w:val="00973134"/>
    <w:rsid w:val="00973EC7"/>
    <w:rsid w:val="00987DF1"/>
    <w:rsid w:val="00993A78"/>
    <w:rsid w:val="009A0F94"/>
    <w:rsid w:val="009A15A8"/>
    <w:rsid w:val="009A7693"/>
    <w:rsid w:val="009B31E2"/>
    <w:rsid w:val="009B325C"/>
    <w:rsid w:val="009B6DD1"/>
    <w:rsid w:val="009C7735"/>
    <w:rsid w:val="009E6CEB"/>
    <w:rsid w:val="009F7846"/>
    <w:rsid w:val="00A00DA9"/>
    <w:rsid w:val="00A16858"/>
    <w:rsid w:val="00A17883"/>
    <w:rsid w:val="00A23BE7"/>
    <w:rsid w:val="00A31472"/>
    <w:rsid w:val="00A440D3"/>
    <w:rsid w:val="00A47D55"/>
    <w:rsid w:val="00A60329"/>
    <w:rsid w:val="00A63454"/>
    <w:rsid w:val="00A64338"/>
    <w:rsid w:val="00A80A9E"/>
    <w:rsid w:val="00A870E8"/>
    <w:rsid w:val="00A91152"/>
    <w:rsid w:val="00A926FC"/>
    <w:rsid w:val="00A92DFC"/>
    <w:rsid w:val="00AA26DB"/>
    <w:rsid w:val="00AB43AD"/>
    <w:rsid w:val="00AC4079"/>
    <w:rsid w:val="00AC6AE1"/>
    <w:rsid w:val="00AD20F7"/>
    <w:rsid w:val="00AD7E0C"/>
    <w:rsid w:val="00AE27B1"/>
    <w:rsid w:val="00AE5954"/>
    <w:rsid w:val="00AE6E9A"/>
    <w:rsid w:val="00AF075D"/>
    <w:rsid w:val="00AF658B"/>
    <w:rsid w:val="00B12315"/>
    <w:rsid w:val="00B27560"/>
    <w:rsid w:val="00B31C22"/>
    <w:rsid w:val="00B3263D"/>
    <w:rsid w:val="00B607D8"/>
    <w:rsid w:val="00B765E2"/>
    <w:rsid w:val="00B92738"/>
    <w:rsid w:val="00B9507E"/>
    <w:rsid w:val="00BB21E3"/>
    <w:rsid w:val="00BB24D0"/>
    <w:rsid w:val="00BB2EA7"/>
    <w:rsid w:val="00BB4C37"/>
    <w:rsid w:val="00BD0523"/>
    <w:rsid w:val="00BE1EB9"/>
    <w:rsid w:val="00BE6CCF"/>
    <w:rsid w:val="00BE6F56"/>
    <w:rsid w:val="00C20E26"/>
    <w:rsid w:val="00C358F2"/>
    <w:rsid w:val="00C361D8"/>
    <w:rsid w:val="00C44E7A"/>
    <w:rsid w:val="00C44EE1"/>
    <w:rsid w:val="00C47739"/>
    <w:rsid w:val="00C5778A"/>
    <w:rsid w:val="00C66431"/>
    <w:rsid w:val="00C741DF"/>
    <w:rsid w:val="00C75A43"/>
    <w:rsid w:val="00C76E3C"/>
    <w:rsid w:val="00CA043F"/>
    <w:rsid w:val="00CB14EC"/>
    <w:rsid w:val="00CB7AC2"/>
    <w:rsid w:val="00CD1B48"/>
    <w:rsid w:val="00CE12A6"/>
    <w:rsid w:val="00CE2D8C"/>
    <w:rsid w:val="00CE4F66"/>
    <w:rsid w:val="00CE7005"/>
    <w:rsid w:val="00D01A17"/>
    <w:rsid w:val="00D05CDC"/>
    <w:rsid w:val="00D273DA"/>
    <w:rsid w:val="00D34158"/>
    <w:rsid w:val="00D64BE8"/>
    <w:rsid w:val="00D703CA"/>
    <w:rsid w:val="00D71C41"/>
    <w:rsid w:val="00D750DB"/>
    <w:rsid w:val="00D802D1"/>
    <w:rsid w:val="00D803FE"/>
    <w:rsid w:val="00D85680"/>
    <w:rsid w:val="00D86B69"/>
    <w:rsid w:val="00DA024F"/>
    <w:rsid w:val="00DB78B1"/>
    <w:rsid w:val="00DC434D"/>
    <w:rsid w:val="00DD180F"/>
    <w:rsid w:val="00DF11B5"/>
    <w:rsid w:val="00E0497D"/>
    <w:rsid w:val="00E27D8A"/>
    <w:rsid w:val="00E44ECC"/>
    <w:rsid w:val="00E630F4"/>
    <w:rsid w:val="00E66FA5"/>
    <w:rsid w:val="00E70749"/>
    <w:rsid w:val="00E77443"/>
    <w:rsid w:val="00E87794"/>
    <w:rsid w:val="00EA122A"/>
    <w:rsid w:val="00EA667B"/>
    <w:rsid w:val="00EB4E6C"/>
    <w:rsid w:val="00EB5DCC"/>
    <w:rsid w:val="00EC0094"/>
    <w:rsid w:val="00ED1748"/>
    <w:rsid w:val="00EE0015"/>
    <w:rsid w:val="00EE0450"/>
    <w:rsid w:val="00F07A2E"/>
    <w:rsid w:val="00F129DE"/>
    <w:rsid w:val="00F167C3"/>
    <w:rsid w:val="00F26DFB"/>
    <w:rsid w:val="00F33B35"/>
    <w:rsid w:val="00F34669"/>
    <w:rsid w:val="00F4147E"/>
    <w:rsid w:val="00F46595"/>
    <w:rsid w:val="00F5338E"/>
    <w:rsid w:val="00F64186"/>
    <w:rsid w:val="00F6511E"/>
    <w:rsid w:val="00F70967"/>
    <w:rsid w:val="00F7380A"/>
    <w:rsid w:val="00FA5623"/>
    <w:rsid w:val="00FB46E4"/>
    <w:rsid w:val="00FD6F7F"/>
    <w:rsid w:val="00FE293F"/>
    <w:rsid w:val="00FE3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15292D5"/>
  <w15:docId w15:val="{3952E004-0826-41B3-B09C-EEA8EFC5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paragraph" w:customStyle="1" w:styleId="WeisungStandard">
    <w:name w:val="Weisung Standard"/>
    <w:basedOn w:val="Standard"/>
    <w:rsid w:val="000D3C6F"/>
    <w:rPr>
      <w:szCs w:val="24"/>
    </w:rPr>
  </w:style>
  <w:style w:type="paragraph" w:styleId="Aufzhlungszeichen">
    <w:name w:val="List Bullet"/>
    <w:basedOn w:val="Standard"/>
    <w:semiHidden/>
    <w:rsid w:val="00924117"/>
    <w:pPr>
      <w:tabs>
        <w:tab w:val="num" w:pos="360"/>
      </w:tabs>
      <w:ind w:left="360" w:hanging="360"/>
    </w:pPr>
    <w:rPr>
      <w:sz w:val="24"/>
    </w:rPr>
  </w:style>
  <w:style w:type="character" w:customStyle="1" w:styleId="Absatz0Zchn">
    <w:name w:val="Absatz 0 Zchn"/>
    <w:link w:val="Absatz0"/>
    <w:rsid w:val="00924117"/>
    <w:rPr>
      <w:rFonts w:ascii="Arial" w:hAnsi="Arial" w:cs="Arial"/>
      <w:sz w:val="22"/>
      <w:lang w:val="de-CH" w:eastAsia="de-DE" w:bidi="ar-SA"/>
    </w:rPr>
  </w:style>
  <w:style w:type="table" w:styleId="Tabellenraster">
    <w:name w:val="Table Grid"/>
    <w:basedOn w:val="NormaleTabelle"/>
    <w:rsid w:val="00924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60329"/>
    <w:rPr>
      <w:color w:val="0000FF"/>
      <w:u w:val="single"/>
    </w:rPr>
  </w:style>
  <w:style w:type="character" w:styleId="BesuchterLink">
    <w:name w:val="FollowedHyperlink"/>
    <w:basedOn w:val="Absatz-Standardschriftart"/>
    <w:rsid w:val="00E44ECC"/>
    <w:rPr>
      <w:color w:val="800080" w:themeColor="followedHyperlink"/>
      <w:u w:val="single"/>
    </w:rPr>
  </w:style>
  <w:style w:type="character" w:styleId="Kommentarzeichen">
    <w:name w:val="annotation reference"/>
    <w:basedOn w:val="Absatz-Standardschriftart"/>
    <w:rsid w:val="00E44ECC"/>
    <w:rPr>
      <w:sz w:val="16"/>
      <w:szCs w:val="16"/>
    </w:rPr>
  </w:style>
  <w:style w:type="paragraph" w:styleId="Kommentartext">
    <w:name w:val="annotation text"/>
    <w:basedOn w:val="Standard"/>
    <w:link w:val="KommentartextZchn"/>
    <w:rsid w:val="00E44ECC"/>
    <w:rPr>
      <w:sz w:val="20"/>
    </w:rPr>
  </w:style>
  <w:style w:type="character" w:customStyle="1" w:styleId="KommentartextZchn">
    <w:name w:val="Kommentartext Zchn"/>
    <w:basedOn w:val="Absatz-Standardschriftart"/>
    <w:link w:val="Kommentartext"/>
    <w:rsid w:val="00E44ECC"/>
    <w:rPr>
      <w:rFonts w:ascii="Arial" w:hAnsi="Arial" w:cs="Arial"/>
      <w:lang w:eastAsia="de-DE"/>
    </w:rPr>
  </w:style>
  <w:style w:type="paragraph" w:styleId="Kommentarthema">
    <w:name w:val="annotation subject"/>
    <w:basedOn w:val="Kommentartext"/>
    <w:next w:val="Kommentartext"/>
    <w:link w:val="KommentarthemaZchn"/>
    <w:rsid w:val="00E44ECC"/>
    <w:rPr>
      <w:b/>
      <w:bCs/>
    </w:rPr>
  </w:style>
  <w:style w:type="character" w:customStyle="1" w:styleId="KommentarthemaZchn">
    <w:name w:val="Kommentarthema Zchn"/>
    <w:basedOn w:val="KommentartextZchn"/>
    <w:link w:val="Kommentarthema"/>
    <w:rsid w:val="00E44ECC"/>
    <w:rPr>
      <w:rFonts w:ascii="Arial" w:hAnsi="Arial" w:cs="Arial"/>
      <w:b/>
      <w:bCs/>
      <w:lang w:eastAsia="de-DE"/>
    </w:rPr>
  </w:style>
  <w:style w:type="paragraph" w:styleId="Listenabsatz">
    <w:name w:val="List Paragraph"/>
    <w:basedOn w:val="Standard"/>
    <w:uiPriority w:val="34"/>
    <w:qFormat/>
    <w:rsid w:val="00784C37"/>
    <w:pPr>
      <w:ind w:left="720"/>
      <w:contextualSpacing/>
    </w:pPr>
  </w:style>
  <w:style w:type="paragraph" w:customStyle="1" w:styleId="FarbigeListe-Akzent11">
    <w:name w:val="Farbige Liste - Akzent 11"/>
    <w:basedOn w:val="Standard"/>
    <w:uiPriority w:val="34"/>
    <w:qFormat/>
    <w:rsid w:val="004B441C"/>
    <w:pPr>
      <w:ind w:left="720"/>
      <w:contextualSpacing/>
    </w:pPr>
  </w:style>
  <w:style w:type="paragraph" w:styleId="berarbeitung">
    <w:name w:val="Revision"/>
    <w:hidden/>
    <w:uiPriority w:val="99"/>
    <w:semiHidden/>
    <w:rsid w:val="00C361D8"/>
    <w:rPr>
      <w:rFonts w:ascii="Arial" w:hAnsi="Arial" w:cs="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3473">
      <w:bodyDiv w:val="1"/>
      <w:marLeft w:val="0"/>
      <w:marRight w:val="0"/>
      <w:marTop w:val="0"/>
      <w:marBottom w:val="0"/>
      <w:divBdr>
        <w:top w:val="none" w:sz="0" w:space="0" w:color="auto"/>
        <w:left w:val="none" w:sz="0" w:space="0" w:color="auto"/>
        <w:bottom w:val="none" w:sz="0" w:space="0" w:color="auto"/>
        <w:right w:val="none" w:sz="0" w:space="0" w:color="auto"/>
      </w:divBdr>
    </w:div>
    <w:div w:id="18632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3244C-F8F9-4D74-96EE-E92B93AF3677}">
  <ds:schemaRefs>
    <ds:schemaRef ds:uri="http://schemas.microsoft.com/sharepoint/v3/contenttype/forms"/>
  </ds:schemaRefs>
</ds:datastoreItem>
</file>

<file path=customXml/itemProps2.xml><?xml version="1.0" encoding="utf-8"?>
<ds:datastoreItem xmlns:ds="http://schemas.openxmlformats.org/officeDocument/2006/customXml" ds:itemID="{BA5C0AC1-8545-4308-82C1-3204C5D23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958653-57F1-403D-B5BA-27A89A3B5BD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001edaa9-679f-44c4-8577-c8b09c58a932"/>
    <ds:schemaRef ds:uri="http://schemas.openxmlformats.org/package/2006/metadata/core-properties"/>
    <ds:schemaRef ds:uri="http://www.w3.org/XML/1998/namespace"/>
    <ds:schemaRef ds:uri="c16e5f25-af73-4405-bde3-e67fc44b13fc"/>
    <ds:schemaRef ds:uri="http://schemas.microsoft.com/sharepoint/v3"/>
    <ds:schemaRef ds:uri="http://purl.org/dc/dcmitype/"/>
  </ds:schemaRefs>
</ds:datastoreItem>
</file>

<file path=customXml/itemProps4.xml><?xml version="1.0" encoding="utf-8"?>
<ds:datastoreItem xmlns:ds="http://schemas.openxmlformats.org/officeDocument/2006/customXml" ds:itemID="{A928EE42-3010-4E61-A461-E9295EB0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5250</Characters>
  <Application>Microsoft Office Word</Application>
  <DocSecurity>0</DocSecurity>
  <Lines>148</Lines>
  <Paragraphs>65</Paragraphs>
  <ScaleCrop>false</ScaleCrop>
  <HeadingPairs>
    <vt:vector size="2" baseType="variant">
      <vt:variant>
        <vt:lpstr>Titel</vt:lpstr>
      </vt:variant>
      <vt:variant>
        <vt:i4>1</vt:i4>
      </vt:variant>
    </vt:vector>
  </HeadingPairs>
  <TitlesOfParts>
    <vt:vector size="1" baseType="lpstr">
      <vt:lpstr>HAW Sozialbegleitung für Familien (SOF)</vt:lpstr>
    </vt:vector>
  </TitlesOfParts>
  <Company>Soziale Dienste Stadt Zürich</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Sozialbegleitung für Familien (SOF)</dc:title>
  <dc:creator>FS Team FG</dc:creator>
  <cp:lastModifiedBy>Laura Walz (sozwcl)</cp:lastModifiedBy>
  <cp:revision>14</cp:revision>
  <cp:lastPrinted>2021-09-14T11:49:00Z</cp:lastPrinted>
  <dcterms:created xsi:type="dcterms:W3CDTF">2021-10-04T08:46:00Z</dcterms:created>
  <dcterms:modified xsi:type="dcterms:W3CDTF">2022-07-01T08:13:00Z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_dlc_DocIdItemGuid">
    <vt:lpwstr>77966c06-5cf9-4b4f-9f87-2c0349178e9d</vt:lpwstr>
  </property>
  <property fmtid="{D5CDD505-2E9C-101B-9397-08002B2CF9AE}" pid="4" name="_dlc_DocId">
    <vt:lpwstr>SDSOD-119-353</vt:lpwstr>
  </property>
  <property fmtid="{D5CDD505-2E9C-101B-9397-08002B2CF9AE}" pid="5" name="_dlc_DocIdUrl">
    <vt:lpwstr>http://portal.sd.intra.stzh.ch/sod/regelwerk/_layouts/DocIdRedir.aspx?ID=SDSOD-119-353, SDSOD-119-353</vt:lpwstr>
  </property>
  <property fmtid="{D5CDD505-2E9C-101B-9397-08002B2CF9AE}" pid="6" name="WorkflowChangePath">
    <vt:lpwstr>0d2b39e8-dd18-4502-a924-40335b5a9ad4,2;0d2b39e8-dd18-4502-a924-40335b5a9ad4,4;0d2b39e8-dd18-4502-a924-40335b5a9ad4,6;0d2b39e8-dd18-4502-a924-40335b5a9ad4,8;7dbe9e3d-1110-41fa-836b-195a3e49061c,4;7dbe9e3d-1110-41fa-836b-195a3e49061c,6;</vt:lpwstr>
  </property>
  <property fmtid="{D5CDD505-2E9C-101B-9397-08002B2CF9AE}" pid="7" name="Order">
    <vt:r8>35300</vt:r8>
  </property>
  <property fmtid="{D5CDD505-2E9C-101B-9397-08002B2CF9AE}" pid="8" name="Dokumentenart">
    <vt:lpwstr>SOD Handlungsanweisung (HAW)</vt:lpwstr>
  </property>
  <property fmtid="{D5CDD505-2E9C-101B-9397-08002B2CF9AE}" pid="9" name="IsMyDocuments">
    <vt:bool>true</vt:bool>
  </property>
  <property fmtid="{D5CDD505-2E9C-101B-9397-08002B2CF9AE}" pid="10" name="IntraZueriMandant">
    <vt:lpwstr>1;#SOD|d2ca4cc4-367d-4a9a-a3b2-38906409b4ae</vt:lpwstr>
  </property>
</Properties>
</file>