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3937D4" w:rsidRPr="006930F7" w14:paraId="41E87579"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60A7ECCE" w14:textId="77777777" w:rsidR="003937D4" w:rsidRPr="006930F7" w:rsidRDefault="003937D4">
            <w:pPr>
              <w:pStyle w:val="WeisungKopfteil"/>
              <w:framePr w:hSpace="0" w:wrap="auto" w:vAnchor="margin" w:hAnchor="text" w:xAlign="left" w:yAlign="inline"/>
              <w:spacing w:after="0"/>
              <w:rPr>
                <w:b w:val="0"/>
                <w:bCs/>
                <w:sz w:val="20"/>
              </w:rPr>
            </w:pPr>
            <w:r w:rsidRPr="006930F7">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253478F3" w14:textId="21E9DC18" w:rsidR="003937D4" w:rsidRPr="006930F7" w:rsidRDefault="003937D4" w:rsidP="0049752B">
            <w:pPr>
              <w:pStyle w:val="WeisungKopfteil"/>
              <w:framePr w:hSpace="0" w:wrap="auto" w:vAnchor="margin" w:hAnchor="text" w:xAlign="left" w:yAlign="inline"/>
              <w:spacing w:after="0"/>
              <w:jc w:val="center"/>
              <w:rPr>
                <w:sz w:val="20"/>
              </w:rPr>
            </w:pPr>
            <w:r w:rsidRPr="006930F7">
              <w:t xml:space="preserve">Handlungsanweisung </w:t>
            </w:r>
            <w:r w:rsidR="0049752B">
              <w:t>der Direktion</w:t>
            </w:r>
            <w:r w:rsidRPr="006930F7">
              <w:br/>
            </w:r>
          </w:p>
        </w:tc>
        <w:bookmarkStart w:id="0" w:name="Dropdown1"/>
        <w:tc>
          <w:tcPr>
            <w:tcW w:w="2414" w:type="dxa"/>
            <w:tcBorders>
              <w:top w:val="single" w:sz="4" w:space="0" w:color="808080"/>
              <w:left w:val="single" w:sz="6" w:space="0" w:color="808080"/>
              <w:bottom w:val="nil"/>
              <w:right w:val="single" w:sz="4" w:space="0" w:color="808080"/>
            </w:tcBorders>
            <w:shd w:val="clear" w:color="auto" w:fill="F3F3F3"/>
          </w:tcPr>
          <w:p w14:paraId="6910BB25" w14:textId="77777777" w:rsidR="003937D4" w:rsidRPr="006930F7" w:rsidRDefault="003937D4">
            <w:pPr>
              <w:pStyle w:val="WeisungKopfteil"/>
              <w:framePr w:hSpace="0" w:wrap="auto" w:vAnchor="margin" w:hAnchor="text" w:xAlign="left" w:yAlign="inline"/>
              <w:spacing w:after="0"/>
              <w:ind w:right="45"/>
              <w:jc w:val="right"/>
              <w:rPr>
                <w:b w:val="0"/>
                <w:bCs/>
                <w:sz w:val="20"/>
              </w:rPr>
            </w:pPr>
            <w:r w:rsidRPr="006930F7">
              <w:fldChar w:fldCharType="begin">
                <w:ffData>
                  <w:name w:val="Dropdown1"/>
                  <w:enabled/>
                  <w:calcOnExit w:val="0"/>
                  <w:ddList>
                    <w:listEntry w:val="Gültig ab:"/>
                    <w:listEntry w:val="Datum:"/>
                  </w:ddList>
                </w:ffData>
              </w:fldChar>
            </w:r>
            <w:r w:rsidRPr="006930F7">
              <w:instrText xml:space="preserve"> FORMDROPDOWN </w:instrText>
            </w:r>
            <w:r w:rsidR="004B3763">
              <w:fldChar w:fldCharType="separate"/>
            </w:r>
            <w:r w:rsidRPr="006930F7">
              <w:fldChar w:fldCharType="end"/>
            </w:r>
            <w:bookmarkEnd w:id="0"/>
            <w:r w:rsidRPr="006930F7">
              <w:t xml:space="preserve"> </w:t>
            </w:r>
          </w:p>
        </w:tc>
      </w:tr>
      <w:tr w:rsidR="003937D4" w:rsidRPr="006930F7" w14:paraId="593CA337"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085D6C80" w14:textId="77777777" w:rsidR="003B08A8" w:rsidRDefault="003B08A8" w:rsidP="003B08A8">
            <w:pPr>
              <w:pStyle w:val="WeisungKopfteil"/>
              <w:framePr w:hSpace="0" w:wrap="auto" w:vAnchor="margin" w:hAnchor="text" w:xAlign="left" w:yAlign="inline"/>
              <w:spacing w:before="0" w:after="0"/>
              <w:rPr>
                <w:b w:val="0"/>
              </w:rPr>
            </w:pPr>
            <w:r w:rsidRPr="003B08A8">
              <w:rPr>
                <w:b w:val="0"/>
              </w:rPr>
              <w:t>SHG § 15a, 24</w:t>
            </w:r>
          </w:p>
          <w:p w14:paraId="0DEF868A" w14:textId="4D373E57" w:rsidR="00611198" w:rsidRPr="003B08A8" w:rsidRDefault="00611198" w:rsidP="003B08A8">
            <w:pPr>
              <w:pStyle w:val="WeisungKopfteil"/>
              <w:framePr w:hSpace="0" w:wrap="auto" w:vAnchor="margin" w:hAnchor="text" w:xAlign="left" w:yAlign="inline"/>
              <w:spacing w:before="0" w:after="0"/>
              <w:rPr>
                <w:b w:val="0"/>
                <w:highlight w:val="green"/>
              </w:rPr>
            </w:pPr>
            <w:r>
              <w:rPr>
                <w:b w:val="0"/>
              </w:rPr>
              <w:t>SKOS C.5</w:t>
            </w:r>
          </w:p>
        </w:tc>
        <w:tc>
          <w:tcPr>
            <w:tcW w:w="4453" w:type="dxa"/>
            <w:vMerge/>
            <w:tcBorders>
              <w:left w:val="single" w:sz="6" w:space="0" w:color="808080"/>
              <w:bottom w:val="single" w:sz="6" w:space="0" w:color="808080"/>
              <w:right w:val="single" w:sz="6" w:space="0" w:color="808080"/>
            </w:tcBorders>
            <w:shd w:val="clear" w:color="auto" w:fill="F3F3F3"/>
          </w:tcPr>
          <w:p w14:paraId="39091EF8" w14:textId="77777777" w:rsidR="003937D4" w:rsidRPr="006930F7" w:rsidRDefault="003937D4">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31701A18" w14:textId="786452CB" w:rsidR="00B85A6E" w:rsidRPr="00950E68" w:rsidRDefault="006A5FEA" w:rsidP="00B85A6E">
            <w:pPr>
              <w:pStyle w:val="WeisungKopfteil"/>
              <w:framePr w:hSpace="0" w:wrap="auto" w:vAnchor="margin" w:hAnchor="text" w:xAlign="left" w:yAlign="inline"/>
              <w:spacing w:before="0" w:after="0"/>
              <w:ind w:right="45"/>
              <w:jc w:val="right"/>
              <w:rPr>
                <w:b w:val="0"/>
                <w:bCs/>
                <w:sz w:val="20"/>
              </w:rPr>
            </w:pPr>
            <w:r>
              <w:rPr>
                <w:b w:val="0"/>
                <w:bCs/>
                <w:sz w:val="20"/>
              </w:rPr>
              <w:t>01.07.2021</w:t>
            </w:r>
          </w:p>
          <w:p w14:paraId="4E3EC5F2" w14:textId="54ADBA74" w:rsidR="003937D4" w:rsidRPr="006930F7" w:rsidRDefault="003937D4" w:rsidP="00E56AED">
            <w:pPr>
              <w:pStyle w:val="WeisungKopfteil"/>
              <w:framePr w:hSpace="0" w:wrap="auto" w:vAnchor="margin" w:hAnchor="text" w:xAlign="left" w:yAlign="inline"/>
              <w:spacing w:before="0" w:after="0"/>
              <w:ind w:right="45"/>
              <w:jc w:val="right"/>
            </w:pPr>
          </w:p>
        </w:tc>
      </w:tr>
      <w:tr w:rsidR="003937D4" w:rsidRPr="006930F7" w14:paraId="04218C40" w14:textId="77777777" w:rsidTr="008540A9">
        <w:trPr>
          <w:cantSplit/>
          <w:trHeight w:val="410"/>
        </w:trPr>
        <w:tc>
          <w:tcPr>
            <w:tcW w:w="9090" w:type="dxa"/>
            <w:gridSpan w:val="3"/>
            <w:tcBorders>
              <w:top w:val="single" w:sz="6" w:space="0" w:color="808080"/>
              <w:left w:val="single" w:sz="4" w:space="0" w:color="808080"/>
              <w:bottom w:val="single" w:sz="6" w:space="0" w:color="808080"/>
              <w:right w:val="single" w:sz="4" w:space="0" w:color="808080"/>
            </w:tcBorders>
          </w:tcPr>
          <w:p w14:paraId="064E47B5" w14:textId="15539469" w:rsidR="003937D4" w:rsidRPr="006930F7" w:rsidRDefault="006A5FEA">
            <w:pPr>
              <w:pStyle w:val="WeisungKopfteil"/>
              <w:framePr w:hSpace="0" w:wrap="auto" w:vAnchor="margin" w:hAnchor="text" w:xAlign="left" w:yAlign="inline"/>
            </w:pPr>
            <w:r>
              <w:t>Wechsel in eine günstige Krankenversicherung</w:t>
            </w:r>
          </w:p>
        </w:tc>
      </w:tr>
    </w:tbl>
    <w:p w14:paraId="745CFBF8" w14:textId="3FBA7025" w:rsidR="008540A9" w:rsidRDefault="008540A9" w:rsidP="00010530"/>
    <w:p w14:paraId="23374A64" w14:textId="7612D6B3" w:rsidR="00246470" w:rsidRDefault="003937D4" w:rsidP="003937D4">
      <w:pPr>
        <w:pStyle w:val="berschrift1"/>
        <w:spacing w:after="240"/>
      </w:pPr>
      <w:bookmarkStart w:id="1" w:name="_Toc69934813"/>
      <w:r w:rsidRPr="006930F7">
        <w:t>Grundlage</w:t>
      </w:r>
      <w:r w:rsidR="006A5FEA">
        <w:t>n</w:t>
      </w:r>
      <w:bookmarkEnd w:id="1"/>
    </w:p>
    <w:p w14:paraId="04955DA3" w14:textId="44B47297" w:rsidR="00887716" w:rsidRDefault="00210CA1" w:rsidP="003937D4">
      <w:r>
        <w:t xml:space="preserve">Der Wechsel in eine günstige Krankenversicherung richtet sich nach </w:t>
      </w:r>
      <w:r w:rsidR="00843F03">
        <w:t xml:space="preserve">dem kantonalen Sozialhilfegesetz. </w:t>
      </w:r>
      <w:r w:rsidR="00D36A21">
        <w:t xml:space="preserve">Gemäss §15a SHG sind Sozialhilfeorgane verpflichtet, Sozialhilfebeziehende zu einem Wechsel in eine günstige Krankenversicherung anzuhalten und gegebenenfalls zu unterstützen, sobald ein Wechsel möglich und zumutbar ist. </w:t>
      </w:r>
      <w:r w:rsidR="00887716">
        <w:t xml:space="preserve">Wird der Wechsel von den Sozialhilfebeziehenden verweigert, obwohl er möglich und zumutbar ist, sind die Sozialhilfeleistungen angemessen zu kürzen (§24 SHG). </w:t>
      </w:r>
    </w:p>
    <w:p w14:paraId="7D845EB5" w14:textId="4A1AEFDD" w:rsidR="006601CB" w:rsidRDefault="006601CB" w:rsidP="006601CB">
      <w:pPr>
        <w:pStyle w:val="berschrift1"/>
      </w:pPr>
      <w:bookmarkStart w:id="2" w:name="_Toc69934814"/>
      <w:r>
        <w:t>Wechsel in eine günstige Krankenversicherung</w:t>
      </w:r>
      <w:bookmarkEnd w:id="2"/>
    </w:p>
    <w:p w14:paraId="0E4BF273" w14:textId="43BD5CC5" w:rsidR="00F446D5" w:rsidRDefault="007F2C7A" w:rsidP="00927EA6">
      <w:r w:rsidRPr="0030111D">
        <w:t xml:space="preserve">Unterstützte Personen sollen die obligatorische Krankenpflegeversicherung bei Krankenversicherern abschliessen, die ihre Leistungen zu möglichst tiefen Preisen anbieten. </w:t>
      </w:r>
      <w:r w:rsidR="009D7149">
        <w:t xml:space="preserve">Alle </w:t>
      </w:r>
      <w:r w:rsidR="00927EA6">
        <w:t xml:space="preserve">Klientinnen und Klienten </w:t>
      </w:r>
      <w:r w:rsidR="009A42EB">
        <w:t>(KL)</w:t>
      </w:r>
      <w:r>
        <w:t xml:space="preserve"> </w:t>
      </w:r>
      <w:r w:rsidR="009D7149">
        <w:t>sind</w:t>
      </w:r>
      <w:r>
        <w:t xml:space="preserve"> daher</w:t>
      </w:r>
      <w:r w:rsidR="009D7149">
        <w:t xml:space="preserve"> darüber zu orientieren, dass sie gesetzlich verpflichtet sind, sich bei einer günstigen Krankenkasse</w:t>
      </w:r>
      <w:r w:rsidR="005C11AE">
        <w:t xml:space="preserve"> (KK)</w:t>
      </w:r>
      <w:r w:rsidR="009D7149">
        <w:t xml:space="preserve"> zu versichern</w:t>
      </w:r>
      <w:r>
        <w:t xml:space="preserve"> oder in ein günstige</w:t>
      </w:r>
      <w:r w:rsidR="000C64E6">
        <w:t xml:space="preserve">res Versicherungsmodell bei ihrer </w:t>
      </w:r>
      <w:r w:rsidR="005C11AE">
        <w:t xml:space="preserve">KK </w:t>
      </w:r>
      <w:r w:rsidR="000C64E6">
        <w:t xml:space="preserve">zu </w:t>
      </w:r>
      <w:r>
        <w:t>wechseln</w:t>
      </w:r>
      <w:r w:rsidR="009D7149">
        <w:t>. Sind die KVG-Bruttoprämien</w:t>
      </w:r>
      <w:r>
        <w:t xml:space="preserve"> gemäss Vorgaben der Gesundheitsdirektion des Kantons Zürich (GD)</w:t>
      </w:r>
      <w:r w:rsidR="009D7149">
        <w:t xml:space="preserve"> zu hoch, sind die KL </w:t>
      </w:r>
      <w:r w:rsidR="00927EA6">
        <w:t xml:space="preserve">zu einem Wechsel in eine günstige </w:t>
      </w:r>
      <w:r w:rsidR="00A42456">
        <w:t>KK</w:t>
      </w:r>
      <w:r w:rsidR="00927EA6">
        <w:t xml:space="preserve"> anzuhalten. </w:t>
      </w:r>
      <w:r>
        <w:t>Tiefer</w:t>
      </w:r>
      <w:r w:rsidR="0030111D">
        <w:t>e</w:t>
      </w:r>
      <w:r>
        <w:t xml:space="preserve"> Krankenkassenprämien</w:t>
      </w:r>
      <w:r w:rsidR="009D7149">
        <w:t xml:space="preserve"> </w:t>
      </w:r>
      <w:r>
        <w:t xml:space="preserve">haben </w:t>
      </w:r>
      <w:r w:rsidR="009D7149">
        <w:t xml:space="preserve">für </w:t>
      </w:r>
      <w:r w:rsidR="005C11AE">
        <w:t xml:space="preserve">die KL </w:t>
      </w:r>
      <w:r w:rsidR="009D7149">
        <w:t>den Vorteil,</w:t>
      </w:r>
      <w:r w:rsidR="00F446D5">
        <w:t xml:space="preserve"> </w:t>
      </w:r>
      <w:r w:rsidR="009D7149">
        <w:t>dass die</w:t>
      </w:r>
      <w:r w:rsidR="00F446D5">
        <w:t xml:space="preserve"> finanziellen Ausgaben</w:t>
      </w:r>
      <w:r>
        <w:t>, auch über die Zeit der Ablösung von der WH hinaus,</w:t>
      </w:r>
      <w:r w:rsidR="009D7149">
        <w:t xml:space="preserve"> reduziert werden können</w:t>
      </w:r>
      <w:r>
        <w:t>. Dies</w:t>
      </w:r>
      <w:r w:rsidR="00F446D5">
        <w:t xml:space="preserve"> bei gleicher Leistung, </w:t>
      </w:r>
      <w:r>
        <w:t xml:space="preserve">weil </w:t>
      </w:r>
      <w:r w:rsidR="00F446D5">
        <w:t xml:space="preserve">diese in der Grundversicherung bei allen </w:t>
      </w:r>
      <w:r w:rsidR="005C11AE">
        <w:t xml:space="preserve">KK </w:t>
      </w:r>
      <w:r w:rsidR="00F446D5">
        <w:t>dieselben sind</w:t>
      </w:r>
      <w:r>
        <w:t>.</w:t>
      </w:r>
    </w:p>
    <w:p w14:paraId="2738037A" w14:textId="2AEA3604" w:rsidR="000605B2" w:rsidRDefault="000605B2" w:rsidP="00927EA6"/>
    <w:p w14:paraId="7626F0FF" w14:textId="687A79A9" w:rsidR="000605B2" w:rsidRDefault="00292BDF" w:rsidP="00927EA6">
      <w:r>
        <w:t>KL</w:t>
      </w:r>
      <w:r w:rsidR="007F2C7A">
        <w:t>,</w:t>
      </w:r>
      <w:r w:rsidR="000605B2">
        <w:t xml:space="preserve"> die nicht in der Lage sind, selbständig den </w:t>
      </w:r>
      <w:r w:rsidR="00F24665">
        <w:t>KK-</w:t>
      </w:r>
      <w:r w:rsidR="005C11AE">
        <w:t xml:space="preserve">Wechsel </w:t>
      </w:r>
      <w:r w:rsidR="000605B2">
        <w:t xml:space="preserve">vorzunehmen, </w:t>
      </w:r>
      <w:r w:rsidR="00010530">
        <w:t>sind</w:t>
      </w:r>
      <w:r w:rsidR="000605B2">
        <w:t xml:space="preserve"> </w:t>
      </w:r>
      <w:r w:rsidR="009D7149">
        <w:t>seitens Fallführung</w:t>
      </w:r>
      <w:r w:rsidR="000605B2">
        <w:t xml:space="preserve"> </w:t>
      </w:r>
      <w:r>
        <w:t>dabei aktiv</w:t>
      </w:r>
      <w:r w:rsidR="000605B2">
        <w:t xml:space="preserve"> </w:t>
      </w:r>
      <w:r w:rsidR="00010530">
        <w:t>zu unterstützen</w:t>
      </w:r>
      <w:r w:rsidR="000605B2">
        <w:t xml:space="preserve">. </w:t>
      </w:r>
    </w:p>
    <w:p w14:paraId="07EA0C15" w14:textId="3ABAA0EF" w:rsidR="003937D4" w:rsidRPr="006930F7" w:rsidRDefault="006A5FEA" w:rsidP="00927EA6">
      <w:pPr>
        <w:pStyle w:val="berschrift1"/>
      </w:pPr>
      <w:bookmarkStart w:id="3" w:name="_Toc69934815"/>
      <w:r>
        <w:t>Günstige Krankenversicherungsprämie</w:t>
      </w:r>
      <w:r w:rsidR="006601CB">
        <w:t>n</w:t>
      </w:r>
      <w:bookmarkEnd w:id="3"/>
    </w:p>
    <w:p w14:paraId="652F7E5F" w14:textId="39E69C56" w:rsidR="00843F03" w:rsidRDefault="00292BDF" w:rsidP="003937D4">
      <w:r>
        <w:t>KVG-Bruttoprämien</w:t>
      </w:r>
      <w:r w:rsidR="00E431B7">
        <w:t xml:space="preserve"> </w:t>
      </w:r>
      <w:r w:rsidR="009D4FB4">
        <w:t>gelten als günstig, wenn sie unter der regionalen Durchschnittsprämie (RDP) liegen</w:t>
      </w:r>
      <w:r w:rsidR="00BC420C">
        <w:t xml:space="preserve"> (</w:t>
      </w:r>
      <w:r w:rsidR="00010530">
        <w:t>bei</w:t>
      </w:r>
      <w:r w:rsidR="00BC420C">
        <w:t xml:space="preserve"> tiefster Franchise und inkl. Unfall)</w:t>
      </w:r>
      <w:r w:rsidR="0019333D">
        <w:rPr>
          <w:rStyle w:val="Funotenzeichen"/>
        </w:rPr>
        <w:footnoteReference w:id="1"/>
      </w:r>
      <w:r w:rsidR="009D4FB4">
        <w:t xml:space="preserve">. </w:t>
      </w:r>
    </w:p>
    <w:p w14:paraId="534C3C3E" w14:textId="47E545A8" w:rsidR="009C3AEE" w:rsidRDefault="009C3AEE" w:rsidP="003937D4"/>
    <w:p w14:paraId="607769F6" w14:textId="77777777" w:rsidR="005C11AE" w:rsidRDefault="009C3AEE">
      <w:r>
        <w:t xml:space="preserve">Eine günstige </w:t>
      </w:r>
      <w:r w:rsidR="00CB1186">
        <w:t>KVG-Bruttoprämie</w:t>
      </w:r>
      <w:r>
        <w:t xml:space="preserve"> kann </w:t>
      </w:r>
      <w:r w:rsidR="005C11AE">
        <w:t xml:space="preserve">erreicht werden </w:t>
      </w:r>
      <w:r>
        <w:t>durch</w:t>
      </w:r>
      <w:r w:rsidR="005C11AE">
        <w:t xml:space="preserve">: </w:t>
      </w:r>
    </w:p>
    <w:p w14:paraId="4B86A3B1" w14:textId="7EB2D831" w:rsidR="005C11AE" w:rsidRDefault="009C3AEE" w:rsidP="00E17C10">
      <w:pPr>
        <w:pStyle w:val="Listenabsatz"/>
        <w:numPr>
          <w:ilvl w:val="0"/>
          <w:numId w:val="26"/>
        </w:numPr>
      </w:pPr>
      <w:r>
        <w:t xml:space="preserve">einen Wechsel in eine </w:t>
      </w:r>
      <w:r w:rsidR="00A42456">
        <w:t>KK</w:t>
      </w:r>
      <w:r>
        <w:t xml:space="preserve"> mit günstigen Prämien im Standardmodell (</w:t>
      </w:r>
      <w:r w:rsidR="00611198">
        <w:t>bei</w:t>
      </w:r>
      <w:r>
        <w:t xml:space="preserve"> tiefster Franchise</w:t>
      </w:r>
      <w:r w:rsidR="00A42456">
        <w:t>, inkl. Unfall</w:t>
      </w:r>
      <w:r>
        <w:t xml:space="preserve">) </w:t>
      </w:r>
    </w:p>
    <w:p w14:paraId="09C0D564" w14:textId="1E3A38A0" w:rsidR="005C11AE" w:rsidRDefault="009C3AEE" w:rsidP="00E17C10">
      <w:pPr>
        <w:pStyle w:val="Listenabsatz"/>
        <w:numPr>
          <w:ilvl w:val="0"/>
          <w:numId w:val="26"/>
        </w:numPr>
      </w:pPr>
      <w:r>
        <w:t>oder durch den Wechsel in ein alternatives Ver</w:t>
      </w:r>
      <w:r w:rsidR="00924DBC">
        <w:t xml:space="preserve">sicherungsmodell (z.B. Hausarzt- </w:t>
      </w:r>
      <w:r w:rsidR="005C11AE">
        <w:t>o</w:t>
      </w:r>
      <w:r w:rsidR="00924DBC">
        <w:t xml:space="preserve">der </w:t>
      </w:r>
      <w:proofErr w:type="spellStart"/>
      <w:r w:rsidR="00924DBC">
        <w:t>Telmed</w:t>
      </w:r>
      <w:proofErr w:type="spellEnd"/>
      <w:r w:rsidR="00924DBC">
        <w:t>-M</w:t>
      </w:r>
      <w:r>
        <w:t xml:space="preserve">odell). </w:t>
      </w:r>
    </w:p>
    <w:p w14:paraId="7A6E69F8" w14:textId="63FE67A0" w:rsidR="00DE3C0C" w:rsidRDefault="009A42EB" w:rsidP="005C11AE">
      <w:r>
        <w:t>KL</w:t>
      </w:r>
      <w:r w:rsidR="00924DBC">
        <w:t xml:space="preserve"> sollen grundsätzlich in einem Standardmodell mit tiefster Franchise versichert sein. Es gilt jedoch im Einzelfall zu prüfen, ob ein alternatives Versicherungsmodell sinnvoll ist (insbesondere bei sehr selbständigen und zuverlässigen </w:t>
      </w:r>
      <w:r>
        <w:t>KL</w:t>
      </w:r>
      <w:r w:rsidR="00924DBC">
        <w:t xml:space="preserve">). </w:t>
      </w:r>
    </w:p>
    <w:p w14:paraId="4D253640" w14:textId="1A670455" w:rsidR="00D4538B" w:rsidRPr="006629E6" w:rsidRDefault="00DE3C0C" w:rsidP="009E4BF9">
      <w:pPr>
        <w:pStyle w:val="berschrift1"/>
        <w:spacing w:after="240"/>
      </w:pPr>
      <w:bookmarkStart w:id="4" w:name="_Toc69934816"/>
      <w:r>
        <w:t xml:space="preserve">Kriterien </w:t>
      </w:r>
      <w:r w:rsidR="006921CC">
        <w:t>für den Krankenkassenwechsel</w:t>
      </w:r>
      <w:bookmarkEnd w:id="4"/>
    </w:p>
    <w:p w14:paraId="75545393" w14:textId="24525F7B" w:rsidR="007A3261" w:rsidRDefault="009A42EB" w:rsidP="00490A58">
      <w:pPr>
        <w:pStyle w:val="WeisungAufzhlung"/>
        <w:numPr>
          <w:ilvl w:val="0"/>
          <w:numId w:val="0"/>
        </w:numPr>
      </w:pPr>
      <w:r>
        <w:t>KL</w:t>
      </w:r>
      <w:r w:rsidR="006921CC">
        <w:t xml:space="preserve"> können nur dann zu einem Wechsel in eine günstige </w:t>
      </w:r>
      <w:r w:rsidR="005C11AE">
        <w:t xml:space="preserve">KK </w:t>
      </w:r>
      <w:r w:rsidR="006921CC">
        <w:t xml:space="preserve">angehalten werden, wenn der Wechsel </w:t>
      </w:r>
      <w:r w:rsidR="006921CC" w:rsidRPr="0030111D">
        <w:rPr>
          <w:u w:val="single"/>
        </w:rPr>
        <w:t>möglich</w:t>
      </w:r>
      <w:r w:rsidR="006921CC">
        <w:t xml:space="preserve"> und </w:t>
      </w:r>
      <w:r w:rsidR="006921CC" w:rsidRPr="0030111D">
        <w:rPr>
          <w:u w:val="single"/>
        </w:rPr>
        <w:t>zumutbar</w:t>
      </w:r>
      <w:r w:rsidR="006921CC">
        <w:t xml:space="preserve"> ist. </w:t>
      </w:r>
    </w:p>
    <w:p w14:paraId="03DE5BE4" w14:textId="0477E9A3" w:rsidR="007F2C7A" w:rsidRDefault="007F2C7A" w:rsidP="00490A58">
      <w:pPr>
        <w:pStyle w:val="WeisungAufzhlung"/>
        <w:numPr>
          <w:ilvl w:val="0"/>
          <w:numId w:val="0"/>
        </w:numPr>
      </w:pPr>
    </w:p>
    <w:p w14:paraId="074AC159" w14:textId="77777777" w:rsidR="007F2C7A" w:rsidRPr="006930F7" w:rsidRDefault="007F2C7A" w:rsidP="00490A58">
      <w:pPr>
        <w:pStyle w:val="WeisungAufzhlung"/>
        <w:numPr>
          <w:ilvl w:val="0"/>
          <w:numId w:val="0"/>
        </w:numPr>
      </w:pPr>
    </w:p>
    <w:p w14:paraId="35B4E0B1" w14:textId="5CE2FC4A" w:rsidR="00D04C7A" w:rsidRPr="006930F7" w:rsidRDefault="006A5FEA" w:rsidP="006A5FEA">
      <w:pPr>
        <w:pStyle w:val="berschrift2"/>
      </w:pPr>
      <w:bookmarkStart w:id="5" w:name="_Toc69934817"/>
      <w:r>
        <w:t>Möglichkeit des Wechsels</w:t>
      </w:r>
      <w:bookmarkEnd w:id="5"/>
    </w:p>
    <w:p w14:paraId="4CCB9E85" w14:textId="63395A3B" w:rsidR="00FC56B2" w:rsidRDefault="00DE3C0C" w:rsidP="00DE3C0C">
      <w:pPr>
        <w:pStyle w:val="Tabelle"/>
        <w:numPr>
          <w:ilvl w:val="0"/>
          <w:numId w:val="0"/>
        </w:numPr>
        <w:spacing w:before="0" w:after="0"/>
        <w:rPr>
          <w:rFonts w:ascii="Arial" w:hAnsi="Arial"/>
          <w:color w:val="auto"/>
          <w:sz w:val="22"/>
          <w:szCs w:val="22"/>
          <w:lang w:val="de-CH"/>
        </w:rPr>
      </w:pPr>
      <w:r>
        <w:rPr>
          <w:rFonts w:ascii="Arial" w:hAnsi="Arial"/>
          <w:color w:val="auto"/>
          <w:sz w:val="22"/>
          <w:szCs w:val="22"/>
          <w:lang w:val="de-CH"/>
        </w:rPr>
        <w:t xml:space="preserve">Ein </w:t>
      </w:r>
      <w:r w:rsidR="00B66B23">
        <w:rPr>
          <w:rFonts w:ascii="Arial" w:hAnsi="Arial"/>
          <w:color w:val="auto"/>
          <w:sz w:val="22"/>
          <w:szCs w:val="22"/>
          <w:lang w:val="de-CH"/>
        </w:rPr>
        <w:t>KK-</w:t>
      </w:r>
      <w:r w:rsidR="005C11AE">
        <w:rPr>
          <w:rFonts w:ascii="Arial" w:hAnsi="Arial"/>
          <w:color w:val="auto"/>
          <w:sz w:val="22"/>
          <w:szCs w:val="22"/>
          <w:lang w:val="de-CH"/>
        </w:rPr>
        <w:t xml:space="preserve">Wechsel </w:t>
      </w:r>
      <w:r w:rsidR="009A42EB">
        <w:rPr>
          <w:rFonts w:ascii="Arial" w:hAnsi="Arial"/>
          <w:color w:val="auto"/>
          <w:sz w:val="22"/>
          <w:szCs w:val="22"/>
          <w:lang w:val="de-CH"/>
        </w:rPr>
        <w:t xml:space="preserve">ist möglich, wenn der/die KL </w:t>
      </w:r>
      <w:r>
        <w:rPr>
          <w:rFonts w:ascii="Arial" w:hAnsi="Arial"/>
          <w:color w:val="auto"/>
          <w:sz w:val="22"/>
          <w:szCs w:val="22"/>
          <w:lang w:val="de-CH"/>
        </w:rPr>
        <w:t xml:space="preserve">keine Prämienschulden bei der aktuellen Krankenversicherung hat. </w:t>
      </w:r>
    </w:p>
    <w:p w14:paraId="7B39756F" w14:textId="685DDC09" w:rsidR="00DE3C0C" w:rsidRDefault="00DE3C0C" w:rsidP="00DE3C0C">
      <w:pPr>
        <w:pStyle w:val="Tabelle"/>
        <w:numPr>
          <w:ilvl w:val="0"/>
          <w:numId w:val="0"/>
        </w:numPr>
        <w:spacing w:before="0" w:after="0"/>
        <w:rPr>
          <w:rFonts w:ascii="Arial" w:hAnsi="Arial"/>
          <w:color w:val="auto"/>
          <w:sz w:val="22"/>
          <w:szCs w:val="22"/>
          <w:lang w:val="de-CH"/>
        </w:rPr>
      </w:pPr>
    </w:p>
    <w:p w14:paraId="51771AC1" w14:textId="46BECF1C" w:rsidR="00210CA1" w:rsidRPr="00E01E69" w:rsidRDefault="005C11AE" w:rsidP="00E01E69">
      <w:pPr>
        <w:pStyle w:val="Tabelle"/>
        <w:numPr>
          <w:ilvl w:val="0"/>
          <w:numId w:val="0"/>
        </w:numPr>
        <w:spacing w:before="0" w:after="0"/>
        <w:rPr>
          <w:rFonts w:ascii="Arial" w:hAnsi="Arial"/>
          <w:color w:val="auto"/>
          <w:sz w:val="22"/>
          <w:szCs w:val="22"/>
          <w:lang w:val="de-CH"/>
        </w:rPr>
      </w:pPr>
      <w:r>
        <w:rPr>
          <w:rFonts w:ascii="Arial" w:hAnsi="Arial"/>
          <w:color w:val="auto"/>
          <w:sz w:val="22"/>
          <w:szCs w:val="22"/>
          <w:lang w:val="de-CH"/>
        </w:rPr>
        <w:t>Bei b</w:t>
      </w:r>
      <w:r w:rsidR="00C64970">
        <w:rPr>
          <w:rFonts w:ascii="Arial" w:hAnsi="Arial"/>
          <w:color w:val="auto"/>
          <w:sz w:val="22"/>
          <w:szCs w:val="22"/>
          <w:lang w:val="de-CH"/>
        </w:rPr>
        <w:t>estehen</w:t>
      </w:r>
      <w:r>
        <w:rPr>
          <w:rFonts w:ascii="Arial" w:hAnsi="Arial"/>
          <w:color w:val="auto"/>
          <w:sz w:val="22"/>
          <w:szCs w:val="22"/>
          <w:lang w:val="de-CH"/>
        </w:rPr>
        <w:t>den</w:t>
      </w:r>
      <w:r w:rsidR="00C64970">
        <w:rPr>
          <w:rFonts w:ascii="Arial" w:hAnsi="Arial"/>
          <w:color w:val="auto"/>
          <w:sz w:val="22"/>
          <w:szCs w:val="22"/>
          <w:lang w:val="de-CH"/>
        </w:rPr>
        <w:t xml:space="preserve"> </w:t>
      </w:r>
      <w:r w:rsidR="00DE3C0C">
        <w:rPr>
          <w:rFonts w:ascii="Arial" w:hAnsi="Arial"/>
          <w:color w:val="auto"/>
          <w:sz w:val="22"/>
          <w:szCs w:val="22"/>
          <w:lang w:val="de-CH"/>
        </w:rPr>
        <w:t>Ausstände</w:t>
      </w:r>
      <w:r>
        <w:rPr>
          <w:rFonts w:ascii="Arial" w:hAnsi="Arial"/>
          <w:color w:val="auto"/>
          <w:sz w:val="22"/>
          <w:szCs w:val="22"/>
          <w:lang w:val="de-CH"/>
        </w:rPr>
        <w:t>n</w:t>
      </w:r>
      <w:r w:rsidR="00DE3C0C">
        <w:rPr>
          <w:rFonts w:ascii="Arial" w:hAnsi="Arial"/>
          <w:color w:val="auto"/>
          <w:sz w:val="22"/>
          <w:szCs w:val="22"/>
          <w:lang w:val="de-CH"/>
        </w:rPr>
        <w:t xml:space="preserve"> ist zu prüfen, ob die Voraussetzung</w:t>
      </w:r>
      <w:r w:rsidR="00E01E69">
        <w:rPr>
          <w:rFonts w:ascii="Arial" w:hAnsi="Arial"/>
          <w:color w:val="auto"/>
          <w:sz w:val="22"/>
          <w:szCs w:val="22"/>
          <w:lang w:val="de-CH"/>
        </w:rPr>
        <w:t>en</w:t>
      </w:r>
      <w:r w:rsidR="00DE3C0C">
        <w:rPr>
          <w:rFonts w:ascii="Arial" w:hAnsi="Arial"/>
          <w:color w:val="auto"/>
          <w:sz w:val="22"/>
          <w:szCs w:val="22"/>
          <w:lang w:val="de-CH"/>
        </w:rPr>
        <w:t xml:space="preserve"> für eine Schuldenübernahme</w:t>
      </w:r>
      <w:r w:rsidR="00CF2BBD">
        <w:rPr>
          <w:rFonts w:ascii="Arial" w:hAnsi="Arial"/>
          <w:color w:val="auto"/>
          <w:sz w:val="22"/>
          <w:szCs w:val="22"/>
          <w:lang w:val="de-CH"/>
        </w:rPr>
        <w:t xml:space="preserve"> gemäss</w:t>
      </w:r>
      <w:r w:rsidR="000D2EEC">
        <w:rPr>
          <w:rFonts w:ascii="Arial" w:hAnsi="Arial"/>
          <w:color w:val="auto"/>
          <w:sz w:val="22"/>
          <w:szCs w:val="22"/>
          <w:lang w:val="de-CH"/>
        </w:rPr>
        <w:t xml:space="preserve"> §50 VEG KVG</w:t>
      </w:r>
      <w:r w:rsidR="00CF2BBD">
        <w:rPr>
          <w:rFonts w:ascii="Arial" w:hAnsi="Arial"/>
          <w:color w:val="auto"/>
          <w:sz w:val="22"/>
          <w:szCs w:val="22"/>
          <w:lang w:val="de-CH"/>
        </w:rPr>
        <w:t xml:space="preserve"> gegeben sind (vgl.</w:t>
      </w:r>
      <w:r w:rsidR="00A42456">
        <w:rPr>
          <w:rFonts w:ascii="Arial" w:hAnsi="Arial"/>
          <w:color w:val="auto"/>
          <w:sz w:val="22"/>
          <w:szCs w:val="22"/>
          <w:lang w:val="de-CH"/>
        </w:rPr>
        <w:t xml:space="preserve"> </w:t>
      </w:r>
      <w:hyperlink r:id="rId12" w:history="1">
        <w:r w:rsidR="00A42456" w:rsidRPr="006F27D8">
          <w:rPr>
            <w:rStyle w:val="Hyperlink"/>
            <w:rFonts w:ascii="Arial" w:hAnsi="Arial"/>
            <w:sz w:val="22"/>
            <w:szCs w:val="22"/>
            <w:lang w:val="de-CH"/>
          </w:rPr>
          <w:t>PRA Krankenkasse Direktz</w:t>
        </w:r>
        <w:bookmarkStart w:id="6" w:name="_GoBack"/>
        <w:bookmarkEnd w:id="6"/>
        <w:r w:rsidR="00A42456" w:rsidRPr="006F27D8">
          <w:rPr>
            <w:rStyle w:val="Hyperlink"/>
            <w:rFonts w:ascii="Arial" w:hAnsi="Arial"/>
            <w:sz w:val="22"/>
            <w:szCs w:val="22"/>
            <w:lang w:val="de-CH"/>
          </w:rPr>
          <w:t>ahlung und Schuldenübernahme</w:t>
        </w:r>
      </w:hyperlink>
      <w:r w:rsidR="00574A36">
        <w:rPr>
          <w:rFonts w:ascii="Arial" w:hAnsi="Arial"/>
          <w:color w:val="auto"/>
          <w:sz w:val="22"/>
          <w:szCs w:val="22"/>
          <w:lang w:val="de-CH"/>
        </w:rPr>
        <w:t>)</w:t>
      </w:r>
      <w:r w:rsidR="00A42456">
        <w:rPr>
          <w:rFonts w:ascii="Arial" w:hAnsi="Arial"/>
          <w:color w:val="auto"/>
          <w:sz w:val="22"/>
          <w:szCs w:val="22"/>
          <w:lang w:val="de-CH"/>
        </w:rPr>
        <w:t xml:space="preserve">. </w:t>
      </w:r>
      <w:r w:rsidR="00DE3C0C">
        <w:rPr>
          <w:rFonts w:ascii="Arial" w:hAnsi="Arial"/>
          <w:color w:val="auto"/>
          <w:sz w:val="22"/>
          <w:szCs w:val="22"/>
          <w:lang w:val="de-CH"/>
        </w:rPr>
        <w:t xml:space="preserve">Ein Wechsel in ein günstigeres Versicherungsmodell derselben </w:t>
      </w:r>
      <w:r>
        <w:rPr>
          <w:rFonts w:ascii="Arial" w:hAnsi="Arial"/>
          <w:color w:val="auto"/>
          <w:sz w:val="22"/>
          <w:szCs w:val="22"/>
          <w:lang w:val="de-CH"/>
        </w:rPr>
        <w:t xml:space="preserve">KK </w:t>
      </w:r>
      <w:r w:rsidR="00DE3C0C">
        <w:rPr>
          <w:rFonts w:ascii="Arial" w:hAnsi="Arial"/>
          <w:color w:val="auto"/>
          <w:sz w:val="22"/>
          <w:szCs w:val="22"/>
          <w:lang w:val="de-CH"/>
        </w:rPr>
        <w:t xml:space="preserve">ist jedoch auch bei Ausständen möglich. </w:t>
      </w:r>
    </w:p>
    <w:p w14:paraId="3DA432D5" w14:textId="64E4143B" w:rsidR="00107BE6" w:rsidRPr="00107BE6" w:rsidRDefault="006A5FEA" w:rsidP="006A5FEA">
      <w:pPr>
        <w:pStyle w:val="berschrift2"/>
      </w:pPr>
      <w:bookmarkStart w:id="7" w:name="_Toc69934818"/>
      <w:r>
        <w:t>Zumutbarkeit des Wechsels</w:t>
      </w:r>
      <w:bookmarkEnd w:id="7"/>
    </w:p>
    <w:p w14:paraId="471AF945" w14:textId="37E598E2" w:rsidR="006921CC" w:rsidRPr="00B66B23" w:rsidRDefault="00B66B23" w:rsidP="006921CC">
      <w:pPr>
        <w:pStyle w:val="Absatz0"/>
        <w:rPr>
          <w:szCs w:val="22"/>
        </w:rPr>
      </w:pPr>
      <w:r>
        <w:rPr>
          <w:szCs w:val="22"/>
        </w:rPr>
        <w:t xml:space="preserve">Die Leistungen in der Grundversicherung sind bei allen KK dieselben. Deshalb ist es grundsätzlich für jede Person zumutbar, sich in einer KK zu versichern, deren KVG-Bruttoprämie unter der RDP liegt. </w:t>
      </w:r>
      <w:r w:rsidR="006921CC">
        <w:rPr>
          <w:szCs w:val="22"/>
        </w:rPr>
        <w:t>Bei der Beurteilung</w:t>
      </w:r>
      <w:r w:rsidR="005B4A0A">
        <w:rPr>
          <w:szCs w:val="22"/>
        </w:rPr>
        <w:t xml:space="preserve"> im Einzelfall sind jedoch folgende Faktoren</w:t>
      </w:r>
      <w:r w:rsidR="006921CC" w:rsidRPr="006921CC">
        <w:t xml:space="preserve"> zu berücksichtigen</w:t>
      </w:r>
      <w:r w:rsidR="006921CC">
        <w:t>:</w:t>
      </w:r>
    </w:p>
    <w:p w14:paraId="5C68DF4A" w14:textId="526DEB93" w:rsidR="006921CC" w:rsidRDefault="006921CC" w:rsidP="006921CC">
      <w:pPr>
        <w:pStyle w:val="Absatz0"/>
      </w:pPr>
    </w:p>
    <w:p w14:paraId="120DD253" w14:textId="4410FD81" w:rsidR="006921CC" w:rsidRDefault="006921CC" w:rsidP="00C46739">
      <w:pPr>
        <w:pStyle w:val="Absatz0"/>
        <w:numPr>
          <w:ilvl w:val="0"/>
          <w:numId w:val="21"/>
        </w:numPr>
      </w:pPr>
      <w:r w:rsidRPr="00C449A9">
        <w:rPr>
          <w:u w:val="single"/>
        </w:rPr>
        <w:t>Dauer der Sozialhilfeabhängigkeit</w:t>
      </w:r>
      <w:r>
        <w:t xml:space="preserve">: Bei </w:t>
      </w:r>
      <w:r w:rsidR="009A42EB">
        <w:t>KL</w:t>
      </w:r>
      <w:r>
        <w:t xml:space="preserve">, die weniger als ein Jahr von der WH unterstützt werden, ist ein </w:t>
      </w:r>
      <w:r w:rsidR="00B66B23">
        <w:t>KK-Wechsel</w:t>
      </w:r>
      <w:r>
        <w:t xml:space="preserve"> nicht zumutbar. </w:t>
      </w:r>
      <w:r w:rsidR="00C46739">
        <w:t xml:space="preserve">KL werden erst dann zu einem </w:t>
      </w:r>
      <w:r w:rsidR="00B66B23">
        <w:t>KK-Wechsel</w:t>
      </w:r>
      <w:r w:rsidR="00C46739">
        <w:t xml:space="preserve"> angehalten, wenn sie länger als ein Jahr von der WH unterstützt werden. </w:t>
      </w:r>
    </w:p>
    <w:p w14:paraId="13E34595" w14:textId="1A00E618" w:rsidR="00C46739" w:rsidRDefault="006921CC" w:rsidP="00C46739">
      <w:pPr>
        <w:pStyle w:val="Absatz0"/>
        <w:numPr>
          <w:ilvl w:val="0"/>
          <w:numId w:val="21"/>
        </w:numPr>
      </w:pPr>
      <w:r w:rsidRPr="00C449A9">
        <w:rPr>
          <w:u w:val="single"/>
        </w:rPr>
        <w:t>Chancen der Ablösung</w:t>
      </w:r>
      <w:r w:rsidRPr="006921CC">
        <w:t>:</w:t>
      </w:r>
      <w:r>
        <w:t xml:space="preserve"> </w:t>
      </w:r>
      <w:r w:rsidR="009A42EB">
        <w:t>KL</w:t>
      </w:r>
      <w:r w:rsidR="006B55F6">
        <w:t xml:space="preserve">, bei denen eine Ablösung von der WH absehbar und sehr wahrscheinlich ist, müssen nicht zu einem </w:t>
      </w:r>
      <w:r w:rsidR="00B66B23">
        <w:t>KK-Wechsel</w:t>
      </w:r>
      <w:r w:rsidR="006B55F6">
        <w:t xml:space="preserve"> angehalten werden. </w:t>
      </w:r>
    </w:p>
    <w:p w14:paraId="46368446" w14:textId="6DC673CF" w:rsidR="006921CC" w:rsidRDefault="006921CC" w:rsidP="0030111D">
      <w:pPr>
        <w:pStyle w:val="Absatz0"/>
        <w:numPr>
          <w:ilvl w:val="0"/>
          <w:numId w:val="21"/>
        </w:numPr>
        <w:spacing w:after="120"/>
        <w:ind w:left="714" w:hanging="357"/>
      </w:pPr>
      <w:r w:rsidRPr="00C449A9">
        <w:rPr>
          <w:u w:val="single"/>
        </w:rPr>
        <w:t>Fähigkeit, sich in einem günstigen Versicherungsmodell zurechtzufinden</w:t>
      </w:r>
      <w:r>
        <w:t xml:space="preserve">: </w:t>
      </w:r>
      <w:r w:rsidR="008C5A76">
        <w:t xml:space="preserve">Wird im Einzelfall ein Wechsel in ein alternatives Versicherungsmodell geprüft, muss der/die KL fähig sein, sich in diesem Modell zurechtzufinden. </w:t>
      </w:r>
      <w:r w:rsidR="00C04BE6">
        <w:t xml:space="preserve">Hierfür müssen </w:t>
      </w:r>
      <w:r w:rsidR="00366264">
        <w:t xml:space="preserve">u.a. </w:t>
      </w:r>
      <w:r w:rsidR="00C04BE6">
        <w:t>folgende Eigenschaften gegeben sein:</w:t>
      </w:r>
    </w:p>
    <w:p w14:paraId="7266DB37" w14:textId="7A6572DF" w:rsidR="00C04BE6" w:rsidRPr="00C04BE6" w:rsidRDefault="00C04BE6" w:rsidP="00C04BE6">
      <w:pPr>
        <w:pStyle w:val="Absatz0"/>
        <w:numPr>
          <w:ilvl w:val="1"/>
          <w:numId w:val="21"/>
        </w:numPr>
      </w:pPr>
      <w:r w:rsidRPr="00C04BE6">
        <w:t>Gute Sprachkenntnisse</w:t>
      </w:r>
    </w:p>
    <w:p w14:paraId="20F4D19F" w14:textId="78D2ACCE" w:rsidR="00C04BE6" w:rsidRDefault="00C04BE6" w:rsidP="00C04BE6">
      <w:pPr>
        <w:pStyle w:val="Absatz0"/>
        <w:numPr>
          <w:ilvl w:val="1"/>
          <w:numId w:val="21"/>
        </w:numPr>
      </w:pPr>
      <w:r>
        <w:t>Zuverlässigkeit, sich an die Vorgaben des Versicherungsmodells zu halten</w:t>
      </w:r>
    </w:p>
    <w:p w14:paraId="453C4E86" w14:textId="095BF843" w:rsidR="00C04BE6" w:rsidRDefault="00C04BE6" w:rsidP="00C04BE6">
      <w:pPr>
        <w:pStyle w:val="Absatz0"/>
        <w:numPr>
          <w:ilvl w:val="1"/>
          <w:numId w:val="21"/>
        </w:numPr>
      </w:pPr>
      <w:r>
        <w:t>(Kognitive) Fähigkeit, sich an die Vorgaben des Versicherungsmodells zu halten</w:t>
      </w:r>
    </w:p>
    <w:p w14:paraId="4D7609A9" w14:textId="46F1D023" w:rsidR="00110244" w:rsidRDefault="00C04BE6" w:rsidP="00366264">
      <w:pPr>
        <w:pStyle w:val="Absatz0"/>
        <w:numPr>
          <w:ilvl w:val="1"/>
          <w:numId w:val="21"/>
        </w:numPr>
      </w:pPr>
      <w:r w:rsidRPr="00366264">
        <w:t>Kein spezielles Vertrauensverhältnis zu einem behandelndem Arzt, welch</w:t>
      </w:r>
      <w:r w:rsidR="009A1D5F" w:rsidRPr="00366264">
        <w:t xml:space="preserve">er aufgrund der Modellvorgaben gewechselt werden müsste </w:t>
      </w:r>
    </w:p>
    <w:p w14:paraId="3BD22294" w14:textId="6E0EFB99" w:rsidR="00276F65" w:rsidRDefault="00FC3F55" w:rsidP="007334A3">
      <w:pPr>
        <w:pStyle w:val="berschrift1"/>
      </w:pPr>
      <w:bookmarkStart w:id="8" w:name="_Toc69934820"/>
      <w:r>
        <w:t>Vorgehen</w:t>
      </w:r>
      <w:bookmarkEnd w:id="8"/>
    </w:p>
    <w:p w14:paraId="27C88D20" w14:textId="1C706342" w:rsidR="00DE3C0C" w:rsidRDefault="005B4A0A" w:rsidP="007334A3">
      <w:r>
        <w:t>Das</w:t>
      </w:r>
      <w:r w:rsidR="00FC3F55">
        <w:t xml:space="preserve"> Vorgehen sowie die einzelnen Schritte zur Prüfung der Krankenversicherungsprämie und zum Wechsel in eine günstige Krankenversicherung</w:t>
      </w:r>
      <w:r>
        <w:t xml:space="preserve"> werden</w:t>
      </w:r>
      <w:r w:rsidR="00FC3F55">
        <w:t xml:space="preserve"> in </w:t>
      </w:r>
      <w:r w:rsidR="00FC3F55" w:rsidRPr="00896696">
        <w:t xml:space="preserve">der </w:t>
      </w:r>
      <w:hyperlink r:id="rId13" w:history="1">
        <w:r w:rsidR="00FC3F55" w:rsidRPr="006F27D8">
          <w:rPr>
            <w:rStyle w:val="Hyperlink"/>
          </w:rPr>
          <w:t>Prozessbeschreibung zum Wechsel in eine günstige Krankenversicherung</w:t>
        </w:r>
      </w:hyperlink>
      <w:r w:rsidR="00FC3F55">
        <w:t xml:space="preserve"> </w:t>
      </w:r>
      <w:r w:rsidR="000E5DDB">
        <w:t>erläutert</w:t>
      </w:r>
      <w:r w:rsidR="00FC3F55">
        <w:t xml:space="preserve">. </w:t>
      </w:r>
    </w:p>
    <w:p w14:paraId="4247C5A4" w14:textId="474B01C6" w:rsidR="001F4403" w:rsidRDefault="00EF4A8E" w:rsidP="00BA4648">
      <w:pPr>
        <w:pStyle w:val="berschrift1"/>
      </w:pPr>
      <w:bookmarkStart w:id="9" w:name="_Toc69934821"/>
      <w:r>
        <w:t>Auflagen</w:t>
      </w:r>
      <w:r w:rsidR="00BA4648">
        <w:t>- und Kürzungsverfahren</w:t>
      </w:r>
      <w:bookmarkEnd w:id="9"/>
    </w:p>
    <w:p w14:paraId="2D2274D8" w14:textId="6BC451DE" w:rsidR="00611198" w:rsidRDefault="00BA4648" w:rsidP="00681FD9">
      <w:pPr>
        <w:pStyle w:val="Absatz0"/>
      </w:pPr>
      <w:r>
        <w:t xml:space="preserve">Weigert sich der/die </w:t>
      </w:r>
      <w:r w:rsidR="009A42EB">
        <w:t>KL</w:t>
      </w:r>
      <w:r>
        <w:t xml:space="preserve"> in eine günstige </w:t>
      </w:r>
      <w:r w:rsidR="005B4A0A">
        <w:t xml:space="preserve">KK </w:t>
      </w:r>
      <w:r>
        <w:t xml:space="preserve">zu wechseln, obwohl der Wechsel möglich und zumutbar ist, </w:t>
      </w:r>
      <w:r w:rsidR="00360039">
        <w:t xml:space="preserve">ist eine </w:t>
      </w:r>
      <w:r w:rsidR="004F69CE">
        <w:t xml:space="preserve">schriftliche </w:t>
      </w:r>
      <w:r w:rsidR="00360039">
        <w:t xml:space="preserve">Auflage zu </w:t>
      </w:r>
      <w:r w:rsidR="004F69CE">
        <w:t>erteilen</w:t>
      </w:r>
      <w:r w:rsidR="00110244">
        <w:t xml:space="preserve">. Wird die Auflage nicht erfüllt, sind </w:t>
      </w:r>
      <w:r w:rsidR="00360039">
        <w:t xml:space="preserve">die </w:t>
      </w:r>
      <w:r>
        <w:t>Sozialhilfeleistungen</w:t>
      </w:r>
      <w:r w:rsidR="001F4403">
        <w:t xml:space="preserve"> angemessen zu kürzen. Hierfür ist die </w:t>
      </w:r>
      <w:hyperlink r:id="rId14" w:history="1">
        <w:r w:rsidR="004B3763">
          <w:rPr>
            <w:rStyle w:val="Hyperlink"/>
          </w:rPr>
          <w:t>HAW Au</w:t>
        </w:r>
        <w:r w:rsidR="004B3763">
          <w:rPr>
            <w:rStyle w:val="Hyperlink"/>
          </w:rPr>
          <w:t>flagen und Kürzungsverfahren</w:t>
        </w:r>
      </w:hyperlink>
      <w:r w:rsidR="004B3763">
        <w:t xml:space="preserve"> </w:t>
      </w:r>
      <w:r w:rsidR="00D60428" w:rsidRPr="006F27D8">
        <w:t>(</w:t>
      </w:r>
      <w:r w:rsidR="005B4A0A">
        <w:t>Ziffer</w:t>
      </w:r>
      <w:r w:rsidR="005B4A0A" w:rsidRPr="006A73A6">
        <w:t xml:space="preserve"> </w:t>
      </w:r>
      <w:r w:rsidR="00D60428" w:rsidRPr="006A73A6">
        <w:t>5)</w:t>
      </w:r>
      <w:r w:rsidR="00D60428">
        <w:t xml:space="preserve"> </w:t>
      </w:r>
      <w:r>
        <w:t xml:space="preserve">zu </w:t>
      </w:r>
      <w:r w:rsidR="001F4403">
        <w:t>beachten</w:t>
      </w:r>
      <w:r>
        <w:t xml:space="preserve">. </w:t>
      </w:r>
    </w:p>
    <w:p w14:paraId="4EBE2AAF" w14:textId="13221BEC" w:rsidR="00210CA1" w:rsidRPr="006930F7" w:rsidRDefault="00210CA1" w:rsidP="00210CA1">
      <w:pPr>
        <w:pStyle w:val="Absatz0"/>
      </w:pPr>
    </w:p>
    <w:sectPr w:rsidR="00210CA1" w:rsidRPr="006930F7" w:rsidSect="00194D54">
      <w:headerReference w:type="default" r:id="rId15"/>
      <w:footerReference w:type="default" r:id="rId16"/>
      <w:headerReference w:type="first" r:id="rId17"/>
      <w:footerReference w:type="first" r:id="rId18"/>
      <w:type w:val="continuous"/>
      <w:pgSz w:w="11906" w:h="16838" w:code="9"/>
      <w:pgMar w:top="1792" w:right="1134" w:bottom="59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17989" w14:textId="77777777" w:rsidR="00543784" w:rsidRDefault="00543784">
      <w:r>
        <w:separator/>
      </w:r>
    </w:p>
    <w:p w14:paraId="5C006046" w14:textId="77777777" w:rsidR="00543784" w:rsidRDefault="00543784"/>
  </w:endnote>
  <w:endnote w:type="continuationSeparator" w:id="0">
    <w:p w14:paraId="0DE91542" w14:textId="77777777" w:rsidR="00543784" w:rsidRDefault="00543784">
      <w:r>
        <w:continuationSeparator/>
      </w:r>
    </w:p>
    <w:p w14:paraId="41E136CE" w14:textId="77777777" w:rsidR="00543784" w:rsidRDefault="00543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3168DF" w14:paraId="16696277" w14:textId="77777777">
      <w:trPr>
        <w:trHeight w:val="284"/>
      </w:trPr>
      <w:tc>
        <w:tcPr>
          <w:tcW w:w="5063" w:type="dxa"/>
        </w:tcPr>
        <w:p w14:paraId="69CF5728" w14:textId="170E9CC4" w:rsidR="003168DF" w:rsidRDefault="003168DF" w:rsidP="00502C29">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CC1879">
            <w:rPr>
              <w:noProof/>
              <w:sz w:val="17"/>
            </w:rPr>
            <w:t>HAW Wechsel in eine günstige Krankenversicherung.docx</w:t>
          </w:r>
          <w:r>
            <w:rPr>
              <w:sz w:val="17"/>
            </w:rPr>
            <w:fldChar w:fldCharType="end"/>
          </w:r>
        </w:p>
      </w:tc>
      <w:tc>
        <w:tcPr>
          <w:tcW w:w="1430" w:type="dxa"/>
        </w:tcPr>
        <w:p w14:paraId="524F8F78" w14:textId="77777777" w:rsidR="003168DF" w:rsidRDefault="003168DF">
          <w:pPr>
            <w:pStyle w:val="Fuzeile"/>
            <w:tabs>
              <w:tab w:val="clear" w:pos="4536"/>
              <w:tab w:val="clear" w:pos="9072"/>
              <w:tab w:val="right" w:pos="8504"/>
            </w:tabs>
            <w:jc w:val="center"/>
            <w:rPr>
              <w:sz w:val="17"/>
            </w:rPr>
          </w:pPr>
        </w:p>
      </w:tc>
      <w:tc>
        <w:tcPr>
          <w:tcW w:w="2640" w:type="dxa"/>
        </w:tcPr>
        <w:p w14:paraId="513FC4B0" w14:textId="77777777" w:rsidR="003168DF" w:rsidRDefault="003168DF">
          <w:pPr>
            <w:pStyle w:val="Fuzeile"/>
            <w:tabs>
              <w:tab w:val="clear" w:pos="4536"/>
              <w:tab w:val="clear" w:pos="9072"/>
              <w:tab w:val="right" w:pos="8504"/>
            </w:tabs>
            <w:jc w:val="center"/>
            <w:rPr>
              <w:sz w:val="17"/>
              <w:lang w:val="de-DE"/>
            </w:rPr>
          </w:pPr>
        </w:p>
      </w:tc>
    </w:tr>
  </w:tbl>
  <w:p w14:paraId="63F3307E" w14:textId="77777777" w:rsidR="003168DF" w:rsidRDefault="003168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4673"/>
      <w:gridCol w:w="1418"/>
      <w:gridCol w:w="1275"/>
      <w:gridCol w:w="1767"/>
    </w:tblGrid>
    <w:tr w:rsidR="008874FA" w14:paraId="7025AE74" w14:textId="77777777" w:rsidTr="007B7941">
      <w:trPr>
        <w:trHeight w:val="284"/>
      </w:trPr>
      <w:tc>
        <w:tcPr>
          <w:tcW w:w="4673" w:type="dxa"/>
        </w:tcPr>
        <w:p w14:paraId="34288484" w14:textId="34DAF999" w:rsidR="008874FA" w:rsidRDefault="008874FA" w:rsidP="00502C29">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HAW Wechsel in eine günstige Krankenversicherung.docx</w:t>
          </w:r>
          <w:r>
            <w:rPr>
              <w:sz w:val="17"/>
            </w:rPr>
            <w:fldChar w:fldCharType="end"/>
          </w:r>
          <w:r>
            <w:rPr>
              <w:sz w:val="17"/>
            </w:rPr>
            <w:t xml:space="preserve">                    </w:t>
          </w:r>
        </w:p>
      </w:tc>
      <w:tc>
        <w:tcPr>
          <w:tcW w:w="1418" w:type="dxa"/>
        </w:tcPr>
        <w:p w14:paraId="3D52B8E6" w14:textId="53243829" w:rsidR="008874FA" w:rsidRDefault="003F2C22" w:rsidP="003F2C22">
          <w:pPr>
            <w:pStyle w:val="Fuzeile"/>
            <w:tabs>
              <w:tab w:val="clear" w:pos="4536"/>
              <w:tab w:val="clear" w:pos="9072"/>
              <w:tab w:val="right" w:pos="8504"/>
            </w:tabs>
            <w:jc w:val="center"/>
            <w:rPr>
              <w:sz w:val="17"/>
            </w:rPr>
          </w:pPr>
          <w:r>
            <w:rPr>
              <w:sz w:val="17"/>
            </w:rPr>
            <w:t>Version: 1.0</w:t>
          </w:r>
        </w:p>
      </w:tc>
      <w:tc>
        <w:tcPr>
          <w:tcW w:w="1275" w:type="dxa"/>
        </w:tcPr>
        <w:p w14:paraId="298C2BF1" w14:textId="363966A9" w:rsidR="008874FA" w:rsidRDefault="003F2C22" w:rsidP="00F00072">
          <w:pPr>
            <w:pStyle w:val="Fuzeile"/>
            <w:tabs>
              <w:tab w:val="clear" w:pos="4536"/>
              <w:tab w:val="clear" w:pos="9072"/>
              <w:tab w:val="right" w:pos="8504"/>
            </w:tabs>
            <w:jc w:val="center"/>
            <w:rPr>
              <w:sz w:val="17"/>
            </w:rPr>
          </w:pPr>
          <w:r>
            <w:rPr>
              <w:sz w:val="17"/>
            </w:rPr>
            <w:t>öffentlich</w:t>
          </w:r>
        </w:p>
      </w:tc>
      <w:tc>
        <w:tcPr>
          <w:tcW w:w="1767" w:type="dxa"/>
        </w:tcPr>
        <w:p w14:paraId="017E94F8" w14:textId="77DCDC19" w:rsidR="008874FA" w:rsidRDefault="008874FA" w:rsidP="0023631A">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FS WH</w:t>
          </w:r>
        </w:p>
      </w:tc>
    </w:tr>
    <w:tr w:rsidR="003168DF" w14:paraId="16742BD4" w14:textId="77777777" w:rsidTr="006B5D15">
      <w:trPr>
        <w:trHeight w:val="284"/>
      </w:trPr>
      <w:tc>
        <w:tcPr>
          <w:tcW w:w="9133" w:type="dxa"/>
          <w:gridSpan w:val="4"/>
        </w:tcPr>
        <w:p w14:paraId="638F95D6" w14:textId="6344D9A5" w:rsidR="003168DF" w:rsidRDefault="003168DF" w:rsidP="00BB7B9F">
          <w:pPr>
            <w:pStyle w:val="Fuzeile"/>
            <w:tabs>
              <w:tab w:val="clear" w:pos="4536"/>
              <w:tab w:val="clear" w:pos="9072"/>
              <w:tab w:val="right" w:pos="8504"/>
            </w:tabs>
            <w:rPr>
              <w:sz w:val="17"/>
              <w:lang w:val="de-DE"/>
            </w:rPr>
          </w:pPr>
          <w:r>
            <w:rPr>
              <w:sz w:val="17"/>
              <w:lang w:val="de-DE"/>
            </w:rPr>
            <w:t>© Copyright</w:t>
          </w:r>
          <w:r w:rsidR="00BB7B9F">
            <w:rPr>
              <w:sz w:val="17"/>
              <w:lang w:val="de-DE"/>
            </w:rPr>
            <w:t>:</w:t>
          </w:r>
          <w:r>
            <w:rPr>
              <w:sz w:val="17"/>
              <w:lang w:val="de-DE"/>
            </w:rPr>
            <w:t xml:space="preserve"> Soziale Dienste. Eine Weiterverwendung ist nur mit dem Zusatz «Soziale Dienste Stadt Zürich» erlaubt.</w:t>
          </w:r>
        </w:p>
      </w:tc>
    </w:tr>
  </w:tbl>
  <w:p w14:paraId="70A29977" w14:textId="77777777" w:rsidR="003168DF" w:rsidRDefault="003168DF" w:rsidP="003937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5F2AA" w14:textId="77777777" w:rsidR="00543784" w:rsidRDefault="00543784">
      <w:r>
        <w:separator/>
      </w:r>
    </w:p>
    <w:p w14:paraId="517B5D37" w14:textId="77777777" w:rsidR="00543784" w:rsidRDefault="00543784"/>
  </w:footnote>
  <w:footnote w:type="continuationSeparator" w:id="0">
    <w:p w14:paraId="064E4CBD" w14:textId="77777777" w:rsidR="00543784" w:rsidRDefault="00543784">
      <w:r>
        <w:continuationSeparator/>
      </w:r>
    </w:p>
    <w:p w14:paraId="04E2970D" w14:textId="77777777" w:rsidR="00543784" w:rsidRDefault="00543784"/>
  </w:footnote>
  <w:footnote w:id="1">
    <w:p w14:paraId="64317D5A" w14:textId="77777777" w:rsidR="0019333D" w:rsidRDefault="0019333D" w:rsidP="0019333D">
      <w:pPr>
        <w:pStyle w:val="Funotentext"/>
      </w:pPr>
      <w:r>
        <w:rPr>
          <w:rStyle w:val="Funotenzeichen"/>
        </w:rPr>
        <w:footnoteRef/>
      </w:r>
      <w:r>
        <w:t xml:space="preserve"> Die RDP wird jährlich vom Eidgenössischen Departement des Innern (EDI) festgelegt. Das FR WH informiert jährlich via </w:t>
      </w:r>
      <w:proofErr w:type="spellStart"/>
      <w:r>
        <w:t>Fachnews</w:t>
      </w:r>
      <w:proofErr w:type="spellEnd"/>
      <w:r>
        <w:t xml:space="preserve"> über die Höhe der RDP.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3168DF" w14:paraId="07917470" w14:textId="77777777">
      <w:tc>
        <w:tcPr>
          <w:tcW w:w="7257" w:type="dxa"/>
          <w:gridSpan w:val="2"/>
        </w:tcPr>
        <w:p w14:paraId="2CD6BABC" w14:textId="77777777" w:rsidR="003168DF" w:rsidRDefault="003168DF">
          <w:pPr>
            <w:pStyle w:val="Kopfzeile"/>
            <w:tabs>
              <w:tab w:val="clear" w:pos="4536"/>
              <w:tab w:val="clear" w:pos="9072"/>
            </w:tabs>
            <w:rPr>
              <w:szCs w:val="22"/>
            </w:rPr>
          </w:pPr>
          <w:r>
            <w:rPr>
              <w:noProof/>
              <w:szCs w:val="22"/>
              <w:lang w:eastAsia="de-CH"/>
            </w:rPr>
            <w:drawing>
              <wp:inline distT="0" distB="0" distL="0" distR="0" wp14:anchorId="48BE3B65" wp14:editId="44F95E31">
                <wp:extent cx="1352550" cy="276225"/>
                <wp:effectExtent l="0" t="0" r="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44C69B82" w14:textId="77777777" w:rsidR="003168DF" w:rsidRDefault="003168DF">
          <w:pPr>
            <w:pStyle w:val="Kopfzeile"/>
            <w:tabs>
              <w:tab w:val="clear" w:pos="4536"/>
              <w:tab w:val="clear" w:pos="9072"/>
            </w:tabs>
            <w:rPr>
              <w:szCs w:val="22"/>
            </w:rPr>
          </w:pPr>
        </w:p>
      </w:tc>
      <w:tc>
        <w:tcPr>
          <w:tcW w:w="2495" w:type="dxa"/>
        </w:tcPr>
        <w:p w14:paraId="1248A292" w14:textId="77777777" w:rsidR="003168DF" w:rsidRDefault="003168DF">
          <w:pPr>
            <w:pStyle w:val="Kopfzeile"/>
            <w:tabs>
              <w:tab w:val="clear" w:pos="4536"/>
              <w:tab w:val="clear" w:pos="9072"/>
            </w:tabs>
            <w:rPr>
              <w:sz w:val="17"/>
              <w:szCs w:val="17"/>
            </w:rPr>
          </w:pPr>
        </w:p>
      </w:tc>
    </w:tr>
    <w:tr w:rsidR="003168DF" w14:paraId="65B44432" w14:textId="77777777">
      <w:trPr>
        <w:trHeight w:val="210"/>
      </w:trPr>
      <w:tc>
        <w:tcPr>
          <w:tcW w:w="680" w:type="dxa"/>
        </w:tcPr>
        <w:p w14:paraId="722CA568" w14:textId="77777777" w:rsidR="003168DF" w:rsidRDefault="003168DF">
          <w:pPr>
            <w:pStyle w:val="Kopfzeile"/>
          </w:pPr>
        </w:p>
      </w:tc>
      <w:tc>
        <w:tcPr>
          <w:tcW w:w="9072" w:type="dxa"/>
          <w:gridSpan w:val="2"/>
        </w:tcPr>
        <w:p w14:paraId="35D273E1" w14:textId="4D7F51DD" w:rsidR="003168DF" w:rsidRDefault="003168DF">
          <w:pPr>
            <w:pStyle w:val="Kopfzeile"/>
          </w:pPr>
          <w:r>
            <w:fldChar w:fldCharType="begin"/>
          </w:r>
          <w:r>
            <w:instrText xml:space="preserve"> PAGE   \* MERGEFORMAT </w:instrText>
          </w:r>
          <w:r>
            <w:fldChar w:fldCharType="separate"/>
          </w:r>
          <w:r w:rsidR="004B3763">
            <w:rPr>
              <w:noProof/>
            </w:rPr>
            <w:t>2</w:t>
          </w:r>
          <w:r>
            <w:fldChar w:fldCharType="end"/>
          </w:r>
          <w:r>
            <w:t>/</w:t>
          </w:r>
          <w:r w:rsidR="004B3763">
            <w:fldChar w:fldCharType="begin"/>
          </w:r>
          <w:r w:rsidR="004B3763">
            <w:instrText xml:space="preserve"> NUMPAGES   \* MERGEFORMAT </w:instrText>
          </w:r>
          <w:r w:rsidR="004B3763">
            <w:fldChar w:fldCharType="separate"/>
          </w:r>
          <w:r w:rsidR="004B3763">
            <w:rPr>
              <w:noProof/>
            </w:rPr>
            <w:t>2</w:t>
          </w:r>
          <w:r w:rsidR="004B3763">
            <w:rPr>
              <w:noProof/>
            </w:rPr>
            <w:fldChar w:fldCharType="end"/>
          </w:r>
        </w:p>
      </w:tc>
    </w:tr>
  </w:tbl>
  <w:p w14:paraId="4FA91A9D" w14:textId="77777777" w:rsidR="003168DF" w:rsidRDefault="003168DF">
    <w:pPr>
      <w:pStyle w:val="Kopfzeile"/>
      <w:tabs>
        <w:tab w:val="clear" w:pos="4536"/>
        <w:tab w:val="clear" w:pos="9072"/>
      </w:tabs>
      <w:rPr>
        <w:sz w:val="2"/>
      </w:rPr>
    </w:pPr>
  </w:p>
  <w:p w14:paraId="256EDAD2" w14:textId="77777777" w:rsidR="003168DF" w:rsidRDefault="003168D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3168DF" w14:paraId="7985435C" w14:textId="77777777">
      <w:tc>
        <w:tcPr>
          <w:tcW w:w="7257" w:type="dxa"/>
        </w:tcPr>
        <w:p w14:paraId="010189E0" w14:textId="77777777" w:rsidR="003168DF" w:rsidRDefault="003168DF">
          <w:pPr>
            <w:pStyle w:val="Kopfzeile"/>
            <w:tabs>
              <w:tab w:val="clear" w:pos="4536"/>
              <w:tab w:val="clear" w:pos="9072"/>
            </w:tabs>
            <w:rPr>
              <w:szCs w:val="22"/>
            </w:rPr>
          </w:pPr>
          <w:r>
            <w:rPr>
              <w:noProof/>
              <w:szCs w:val="22"/>
              <w:lang w:eastAsia="de-CH"/>
            </w:rPr>
            <w:drawing>
              <wp:inline distT="0" distB="0" distL="0" distR="0" wp14:anchorId="2D9F6919" wp14:editId="578FC21E">
                <wp:extent cx="1352550" cy="276225"/>
                <wp:effectExtent l="0" t="0" r="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3312F672" w14:textId="77777777" w:rsidR="003168DF" w:rsidRDefault="003168DF">
          <w:pPr>
            <w:pStyle w:val="Kopfzeile"/>
            <w:tabs>
              <w:tab w:val="clear" w:pos="4536"/>
              <w:tab w:val="clear" w:pos="9072"/>
            </w:tabs>
            <w:rPr>
              <w:sz w:val="17"/>
              <w:szCs w:val="17"/>
            </w:rPr>
          </w:pPr>
        </w:p>
      </w:tc>
    </w:tr>
    <w:tr w:rsidR="003168DF" w14:paraId="7E961941" w14:textId="77777777">
      <w:tc>
        <w:tcPr>
          <w:tcW w:w="7257" w:type="dxa"/>
        </w:tcPr>
        <w:p w14:paraId="087624DD" w14:textId="77777777" w:rsidR="003168DF" w:rsidRDefault="003168DF">
          <w:pPr>
            <w:pStyle w:val="Kopfzeile"/>
            <w:tabs>
              <w:tab w:val="clear" w:pos="4536"/>
              <w:tab w:val="clear" w:pos="9072"/>
            </w:tabs>
            <w:rPr>
              <w:szCs w:val="22"/>
            </w:rPr>
          </w:pPr>
        </w:p>
      </w:tc>
      <w:tc>
        <w:tcPr>
          <w:tcW w:w="2495" w:type="dxa"/>
        </w:tcPr>
        <w:p w14:paraId="3770D487" w14:textId="77777777" w:rsidR="003168DF" w:rsidRDefault="003168DF">
          <w:pPr>
            <w:pStyle w:val="Kopfzeile"/>
            <w:tabs>
              <w:tab w:val="clear" w:pos="4536"/>
              <w:tab w:val="clear" w:pos="9072"/>
            </w:tabs>
            <w:rPr>
              <w:noProof/>
              <w:sz w:val="17"/>
              <w:szCs w:val="17"/>
              <w:lang w:val="de-DE"/>
            </w:rPr>
          </w:pPr>
        </w:p>
      </w:tc>
    </w:tr>
  </w:tbl>
  <w:p w14:paraId="5F53C720" w14:textId="77777777" w:rsidR="003168DF" w:rsidRDefault="003168DF">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6232C0"/>
    <w:multiLevelType w:val="hybridMultilevel"/>
    <w:tmpl w:val="448E80A0"/>
    <w:lvl w:ilvl="0" w:tplc="08070001">
      <w:start w:val="1"/>
      <w:numFmt w:val="bullet"/>
      <w:lvlText w:val=""/>
      <w:lvlJc w:val="left"/>
      <w:pPr>
        <w:ind w:left="783" w:hanging="360"/>
      </w:pPr>
      <w:rPr>
        <w:rFonts w:ascii="Symbol" w:hAnsi="Symbol" w:hint="default"/>
      </w:rPr>
    </w:lvl>
    <w:lvl w:ilvl="1" w:tplc="08070003" w:tentative="1">
      <w:start w:val="1"/>
      <w:numFmt w:val="bullet"/>
      <w:lvlText w:val="o"/>
      <w:lvlJc w:val="left"/>
      <w:pPr>
        <w:ind w:left="1503" w:hanging="360"/>
      </w:pPr>
      <w:rPr>
        <w:rFonts w:ascii="Courier New" w:hAnsi="Courier New" w:cs="Courier New" w:hint="default"/>
      </w:rPr>
    </w:lvl>
    <w:lvl w:ilvl="2" w:tplc="08070005" w:tentative="1">
      <w:start w:val="1"/>
      <w:numFmt w:val="bullet"/>
      <w:lvlText w:val=""/>
      <w:lvlJc w:val="left"/>
      <w:pPr>
        <w:ind w:left="2223" w:hanging="360"/>
      </w:pPr>
      <w:rPr>
        <w:rFonts w:ascii="Wingdings" w:hAnsi="Wingdings" w:hint="default"/>
      </w:rPr>
    </w:lvl>
    <w:lvl w:ilvl="3" w:tplc="08070001" w:tentative="1">
      <w:start w:val="1"/>
      <w:numFmt w:val="bullet"/>
      <w:lvlText w:val=""/>
      <w:lvlJc w:val="left"/>
      <w:pPr>
        <w:ind w:left="2943" w:hanging="360"/>
      </w:pPr>
      <w:rPr>
        <w:rFonts w:ascii="Symbol" w:hAnsi="Symbol" w:hint="default"/>
      </w:rPr>
    </w:lvl>
    <w:lvl w:ilvl="4" w:tplc="08070003" w:tentative="1">
      <w:start w:val="1"/>
      <w:numFmt w:val="bullet"/>
      <w:lvlText w:val="o"/>
      <w:lvlJc w:val="left"/>
      <w:pPr>
        <w:ind w:left="3663" w:hanging="360"/>
      </w:pPr>
      <w:rPr>
        <w:rFonts w:ascii="Courier New" w:hAnsi="Courier New" w:cs="Courier New" w:hint="default"/>
      </w:rPr>
    </w:lvl>
    <w:lvl w:ilvl="5" w:tplc="08070005" w:tentative="1">
      <w:start w:val="1"/>
      <w:numFmt w:val="bullet"/>
      <w:lvlText w:val=""/>
      <w:lvlJc w:val="left"/>
      <w:pPr>
        <w:ind w:left="4383" w:hanging="360"/>
      </w:pPr>
      <w:rPr>
        <w:rFonts w:ascii="Wingdings" w:hAnsi="Wingdings" w:hint="default"/>
      </w:rPr>
    </w:lvl>
    <w:lvl w:ilvl="6" w:tplc="08070001" w:tentative="1">
      <w:start w:val="1"/>
      <w:numFmt w:val="bullet"/>
      <w:lvlText w:val=""/>
      <w:lvlJc w:val="left"/>
      <w:pPr>
        <w:ind w:left="5103" w:hanging="360"/>
      </w:pPr>
      <w:rPr>
        <w:rFonts w:ascii="Symbol" w:hAnsi="Symbol" w:hint="default"/>
      </w:rPr>
    </w:lvl>
    <w:lvl w:ilvl="7" w:tplc="08070003" w:tentative="1">
      <w:start w:val="1"/>
      <w:numFmt w:val="bullet"/>
      <w:lvlText w:val="o"/>
      <w:lvlJc w:val="left"/>
      <w:pPr>
        <w:ind w:left="5823" w:hanging="360"/>
      </w:pPr>
      <w:rPr>
        <w:rFonts w:ascii="Courier New" w:hAnsi="Courier New" w:cs="Courier New" w:hint="default"/>
      </w:rPr>
    </w:lvl>
    <w:lvl w:ilvl="8" w:tplc="08070005" w:tentative="1">
      <w:start w:val="1"/>
      <w:numFmt w:val="bullet"/>
      <w:lvlText w:val=""/>
      <w:lvlJc w:val="left"/>
      <w:pPr>
        <w:ind w:left="6543" w:hanging="360"/>
      </w:pPr>
      <w:rPr>
        <w:rFonts w:ascii="Wingdings" w:hAnsi="Wingdings" w:hint="default"/>
      </w:rPr>
    </w:lvl>
  </w:abstractNum>
  <w:abstractNum w:abstractNumId="7" w15:restartNumberingAfterBreak="0">
    <w:nsid w:val="2B755C77"/>
    <w:multiLevelType w:val="hybridMultilevel"/>
    <w:tmpl w:val="139C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753DC9"/>
    <w:multiLevelType w:val="hybridMultilevel"/>
    <w:tmpl w:val="8826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097ED9"/>
    <w:multiLevelType w:val="hybridMultilevel"/>
    <w:tmpl w:val="21F05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61503DD"/>
    <w:multiLevelType w:val="hybridMultilevel"/>
    <w:tmpl w:val="04801906"/>
    <w:lvl w:ilvl="0" w:tplc="4D10AC58">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7697435"/>
    <w:multiLevelType w:val="hybridMultilevel"/>
    <w:tmpl w:val="F266D5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8844C9B"/>
    <w:multiLevelType w:val="hybridMultilevel"/>
    <w:tmpl w:val="7756A194"/>
    <w:lvl w:ilvl="0" w:tplc="6B7CF10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98607DD"/>
    <w:multiLevelType w:val="hybridMultilevel"/>
    <w:tmpl w:val="BA3403C2"/>
    <w:lvl w:ilvl="0" w:tplc="E3E2DFDE">
      <w:start w:val="1"/>
      <w:numFmt w:val="bullet"/>
      <w:pStyle w:val="WeisungAufzhlung"/>
      <w:lvlText w:val=""/>
      <w:lvlJc w:val="left"/>
      <w:pPr>
        <w:tabs>
          <w:tab w:val="num" w:pos="36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F453D1"/>
    <w:multiLevelType w:val="hybridMultilevel"/>
    <w:tmpl w:val="7A9E720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9B6407"/>
    <w:multiLevelType w:val="hybridMultilevel"/>
    <w:tmpl w:val="36FA6654"/>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717BE6"/>
    <w:multiLevelType w:val="hybridMultilevel"/>
    <w:tmpl w:val="7F46273E"/>
    <w:lvl w:ilvl="0" w:tplc="C10EF1D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9575642"/>
    <w:multiLevelType w:val="hybridMultilevel"/>
    <w:tmpl w:val="16BC68C2"/>
    <w:lvl w:ilvl="0" w:tplc="83C46CC8">
      <w:start w:val="1"/>
      <w:numFmt w:val="bullet"/>
      <w:lvlText w:val=""/>
      <w:lvlJc w:val="left"/>
      <w:pPr>
        <w:tabs>
          <w:tab w:val="num" w:pos="567"/>
        </w:tabs>
        <w:ind w:left="567" w:hanging="56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BF2945"/>
    <w:multiLevelType w:val="hybridMultilevel"/>
    <w:tmpl w:val="D70447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9"/>
  </w:num>
  <w:num w:numId="5">
    <w:abstractNumId w:val="18"/>
  </w:num>
  <w:num w:numId="6">
    <w:abstractNumId w:val="4"/>
  </w:num>
  <w:num w:numId="7">
    <w:abstractNumId w:val="2"/>
  </w:num>
  <w:num w:numId="8">
    <w:abstractNumId w:val="1"/>
  </w:num>
  <w:num w:numId="9">
    <w:abstractNumId w:val="0"/>
  </w:num>
  <w:num w:numId="10">
    <w:abstractNumId w:val="14"/>
  </w:num>
  <w:num w:numId="11">
    <w:abstractNumId w:val="15"/>
  </w:num>
  <w:num w:numId="12">
    <w:abstractNumId w:val="16"/>
  </w:num>
  <w:num w:numId="13">
    <w:abstractNumId w:val="19"/>
  </w:num>
  <w:num w:numId="14">
    <w:abstractNumId w:val="10"/>
  </w:num>
  <w:num w:numId="15">
    <w:abstractNumId w:val="14"/>
  </w:num>
  <w:num w:numId="16">
    <w:abstractNumId w:val="2"/>
  </w:num>
  <w:num w:numId="17">
    <w:abstractNumId w:val="14"/>
  </w:num>
  <w:num w:numId="18">
    <w:abstractNumId w:val="14"/>
  </w:num>
  <w:num w:numId="19">
    <w:abstractNumId w:val="11"/>
  </w:num>
  <w:num w:numId="20">
    <w:abstractNumId w:val="13"/>
  </w:num>
  <w:num w:numId="21">
    <w:abstractNumId w:val="20"/>
  </w:num>
  <w:num w:numId="22">
    <w:abstractNumId w:val="7"/>
  </w:num>
  <w:num w:numId="23">
    <w:abstractNumId w:val="12"/>
  </w:num>
  <w:num w:numId="24">
    <w:abstractNumId w:val="8"/>
  </w:num>
  <w:num w:numId="25">
    <w:abstractNumId w:val="1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A136F9"/>
    <w:rsid w:val="00010530"/>
    <w:rsid w:val="0001293B"/>
    <w:rsid w:val="000352ED"/>
    <w:rsid w:val="00047318"/>
    <w:rsid w:val="000536F1"/>
    <w:rsid w:val="000573BF"/>
    <w:rsid w:val="000605B2"/>
    <w:rsid w:val="000669E8"/>
    <w:rsid w:val="00067424"/>
    <w:rsid w:val="00072AD1"/>
    <w:rsid w:val="0008005B"/>
    <w:rsid w:val="00081ED4"/>
    <w:rsid w:val="000A0A4A"/>
    <w:rsid w:val="000B1720"/>
    <w:rsid w:val="000B4AE9"/>
    <w:rsid w:val="000B70ED"/>
    <w:rsid w:val="000C64E6"/>
    <w:rsid w:val="000D05FC"/>
    <w:rsid w:val="000D0E8C"/>
    <w:rsid w:val="000D2EEC"/>
    <w:rsid w:val="000D4BD2"/>
    <w:rsid w:val="000E290F"/>
    <w:rsid w:val="000E5DDB"/>
    <w:rsid w:val="000F46EA"/>
    <w:rsid w:val="00100928"/>
    <w:rsid w:val="00107952"/>
    <w:rsid w:val="00107BE6"/>
    <w:rsid w:val="00107F92"/>
    <w:rsid w:val="00110244"/>
    <w:rsid w:val="00125D20"/>
    <w:rsid w:val="00127A16"/>
    <w:rsid w:val="00133A87"/>
    <w:rsid w:val="00141B08"/>
    <w:rsid w:val="00146825"/>
    <w:rsid w:val="001506A0"/>
    <w:rsid w:val="001510BC"/>
    <w:rsid w:val="00152CE1"/>
    <w:rsid w:val="00157ACE"/>
    <w:rsid w:val="0016040D"/>
    <w:rsid w:val="00162B64"/>
    <w:rsid w:val="00163593"/>
    <w:rsid w:val="0019333D"/>
    <w:rsid w:val="00194D54"/>
    <w:rsid w:val="001A323C"/>
    <w:rsid w:val="001A7581"/>
    <w:rsid w:val="001B1BEB"/>
    <w:rsid w:val="001B254E"/>
    <w:rsid w:val="001C2667"/>
    <w:rsid w:val="001C3AA4"/>
    <w:rsid w:val="001D5EA4"/>
    <w:rsid w:val="001F3046"/>
    <w:rsid w:val="001F4403"/>
    <w:rsid w:val="001F44F9"/>
    <w:rsid w:val="001F5F67"/>
    <w:rsid w:val="00200647"/>
    <w:rsid w:val="00203A41"/>
    <w:rsid w:val="002061EF"/>
    <w:rsid w:val="00210CA1"/>
    <w:rsid w:val="00224217"/>
    <w:rsid w:val="002318F5"/>
    <w:rsid w:val="0023631A"/>
    <w:rsid w:val="00242748"/>
    <w:rsid w:val="002453CD"/>
    <w:rsid w:val="00246470"/>
    <w:rsid w:val="00260036"/>
    <w:rsid w:val="00262C4F"/>
    <w:rsid w:val="002663BC"/>
    <w:rsid w:val="00276F65"/>
    <w:rsid w:val="00285F83"/>
    <w:rsid w:val="00286CAB"/>
    <w:rsid w:val="00292BDF"/>
    <w:rsid w:val="002A4177"/>
    <w:rsid w:val="002A60E4"/>
    <w:rsid w:val="002B1294"/>
    <w:rsid w:val="002B4755"/>
    <w:rsid w:val="002C25E4"/>
    <w:rsid w:val="002E10C7"/>
    <w:rsid w:val="002E433E"/>
    <w:rsid w:val="002E4F14"/>
    <w:rsid w:val="0030111D"/>
    <w:rsid w:val="003032A6"/>
    <w:rsid w:val="0031325C"/>
    <w:rsid w:val="00314E34"/>
    <w:rsid w:val="003168DF"/>
    <w:rsid w:val="00316F9B"/>
    <w:rsid w:val="00320019"/>
    <w:rsid w:val="00325AD0"/>
    <w:rsid w:val="003412C8"/>
    <w:rsid w:val="00345C02"/>
    <w:rsid w:val="0035582D"/>
    <w:rsid w:val="00360039"/>
    <w:rsid w:val="00360B21"/>
    <w:rsid w:val="00366264"/>
    <w:rsid w:val="00376972"/>
    <w:rsid w:val="0038179A"/>
    <w:rsid w:val="00381A81"/>
    <w:rsid w:val="00382B6D"/>
    <w:rsid w:val="003937D4"/>
    <w:rsid w:val="003974E7"/>
    <w:rsid w:val="003A3F84"/>
    <w:rsid w:val="003A4EC4"/>
    <w:rsid w:val="003A6108"/>
    <w:rsid w:val="003B08A8"/>
    <w:rsid w:val="003E4F7C"/>
    <w:rsid w:val="003F2C22"/>
    <w:rsid w:val="00400CA8"/>
    <w:rsid w:val="0041218B"/>
    <w:rsid w:val="00421D59"/>
    <w:rsid w:val="004245D6"/>
    <w:rsid w:val="0043022C"/>
    <w:rsid w:val="00434994"/>
    <w:rsid w:val="004354CC"/>
    <w:rsid w:val="0045199A"/>
    <w:rsid w:val="00452E7E"/>
    <w:rsid w:val="00462B0B"/>
    <w:rsid w:val="0047014F"/>
    <w:rsid w:val="00475DBD"/>
    <w:rsid w:val="00476789"/>
    <w:rsid w:val="004862A2"/>
    <w:rsid w:val="004867EB"/>
    <w:rsid w:val="004877BF"/>
    <w:rsid w:val="00490A58"/>
    <w:rsid w:val="00493ACF"/>
    <w:rsid w:val="0049717B"/>
    <w:rsid w:val="0049752B"/>
    <w:rsid w:val="004A4D7D"/>
    <w:rsid w:val="004B3763"/>
    <w:rsid w:val="004C0A05"/>
    <w:rsid w:val="004C1463"/>
    <w:rsid w:val="004C6813"/>
    <w:rsid w:val="004D5261"/>
    <w:rsid w:val="004E521D"/>
    <w:rsid w:val="004E74C6"/>
    <w:rsid w:val="004F69CE"/>
    <w:rsid w:val="00502C29"/>
    <w:rsid w:val="00503782"/>
    <w:rsid w:val="00511B5A"/>
    <w:rsid w:val="00511F0E"/>
    <w:rsid w:val="005121BD"/>
    <w:rsid w:val="00521BF2"/>
    <w:rsid w:val="00530098"/>
    <w:rsid w:val="00533775"/>
    <w:rsid w:val="00541F21"/>
    <w:rsid w:val="005432AD"/>
    <w:rsid w:val="00543784"/>
    <w:rsid w:val="00543ADC"/>
    <w:rsid w:val="00544DF3"/>
    <w:rsid w:val="00547717"/>
    <w:rsid w:val="00574A36"/>
    <w:rsid w:val="00586965"/>
    <w:rsid w:val="00594E1C"/>
    <w:rsid w:val="00597059"/>
    <w:rsid w:val="005A73BA"/>
    <w:rsid w:val="005B3695"/>
    <w:rsid w:val="005B4A0A"/>
    <w:rsid w:val="005C11AE"/>
    <w:rsid w:val="005C4311"/>
    <w:rsid w:val="005D6BE9"/>
    <w:rsid w:val="005E0760"/>
    <w:rsid w:val="005F3FEE"/>
    <w:rsid w:val="005F5B7E"/>
    <w:rsid w:val="005F674C"/>
    <w:rsid w:val="0060000B"/>
    <w:rsid w:val="006009A6"/>
    <w:rsid w:val="00601887"/>
    <w:rsid w:val="006039A0"/>
    <w:rsid w:val="00607FE9"/>
    <w:rsid w:val="00611198"/>
    <w:rsid w:val="006124AC"/>
    <w:rsid w:val="00620F9E"/>
    <w:rsid w:val="0062538B"/>
    <w:rsid w:val="00644B23"/>
    <w:rsid w:val="00645235"/>
    <w:rsid w:val="006601CB"/>
    <w:rsid w:val="006629E6"/>
    <w:rsid w:val="00666A34"/>
    <w:rsid w:val="00673731"/>
    <w:rsid w:val="00681FD9"/>
    <w:rsid w:val="00687221"/>
    <w:rsid w:val="00691E88"/>
    <w:rsid w:val="006921CC"/>
    <w:rsid w:val="006930F7"/>
    <w:rsid w:val="006A5FEA"/>
    <w:rsid w:val="006A73A6"/>
    <w:rsid w:val="006B4A76"/>
    <w:rsid w:val="006B55F6"/>
    <w:rsid w:val="006B5D15"/>
    <w:rsid w:val="006C36F7"/>
    <w:rsid w:val="006C3A01"/>
    <w:rsid w:val="006D229E"/>
    <w:rsid w:val="006E0899"/>
    <w:rsid w:val="006E7A4E"/>
    <w:rsid w:val="006F27D8"/>
    <w:rsid w:val="006F40AF"/>
    <w:rsid w:val="00701218"/>
    <w:rsid w:val="00707C71"/>
    <w:rsid w:val="00711502"/>
    <w:rsid w:val="00721120"/>
    <w:rsid w:val="00721816"/>
    <w:rsid w:val="0072486F"/>
    <w:rsid w:val="007334A3"/>
    <w:rsid w:val="00735E34"/>
    <w:rsid w:val="00743392"/>
    <w:rsid w:val="00746001"/>
    <w:rsid w:val="0075045F"/>
    <w:rsid w:val="00750472"/>
    <w:rsid w:val="00750A8A"/>
    <w:rsid w:val="00757818"/>
    <w:rsid w:val="00774525"/>
    <w:rsid w:val="0077506C"/>
    <w:rsid w:val="0078671E"/>
    <w:rsid w:val="0079213E"/>
    <w:rsid w:val="00796E9F"/>
    <w:rsid w:val="007A1309"/>
    <w:rsid w:val="007A3261"/>
    <w:rsid w:val="007B066E"/>
    <w:rsid w:val="007B24F3"/>
    <w:rsid w:val="007B3D46"/>
    <w:rsid w:val="007B7941"/>
    <w:rsid w:val="007D1C9A"/>
    <w:rsid w:val="007D2A05"/>
    <w:rsid w:val="007D3BF9"/>
    <w:rsid w:val="007F2C7A"/>
    <w:rsid w:val="007F79F8"/>
    <w:rsid w:val="008005CF"/>
    <w:rsid w:val="00805B97"/>
    <w:rsid w:val="00810311"/>
    <w:rsid w:val="00812AB6"/>
    <w:rsid w:val="0082515F"/>
    <w:rsid w:val="008301EC"/>
    <w:rsid w:val="008309DC"/>
    <w:rsid w:val="008323B8"/>
    <w:rsid w:val="00832BAF"/>
    <w:rsid w:val="00833A9B"/>
    <w:rsid w:val="00836521"/>
    <w:rsid w:val="008401C3"/>
    <w:rsid w:val="00841AEA"/>
    <w:rsid w:val="00843F03"/>
    <w:rsid w:val="0084552E"/>
    <w:rsid w:val="008540A9"/>
    <w:rsid w:val="00860ECD"/>
    <w:rsid w:val="00875AA1"/>
    <w:rsid w:val="00885E96"/>
    <w:rsid w:val="008874FA"/>
    <w:rsid w:val="00887716"/>
    <w:rsid w:val="00887D4D"/>
    <w:rsid w:val="008906A7"/>
    <w:rsid w:val="00896696"/>
    <w:rsid w:val="00897AE6"/>
    <w:rsid w:val="008A1CF2"/>
    <w:rsid w:val="008A1F1A"/>
    <w:rsid w:val="008A7666"/>
    <w:rsid w:val="008B685B"/>
    <w:rsid w:val="008C473D"/>
    <w:rsid w:val="008C47AA"/>
    <w:rsid w:val="008C5A76"/>
    <w:rsid w:val="008D0C82"/>
    <w:rsid w:val="008D2022"/>
    <w:rsid w:val="008D2391"/>
    <w:rsid w:val="008E3239"/>
    <w:rsid w:val="008F1290"/>
    <w:rsid w:val="00924654"/>
    <w:rsid w:val="00924DBC"/>
    <w:rsid w:val="009250E9"/>
    <w:rsid w:val="00927EA6"/>
    <w:rsid w:val="00940635"/>
    <w:rsid w:val="00950E68"/>
    <w:rsid w:val="0095463E"/>
    <w:rsid w:val="00960A7A"/>
    <w:rsid w:val="009630E6"/>
    <w:rsid w:val="00963C18"/>
    <w:rsid w:val="009713DA"/>
    <w:rsid w:val="00975714"/>
    <w:rsid w:val="00976133"/>
    <w:rsid w:val="00976A5B"/>
    <w:rsid w:val="009772E6"/>
    <w:rsid w:val="009800B0"/>
    <w:rsid w:val="00981FBD"/>
    <w:rsid w:val="00986789"/>
    <w:rsid w:val="00992226"/>
    <w:rsid w:val="0099502B"/>
    <w:rsid w:val="009A1D5F"/>
    <w:rsid w:val="009A2FE1"/>
    <w:rsid w:val="009A42EB"/>
    <w:rsid w:val="009A78BE"/>
    <w:rsid w:val="009A795A"/>
    <w:rsid w:val="009C20C4"/>
    <w:rsid w:val="009C3AEE"/>
    <w:rsid w:val="009C5F7D"/>
    <w:rsid w:val="009D1165"/>
    <w:rsid w:val="009D4FB4"/>
    <w:rsid w:val="009D7149"/>
    <w:rsid w:val="009E4BF9"/>
    <w:rsid w:val="009E7498"/>
    <w:rsid w:val="009F5EE7"/>
    <w:rsid w:val="009F63BD"/>
    <w:rsid w:val="00A057DC"/>
    <w:rsid w:val="00A136F9"/>
    <w:rsid w:val="00A247C5"/>
    <w:rsid w:val="00A40DFB"/>
    <w:rsid w:val="00A42456"/>
    <w:rsid w:val="00A46F6A"/>
    <w:rsid w:val="00A52A70"/>
    <w:rsid w:val="00A52D5C"/>
    <w:rsid w:val="00A64D99"/>
    <w:rsid w:val="00A70988"/>
    <w:rsid w:val="00A70D41"/>
    <w:rsid w:val="00A84FC0"/>
    <w:rsid w:val="00A865F8"/>
    <w:rsid w:val="00A87306"/>
    <w:rsid w:val="00A91E32"/>
    <w:rsid w:val="00A92352"/>
    <w:rsid w:val="00A96BCF"/>
    <w:rsid w:val="00AA5F6D"/>
    <w:rsid w:val="00AC0264"/>
    <w:rsid w:val="00AD4FB0"/>
    <w:rsid w:val="00AE4A66"/>
    <w:rsid w:val="00AF6399"/>
    <w:rsid w:val="00B02E45"/>
    <w:rsid w:val="00B159AD"/>
    <w:rsid w:val="00B2338A"/>
    <w:rsid w:val="00B376C5"/>
    <w:rsid w:val="00B66B23"/>
    <w:rsid w:val="00B83FB1"/>
    <w:rsid w:val="00B85A6E"/>
    <w:rsid w:val="00B87D36"/>
    <w:rsid w:val="00B96CDE"/>
    <w:rsid w:val="00B96F50"/>
    <w:rsid w:val="00BA2B29"/>
    <w:rsid w:val="00BA4648"/>
    <w:rsid w:val="00BB7B9F"/>
    <w:rsid w:val="00BC33AF"/>
    <w:rsid w:val="00BC420C"/>
    <w:rsid w:val="00BC6E92"/>
    <w:rsid w:val="00BC7F9C"/>
    <w:rsid w:val="00BE1365"/>
    <w:rsid w:val="00BE2D5B"/>
    <w:rsid w:val="00BE42F3"/>
    <w:rsid w:val="00BE47F1"/>
    <w:rsid w:val="00BF2223"/>
    <w:rsid w:val="00BF6877"/>
    <w:rsid w:val="00BF73DC"/>
    <w:rsid w:val="00C04BE6"/>
    <w:rsid w:val="00C06FB1"/>
    <w:rsid w:val="00C219C5"/>
    <w:rsid w:val="00C22F86"/>
    <w:rsid w:val="00C3108D"/>
    <w:rsid w:val="00C33341"/>
    <w:rsid w:val="00C34C64"/>
    <w:rsid w:val="00C37880"/>
    <w:rsid w:val="00C41007"/>
    <w:rsid w:val="00C449A9"/>
    <w:rsid w:val="00C46739"/>
    <w:rsid w:val="00C46E62"/>
    <w:rsid w:val="00C57A48"/>
    <w:rsid w:val="00C64970"/>
    <w:rsid w:val="00C64B4D"/>
    <w:rsid w:val="00C64EA1"/>
    <w:rsid w:val="00C654CE"/>
    <w:rsid w:val="00C90874"/>
    <w:rsid w:val="00C95B24"/>
    <w:rsid w:val="00C969B3"/>
    <w:rsid w:val="00CA166D"/>
    <w:rsid w:val="00CA34B2"/>
    <w:rsid w:val="00CA62FF"/>
    <w:rsid w:val="00CB1186"/>
    <w:rsid w:val="00CB1804"/>
    <w:rsid w:val="00CB27A9"/>
    <w:rsid w:val="00CB3493"/>
    <w:rsid w:val="00CC0375"/>
    <w:rsid w:val="00CC1879"/>
    <w:rsid w:val="00CE2B11"/>
    <w:rsid w:val="00CE6B75"/>
    <w:rsid w:val="00CF0335"/>
    <w:rsid w:val="00CF2BBD"/>
    <w:rsid w:val="00CF34C6"/>
    <w:rsid w:val="00CF4762"/>
    <w:rsid w:val="00D04C7A"/>
    <w:rsid w:val="00D1030F"/>
    <w:rsid w:val="00D15E7F"/>
    <w:rsid w:val="00D30A72"/>
    <w:rsid w:val="00D3186F"/>
    <w:rsid w:val="00D36A21"/>
    <w:rsid w:val="00D37368"/>
    <w:rsid w:val="00D4538B"/>
    <w:rsid w:val="00D45D60"/>
    <w:rsid w:val="00D45F1B"/>
    <w:rsid w:val="00D56E07"/>
    <w:rsid w:val="00D60428"/>
    <w:rsid w:val="00D62EF6"/>
    <w:rsid w:val="00D635D9"/>
    <w:rsid w:val="00D65156"/>
    <w:rsid w:val="00D660E8"/>
    <w:rsid w:val="00D72925"/>
    <w:rsid w:val="00D9662C"/>
    <w:rsid w:val="00DA30B7"/>
    <w:rsid w:val="00DB054A"/>
    <w:rsid w:val="00DB35AF"/>
    <w:rsid w:val="00DC44EE"/>
    <w:rsid w:val="00DC6C01"/>
    <w:rsid w:val="00DC7957"/>
    <w:rsid w:val="00DC7ED3"/>
    <w:rsid w:val="00DD313F"/>
    <w:rsid w:val="00DE3C0C"/>
    <w:rsid w:val="00E01E69"/>
    <w:rsid w:val="00E15147"/>
    <w:rsid w:val="00E17C10"/>
    <w:rsid w:val="00E3194B"/>
    <w:rsid w:val="00E3209F"/>
    <w:rsid w:val="00E32218"/>
    <w:rsid w:val="00E331D2"/>
    <w:rsid w:val="00E33780"/>
    <w:rsid w:val="00E40172"/>
    <w:rsid w:val="00E42E77"/>
    <w:rsid w:val="00E431B7"/>
    <w:rsid w:val="00E54B72"/>
    <w:rsid w:val="00E56AED"/>
    <w:rsid w:val="00E628DA"/>
    <w:rsid w:val="00E62A5C"/>
    <w:rsid w:val="00E72BEA"/>
    <w:rsid w:val="00E8145D"/>
    <w:rsid w:val="00E8240E"/>
    <w:rsid w:val="00E90C51"/>
    <w:rsid w:val="00EA0463"/>
    <w:rsid w:val="00EA0624"/>
    <w:rsid w:val="00EA314C"/>
    <w:rsid w:val="00EB152D"/>
    <w:rsid w:val="00EC134D"/>
    <w:rsid w:val="00ED28FC"/>
    <w:rsid w:val="00ED39EB"/>
    <w:rsid w:val="00ED4AD1"/>
    <w:rsid w:val="00EE0434"/>
    <w:rsid w:val="00EE0D0E"/>
    <w:rsid w:val="00EF4A8E"/>
    <w:rsid w:val="00F00072"/>
    <w:rsid w:val="00F0526C"/>
    <w:rsid w:val="00F24665"/>
    <w:rsid w:val="00F25559"/>
    <w:rsid w:val="00F27FB0"/>
    <w:rsid w:val="00F32345"/>
    <w:rsid w:val="00F34702"/>
    <w:rsid w:val="00F34F3E"/>
    <w:rsid w:val="00F37B53"/>
    <w:rsid w:val="00F40873"/>
    <w:rsid w:val="00F446D5"/>
    <w:rsid w:val="00F476FA"/>
    <w:rsid w:val="00F511EE"/>
    <w:rsid w:val="00F558BA"/>
    <w:rsid w:val="00F81FA4"/>
    <w:rsid w:val="00FA1F8F"/>
    <w:rsid w:val="00FB0411"/>
    <w:rsid w:val="00FC18B8"/>
    <w:rsid w:val="00FC3F55"/>
    <w:rsid w:val="00FC56B2"/>
    <w:rsid w:val="00FC66E1"/>
    <w:rsid w:val="00FD0895"/>
    <w:rsid w:val="00FD7865"/>
    <w:rsid w:val="00FF3B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14:docId w14:val="464AEB88"/>
  <w15:docId w15:val="{73581DC3-7A69-4FD6-B64C-A5CCEE61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link w:val="AufzhlungZchn"/>
    <w:qFormat/>
    <w:rsid w:val="003415A9"/>
    <w:pPr>
      <w:numPr>
        <w:numId w:val="8"/>
      </w:numPr>
    </w:pPr>
  </w:style>
  <w:style w:type="character" w:styleId="Hyperlink">
    <w:name w:val="Hyperlink"/>
    <w:basedOn w:val="Absatz-Standardschriftart"/>
    <w:uiPriority w:val="99"/>
    <w:rsid w:val="00A136F9"/>
    <w:rPr>
      <w:color w:val="0000FF"/>
      <w:u w:val="single"/>
    </w:rPr>
  </w:style>
  <w:style w:type="character" w:styleId="BesuchterLink">
    <w:name w:val="FollowedHyperlink"/>
    <w:basedOn w:val="Absatz-Standardschriftart"/>
    <w:rsid w:val="00A136F9"/>
    <w:rPr>
      <w:color w:val="606420"/>
      <w:u w:val="single"/>
    </w:rPr>
  </w:style>
  <w:style w:type="paragraph" w:customStyle="1" w:styleId="WeisungAufzhlung">
    <w:name w:val="Weisung Aufzählung"/>
    <w:basedOn w:val="WeisungStandard"/>
    <w:rsid w:val="00A136F9"/>
    <w:pPr>
      <w:numPr>
        <w:numId w:val="10"/>
      </w:numPr>
    </w:pPr>
  </w:style>
  <w:style w:type="paragraph" w:customStyle="1" w:styleId="WeisungStandard">
    <w:name w:val="Weisung Standard"/>
    <w:basedOn w:val="Standard"/>
    <w:rsid w:val="00A136F9"/>
    <w:rPr>
      <w:szCs w:val="24"/>
    </w:rPr>
  </w:style>
  <w:style w:type="paragraph" w:customStyle="1" w:styleId="Tabelle">
    <w:name w:val="Tabelle"/>
    <w:basedOn w:val="Standard"/>
    <w:rsid w:val="00A136F9"/>
    <w:pPr>
      <w:numPr>
        <w:ilvl w:val="12"/>
      </w:numPr>
      <w:overflowPunct w:val="0"/>
      <w:autoSpaceDE w:val="0"/>
      <w:autoSpaceDN w:val="0"/>
      <w:adjustRightInd w:val="0"/>
      <w:spacing w:before="20" w:after="20"/>
      <w:textAlignment w:val="baseline"/>
    </w:pPr>
    <w:rPr>
      <w:rFonts w:ascii="Arial (W1)" w:hAnsi="Arial (W1)" w:cs="Times New Roman"/>
      <w:color w:val="000000"/>
      <w:sz w:val="20"/>
      <w:szCs w:val="24"/>
      <w:lang w:val="de-DE"/>
    </w:rPr>
  </w:style>
  <w:style w:type="character" w:styleId="Kommentarzeichen">
    <w:name w:val="annotation reference"/>
    <w:basedOn w:val="Absatz-Standardschriftart"/>
    <w:semiHidden/>
    <w:rsid w:val="004E3579"/>
    <w:rPr>
      <w:sz w:val="16"/>
      <w:szCs w:val="16"/>
    </w:rPr>
  </w:style>
  <w:style w:type="paragraph" w:styleId="Kommentartext">
    <w:name w:val="annotation text"/>
    <w:basedOn w:val="Standard"/>
    <w:link w:val="KommentartextZchn"/>
    <w:semiHidden/>
    <w:rsid w:val="004E3579"/>
    <w:rPr>
      <w:sz w:val="20"/>
    </w:rPr>
  </w:style>
  <w:style w:type="paragraph" w:styleId="Kommentarthema">
    <w:name w:val="annotation subject"/>
    <w:basedOn w:val="Kommentartext"/>
    <w:next w:val="Kommentartext"/>
    <w:semiHidden/>
    <w:rsid w:val="004E3579"/>
    <w:rPr>
      <w:b/>
      <w:bCs/>
    </w:rPr>
  </w:style>
  <w:style w:type="paragraph" w:styleId="Funotentext">
    <w:name w:val="footnote text"/>
    <w:basedOn w:val="Standard"/>
    <w:semiHidden/>
    <w:rsid w:val="008A1CF2"/>
    <w:rPr>
      <w:sz w:val="20"/>
    </w:rPr>
  </w:style>
  <w:style w:type="character" w:styleId="Funotenzeichen">
    <w:name w:val="footnote reference"/>
    <w:basedOn w:val="Absatz-Standardschriftart"/>
    <w:semiHidden/>
    <w:rsid w:val="008A1CF2"/>
    <w:rPr>
      <w:vertAlign w:val="superscript"/>
    </w:rPr>
  </w:style>
  <w:style w:type="character" w:customStyle="1" w:styleId="KommentartextZchn">
    <w:name w:val="Kommentartext Zchn"/>
    <w:basedOn w:val="Absatz-Standardschriftart"/>
    <w:link w:val="Kommentartext"/>
    <w:semiHidden/>
    <w:rsid w:val="00C90874"/>
    <w:rPr>
      <w:rFonts w:ascii="Arial" w:hAnsi="Arial" w:cs="Arial"/>
      <w:lang w:eastAsia="de-DE"/>
    </w:rPr>
  </w:style>
  <w:style w:type="paragraph" w:styleId="Listenabsatz">
    <w:name w:val="List Paragraph"/>
    <w:basedOn w:val="Standard"/>
    <w:uiPriority w:val="34"/>
    <w:qFormat/>
    <w:rsid w:val="00C90874"/>
    <w:pPr>
      <w:ind w:left="720"/>
      <w:contextualSpacing/>
    </w:pPr>
  </w:style>
  <w:style w:type="paragraph" w:styleId="berarbeitung">
    <w:name w:val="Revision"/>
    <w:hidden/>
    <w:uiPriority w:val="99"/>
    <w:semiHidden/>
    <w:rsid w:val="002B4755"/>
    <w:rPr>
      <w:rFonts w:ascii="Arial" w:hAnsi="Arial" w:cs="Arial"/>
      <w:sz w:val="22"/>
      <w:lang w:eastAsia="de-DE"/>
    </w:rPr>
  </w:style>
  <w:style w:type="character" w:styleId="Platzhaltertext">
    <w:name w:val="Placeholder Text"/>
    <w:basedOn w:val="Absatz-Standardschriftart"/>
    <w:uiPriority w:val="99"/>
    <w:semiHidden/>
    <w:rsid w:val="004C6813"/>
    <w:rPr>
      <w:color w:val="808080"/>
    </w:rPr>
  </w:style>
  <w:style w:type="paragraph" w:styleId="Inhaltsverzeichnisberschrift">
    <w:name w:val="TOC Heading"/>
    <w:basedOn w:val="berschrift1"/>
    <w:next w:val="Standard"/>
    <w:uiPriority w:val="39"/>
    <w:unhideWhenUsed/>
    <w:qFormat/>
    <w:rsid w:val="008540A9"/>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Titel">
    <w:name w:val="Title"/>
    <w:basedOn w:val="WeisungKopfteil"/>
    <w:next w:val="Standard"/>
    <w:link w:val="TitelZchn"/>
    <w:qFormat/>
    <w:rsid w:val="00210CA1"/>
    <w:pPr>
      <w:framePr w:wrap="around"/>
    </w:pPr>
    <w:rPr>
      <w:rFonts w:cs="Times New Roman"/>
      <w:szCs w:val="20"/>
    </w:rPr>
  </w:style>
  <w:style w:type="character" w:customStyle="1" w:styleId="TitelZchn">
    <w:name w:val="Titel Zchn"/>
    <w:basedOn w:val="Absatz-Standardschriftart"/>
    <w:link w:val="Titel"/>
    <w:rsid w:val="00210CA1"/>
    <w:rPr>
      <w:rFonts w:ascii="Arial (W1)" w:hAnsi="Arial (W1)"/>
      <w:b/>
      <w:sz w:val="22"/>
      <w:lang w:eastAsia="de-DE"/>
    </w:rPr>
  </w:style>
  <w:style w:type="character" w:customStyle="1" w:styleId="AufzhlungZchn">
    <w:name w:val="Aufzählung Zchn"/>
    <w:basedOn w:val="Absatz-Standardschriftart"/>
    <w:link w:val="Aufzhlung"/>
    <w:rsid w:val="00210CA1"/>
    <w:rPr>
      <w:rFonts w:ascii="Arial" w:hAnsi="Arial" w:cs="Arial"/>
      <w:sz w:val="22"/>
      <w:lang w:eastAsia="de-DE"/>
    </w:rPr>
  </w:style>
  <w:style w:type="paragraph" w:customStyle="1" w:styleId="normal-p1">
    <w:name w:val="normal-p1"/>
    <w:basedOn w:val="Standard"/>
    <w:rsid w:val="00DE3C0C"/>
    <w:pPr>
      <w:spacing w:before="100" w:beforeAutospacing="1" w:after="100" w:afterAutospacing="1"/>
    </w:pPr>
    <w:rPr>
      <w:rFonts w:ascii="Times New Roman" w:hAnsi="Times New Roman" w:cs="Times New Roman"/>
      <w:color w:val="000000"/>
      <w:sz w:val="21"/>
      <w:szCs w:val="21"/>
      <w:lang w:eastAsia="de-CH"/>
    </w:rPr>
  </w:style>
  <w:style w:type="table" w:styleId="Tabellenraster">
    <w:name w:val="Table Grid"/>
    <w:basedOn w:val="NormaleTabelle"/>
    <w:rsid w:val="00843F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C7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058715">
      <w:bodyDiv w:val="1"/>
      <w:marLeft w:val="0"/>
      <w:marRight w:val="0"/>
      <w:marTop w:val="0"/>
      <w:marBottom w:val="0"/>
      <w:divBdr>
        <w:top w:val="none" w:sz="0" w:space="0" w:color="auto"/>
        <w:left w:val="none" w:sz="0" w:space="0" w:color="auto"/>
        <w:bottom w:val="none" w:sz="0" w:space="0" w:color="auto"/>
        <w:right w:val="none" w:sz="0" w:space="0" w:color="auto"/>
      </w:divBdr>
      <w:divsChild>
        <w:div w:id="135756480">
          <w:marLeft w:val="450"/>
          <w:marRight w:val="0"/>
          <w:marTop w:val="150"/>
          <w:marBottom w:val="300"/>
          <w:divBdr>
            <w:top w:val="none" w:sz="0" w:space="0" w:color="auto"/>
            <w:left w:val="none" w:sz="0" w:space="0" w:color="auto"/>
            <w:bottom w:val="none" w:sz="0" w:space="0" w:color="auto"/>
            <w:right w:val="none" w:sz="0" w:space="0" w:color="auto"/>
          </w:divBdr>
          <w:divsChild>
            <w:div w:id="630016562">
              <w:marLeft w:val="4140"/>
              <w:marRight w:val="0"/>
              <w:marTop w:val="0"/>
              <w:marBottom w:val="0"/>
              <w:divBdr>
                <w:top w:val="none" w:sz="0" w:space="0" w:color="auto"/>
                <w:left w:val="none" w:sz="0" w:space="0" w:color="auto"/>
                <w:bottom w:val="none" w:sz="0" w:space="0" w:color="auto"/>
                <w:right w:val="none" w:sz="0" w:space="0" w:color="auto"/>
              </w:divBdr>
              <w:divsChild>
                <w:div w:id="10669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kollaboration.intranet.stzh.ch/orga/sod-team/fo/puma/PumaProzesse/Prozessbeschreibung_KK_Wechsel.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ozeloixps.global.szh.loc/ix-SOZ_ELO_DM01/plugin/de.elo.ix.plugin.proxy/web/pages/startup.jsp?useSSO=true&amp;guid=(D9EF86E2-1B58-7E87-C615-99EF1898C682)"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ozeloixps.global.szh.loc/ix-SOZ_ELO_DM01/plugin/de.elo.ix.plugin.proxy/web/pages/startup.jsp?useSSO=true&amp;guid=(DABDBE19-06F2-DF4F-ABEE-D94E48CC29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F35FE-4EDB-4474-8041-9C2AE959756E}">
  <ds:schemaRefs>
    <ds:schemaRef ds:uri="http://schemas.microsoft.com/sharepoint/v3/contenttype/forms"/>
  </ds:schemaRefs>
</ds:datastoreItem>
</file>

<file path=customXml/itemProps2.xml><?xml version="1.0" encoding="utf-8"?>
<ds:datastoreItem xmlns:ds="http://schemas.openxmlformats.org/officeDocument/2006/customXml" ds:itemID="{21A930D8-21FD-495C-83AF-E77D5174E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62D5E5-C5A1-47F2-B1B0-D63D9721FB8C}">
  <ds:schemaRefs>
    <ds:schemaRef ds:uri="http://schemas.microsoft.com/office/2006/metadata/longProperties"/>
  </ds:schemaRefs>
</ds:datastoreItem>
</file>

<file path=customXml/itemProps4.xml><?xml version="1.0" encoding="utf-8"?>
<ds:datastoreItem xmlns:ds="http://schemas.openxmlformats.org/officeDocument/2006/customXml" ds:itemID="{421C26BF-B194-46AE-8E13-7CB8D740F093}">
  <ds:schemaRefs>
    <ds:schemaRef ds:uri="http://purl.org/dc/elements/1.1/"/>
    <ds:schemaRef ds:uri="http://schemas.microsoft.com/office/2006/metadata/properties"/>
    <ds:schemaRef ds:uri="http://purl.org/dc/terms/"/>
    <ds:schemaRef ds:uri="http://schemas.microsoft.com/sharepoint/v3"/>
    <ds:schemaRef ds:uri="http://schemas.microsoft.com/office/2006/documentManagement/types"/>
    <ds:schemaRef ds:uri="001edaa9-679f-44c4-8577-c8b09c58a932"/>
    <ds:schemaRef ds:uri="http://schemas.microsoft.com/office/infopath/2007/PartnerControls"/>
    <ds:schemaRef ds:uri="c16e5f25-af73-4405-bde3-e67fc44b13fc"/>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D29E60F2-0408-4B72-A871-5F363AF1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HAW Festlegung der Beträge des Grundbedarfs für den Lebensunterhalt</vt:lpstr>
    </vt:vector>
  </TitlesOfParts>
  <Company>Soziale Dienste Stadt Zürich</Company>
  <LinksUpToDate>false</LinksUpToDate>
  <CharactersWithSpaces>5254</CharactersWithSpaces>
  <SharedDoc>false</SharedDoc>
  <HLinks>
    <vt:vector size="12" baseType="variant">
      <vt:variant>
        <vt:i4>7143490</vt:i4>
      </vt:variant>
      <vt:variant>
        <vt:i4>5</vt:i4>
      </vt:variant>
      <vt:variant>
        <vt:i4>0</vt:i4>
      </vt:variant>
      <vt:variant>
        <vt:i4>5</vt:i4>
      </vt:variant>
      <vt:variant>
        <vt:lpwstr>http://www.zh-sozialkonferenz.ch/doc/empfehlungen_nebenkosten_heime_ 2012_05_10.pdf</vt:lpwstr>
      </vt:variant>
      <vt:variant>
        <vt:lpwstr/>
      </vt:variant>
      <vt:variant>
        <vt:i4>3997782</vt:i4>
      </vt:variant>
      <vt:variant>
        <vt:i4>2</vt:i4>
      </vt:variant>
      <vt:variant>
        <vt:i4>0</vt:i4>
      </vt:variant>
      <vt:variant>
        <vt:i4>5</vt:i4>
      </vt:variant>
      <vt:variant>
        <vt:lpwstr>http://sd.intra.stzh.ch/intranet/sd/sod/leistungen_intake/wirtschaftliche_sozialhilfe/SKOS_B.html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Festlegung der Beträge des Grundbedarfs für den Lebensunterhalt</dc:title>
  <dc:subject>SKOS B</dc:subject>
  <dc:creator>FS WH - Spescha Thomas (SD)</dc:creator>
  <cp:lastModifiedBy>Roxana Frey (sozrnr)</cp:lastModifiedBy>
  <cp:revision>10</cp:revision>
  <cp:lastPrinted>2021-04-27T16:20:00Z</cp:lastPrinted>
  <dcterms:created xsi:type="dcterms:W3CDTF">2021-08-11T15:16:00Z</dcterms:created>
  <dcterms:modified xsi:type="dcterms:W3CDTF">2023-07-28T12:28:00Z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ContentType">
    <vt:lpwstr>SOD Handlungsanweisung (HAW)</vt:lpwstr>
  </property>
  <property fmtid="{D5CDD505-2E9C-101B-9397-08002B2CF9AE}" pid="4" name="ContentTypeId">
    <vt:lpwstr>0x0101009DDE5957AA4A7F45815733FEB45F178D</vt:lpwstr>
  </property>
  <property fmtid="{D5CDD505-2E9C-101B-9397-08002B2CF9AE}" pid="5" name="Bemerkungen">
    <vt:lpwstr/>
  </property>
  <property fmtid="{D5CDD505-2E9C-101B-9397-08002B2CF9AE}" pid="6" name="Intranetverlinkung">
    <vt:lpwstr>Nein</vt:lpwstr>
  </property>
  <property fmtid="{D5CDD505-2E9C-101B-9397-08002B2CF9AE}" pid="7" name="PublishingContact">
    <vt:lpwstr/>
  </property>
  <property fmtid="{D5CDD505-2E9C-101B-9397-08002B2CF9AE}" pid="8" name="Gültig ab">
    <vt:lpwstr>2011-11-01T00:00:00Z</vt:lpwstr>
  </property>
  <property fmtid="{D5CDD505-2E9C-101B-9397-08002B2CF9AE}" pid="9" name="Zielgruppen">
    <vt:lpwstr/>
  </property>
  <property fmtid="{D5CDD505-2E9C-101B-9397-08002B2CF9AE}" pid="10" name="SKOS-Kapitel">
    <vt:lpwstr>2;#B</vt:lpwstr>
  </property>
  <property fmtid="{D5CDD505-2E9C-101B-9397-08002B2CF9AE}" pid="11" name="Zielgruppe">
    <vt:lpwstr>2;#EFH Erwachsenenprofil;#1;#EFH Familienprofil;#3;#EFH Intake</vt:lpwstr>
  </property>
  <property fmtid="{D5CDD505-2E9C-101B-9397-08002B2CF9AE}" pid="12" name="Spezialdienste">
    <vt:lpwstr/>
  </property>
  <property fmtid="{D5CDD505-2E9C-101B-9397-08002B2CF9AE}" pid="13" name="Zurdnung Thema">
    <vt:lpwstr>29;#WSH</vt:lpwstr>
  </property>
  <property fmtid="{D5CDD505-2E9C-101B-9397-08002B2CF9AE}" pid="14" name="Document Owner">
    <vt:lpwstr/>
  </property>
  <property fmtid="{D5CDD505-2E9C-101B-9397-08002B2CF9AE}" pid="15" name="Order">
    <vt:r8>29500</vt:r8>
  </property>
  <property fmtid="{D5CDD505-2E9C-101B-9397-08002B2CF9AE}" pid="16" name="Überarbeitungsdatum">
    <vt:lpwstr>2012-03-02T00:00:00Z</vt:lpwstr>
  </property>
  <property fmtid="{D5CDD505-2E9C-101B-9397-08002B2CF9AE}" pid="17" name="Thema">
    <vt:lpwstr/>
  </property>
  <property fmtid="{D5CDD505-2E9C-101B-9397-08002B2CF9AE}" pid="18" name="Zielgruppe(n)">
    <vt:lpwstr/>
  </property>
  <property fmtid="{D5CDD505-2E9C-101B-9397-08002B2CF9AE}" pid="19" name="Inhaltliche Verknüpfungen">
    <vt:lpwstr/>
  </property>
  <property fmtid="{D5CDD505-2E9C-101B-9397-08002B2CF9AE}" pid="20" name="Revisionstermin">
    <vt:lpwstr/>
  </property>
  <property fmtid="{D5CDD505-2E9C-101B-9397-08002B2CF9AE}" pid="21" name="_dlc_DocId">
    <vt:lpwstr>SDSOD-119-545</vt:lpwstr>
  </property>
  <property fmtid="{D5CDD505-2E9C-101B-9397-08002B2CF9AE}" pid="22" name="_dlc_DocIdItemGuid">
    <vt:lpwstr>2002a33a-8fc8-4a0d-b164-79dd7127082b</vt:lpwstr>
  </property>
  <property fmtid="{D5CDD505-2E9C-101B-9397-08002B2CF9AE}" pid="23" name="_dlc_DocIdUrl">
    <vt:lpwstr>http://portal.sd.intra.stzh.ch/sod/regelwerk/_layouts/DocIdRedir.aspx?ID=SDSOD-119-545, SDSOD-119-545</vt:lpwstr>
  </property>
  <property fmtid="{D5CDD505-2E9C-101B-9397-08002B2CF9AE}" pid="24" name="WorkflowChangePath">
    <vt:lpwstr>52675646-02d6-422a-bf6f-0a8dd6281eff,19;0d2b39e8-dd18-4502-a924-40335b5a9ad4,21;0d2b39e8-dd18-4502-a924-40335b5a9ad4,23;341fbddd-ec65-48e1-adf9-5a4e166d833e,8;498d860f-cbd0-4500-a53b-08f6ed17cb6e,14;7dbe9e3d-1110-41fa-836b-195a3e49061c,7;7dbe9e3d-1110-41f</vt:lpwstr>
  </property>
  <property fmtid="{D5CDD505-2E9C-101B-9397-08002B2CF9AE}" pid="25" name="IsMyDocuments">
    <vt:bool>true</vt:bool>
  </property>
  <property fmtid="{D5CDD505-2E9C-101B-9397-08002B2CF9AE}" pid="26" name="Dokumentenart1">
    <vt:lpwstr>SOD Handlungsanweisung (HAW)</vt:lpwstr>
  </property>
  <property fmtid="{D5CDD505-2E9C-101B-9397-08002B2CF9AE}" pid="27" name="IntraZueriMandant">
    <vt:lpwstr>1;#SOD|d2ca4cc4-367d-4a9a-a3b2-38906409b4ae</vt:lpwstr>
  </property>
  <property fmtid="{D5CDD505-2E9C-101B-9397-08002B2CF9AE}" pid="28" name="xd_ProgID">
    <vt:lpwstr/>
  </property>
  <property fmtid="{D5CDD505-2E9C-101B-9397-08002B2CF9AE}" pid="29" name="TemplateUrl">
    <vt:lpwstr/>
  </property>
</Properties>
</file>