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621C24" w:rsidRPr="004B26E5" w14:paraId="08275744" w14:textId="77777777" w:rsidTr="0041388B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7F1A8C0A" w14:textId="77777777" w:rsidR="00621C24" w:rsidRPr="004B26E5" w:rsidRDefault="00621C24" w:rsidP="0041388B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 w:rsidRPr="004B26E5"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387B4FD9" w14:textId="77777777" w:rsidR="00621C24" w:rsidRPr="004B26E5" w:rsidRDefault="00621C24" w:rsidP="0041388B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Handlungsanweisung des Direktors</w:t>
            </w:r>
            <w:r w:rsidRPr="004B26E5"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6DB3072E" w14:textId="77777777" w:rsidR="00621C24" w:rsidRPr="004B26E5" w:rsidRDefault="00621C24" w:rsidP="0041388B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 w:rsidRPr="004B26E5"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bookmarkStart w:id="1" w:name="Dropdown1"/>
            <w:r w:rsidRPr="004B26E5">
              <w:instrText xml:space="preserve"> FORMDROPDOWN </w:instrText>
            </w:r>
            <w:r w:rsidR="00B03363">
              <w:fldChar w:fldCharType="separate"/>
            </w:r>
            <w:r w:rsidRPr="004B26E5">
              <w:fldChar w:fldCharType="end"/>
            </w:r>
            <w:bookmarkEnd w:id="1"/>
            <w:r w:rsidRPr="004B26E5">
              <w:t xml:space="preserve"> </w:t>
            </w:r>
          </w:p>
        </w:tc>
      </w:tr>
      <w:tr w:rsidR="00621C24" w:rsidRPr="004B26E5" w14:paraId="1EB9D636" w14:textId="77777777" w:rsidTr="0041388B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684B8060" w14:textId="77777777" w:rsidR="00621C24" w:rsidRPr="009C1D3B" w:rsidRDefault="00621C24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bCs/>
                <w:sz w:val="20"/>
                <w:lang w:val="en-US"/>
              </w:rPr>
            </w:pPr>
            <w:r w:rsidRPr="009C1D3B">
              <w:rPr>
                <w:b w:val="0"/>
                <w:bCs/>
                <w:sz w:val="20"/>
                <w:highlight w:val="yellow"/>
                <w:lang w:val="en-US"/>
              </w:rPr>
              <w:t>SKOS A</w:t>
            </w:r>
          </w:p>
          <w:p w14:paraId="3388D751" w14:textId="77777777" w:rsidR="00621C24" w:rsidRPr="009C1D3B" w:rsidRDefault="00621C24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bCs/>
                <w:sz w:val="20"/>
                <w:lang w:val="en-US"/>
              </w:rPr>
            </w:pPr>
            <w:r w:rsidRPr="009C1D3B">
              <w:rPr>
                <w:b w:val="0"/>
                <w:bCs/>
                <w:sz w:val="20"/>
                <w:highlight w:val="yellow"/>
                <w:lang w:val="en-US"/>
              </w:rPr>
              <w:t>SKOS B</w:t>
            </w:r>
          </w:p>
          <w:p w14:paraId="23B8FC3E" w14:textId="77777777" w:rsidR="00621C24" w:rsidRPr="009C1D3B" w:rsidRDefault="00621C24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bCs/>
                <w:sz w:val="20"/>
                <w:lang w:val="en-US"/>
              </w:rPr>
            </w:pPr>
            <w:r w:rsidRPr="009C1D3B">
              <w:rPr>
                <w:b w:val="0"/>
                <w:bCs/>
                <w:sz w:val="20"/>
                <w:highlight w:val="yellow"/>
                <w:lang w:val="en-US"/>
              </w:rPr>
              <w:t>SKOS C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AB1AABF" w14:textId="77777777" w:rsidR="00621C24" w:rsidRPr="009C1D3B" w:rsidRDefault="00621C24" w:rsidP="0041388B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lang w:val="en-US"/>
              </w:rPr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5CF01B28" w14:textId="1B257E7A" w:rsidR="00621C24" w:rsidRDefault="00F37386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01.10</w:t>
            </w:r>
            <w:r w:rsidR="00621C24">
              <w:rPr>
                <w:b w:val="0"/>
                <w:bCs/>
                <w:sz w:val="20"/>
                <w:highlight w:val="yellow"/>
              </w:rPr>
              <w:t>.2022</w:t>
            </w:r>
          </w:p>
          <w:p w14:paraId="024EA919" w14:textId="736F6AE8" w:rsidR="00621C24" w:rsidRPr="004B26E5" w:rsidRDefault="00621C24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ersetzt </w:t>
            </w:r>
            <w:r w:rsidRPr="004B26E5">
              <w:rPr>
                <w:b w:val="0"/>
                <w:bCs/>
                <w:sz w:val="20"/>
              </w:rPr>
              <w:t>01.0</w:t>
            </w:r>
            <w:r w:rsidR="00F37386">
              <w:rPr>
                <w:b w:val="0"/>
                <w:bCs/>
                <w:sz w:val="20"/>
              </w:rPr>
              <w:t>5</w:t>
            </w:r>
            <w:r w:rsidRPr="004B26E5">
              <w:rPr>
                <w:b w:val="0"/>
                <w:bCs/>
                <w:sz w:val="20"/>
              </w:rPr>
              <w:t>.20</w:t>
            </w:r>
            <w:r w:rsidR="00F37386">
              <w:rPr>
                <w:b w:val="0"/>
                <w:bCs/>
                <w:sz w:val="20"/>
              </w:rPr>
              <w:t>22</w:t>
            </w:r>
          </w:p>
        </w:tc>
      </w:tr>
      <w:tr w:rsidR="00621C24" w:rsidRPr="004B26E5" w14:paraId="07A10420" w14:textId="77777777" w:rsidTr="0041388B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5B9CF3" w14:textId="77777777" w:rsidR="00621C24" w:rsidRPr="004B26E5" w:rsidRDefault="00621C24" w:rsidP="0041388B">
            <w:pPr>
              <w:pStyle w:val="WeisungKopfteil"/>
              <w:framePr w:hSpace="0" w:wrap="auto" w:vAnchor="margin" w:hAnchor="text" w:xAlign="left" w:yAlign="inline"/>
            </w:pPr>
            <w:r w:rsidRPr="004B26E5">
              <w:t xml:space="preserve"> </w:t>
            </w:r>
            <w:r>
              <w:t xml:space="preserve">Berufliche und </w:t>
            </w:r>
            <w:proofErr w:type="spellStart"/>
            <w:r>
              <w:t>Soziale</w:t>
            </w:r>
            <w:proofErr w:type="spellEnd"/>
            <w:r>
              <w:t xml:space="preserve"> </w:t>
            </w:r>
            <w:r w:rsidRPr="004B26E5">
              <w:t xml:space="preserve">Integration </w:t>
            </w:r>
            <w:r>
              <w:t xml:space="preserve">(BUSI) </w:t>
            </w:r>
            <w:r w:rsidRPr="004B26E5">
              <w:t xml:space="preserve">- </w:t>
            </w:r>
            <w:proofErr w:type="spellStart"/>
            <w:r w:rsidRPr="004B26E5">
              <w:t>Teillohn</w:t>
            </w:r>
            <w:proofErr w:type="spellEnd"/>
            <w:r w:rsidRPr="004B26E5">
              <w:t xml:space="preserve">  </w:t>
            </w:r>
          </w:p>
        </w:tc>
      </w:tr>
    </w:tbl>
    <w:p w14:paraId="4727FE0A" w14:textId="77777777" w:rsidR="00621C24" w:rsidRDefault="00621C24" w:rsidP="00621C24">
      <w:pPr>
        <w:pStyle w:val="Absatz0"/>
      </w:pPr>
    </w:p>
    <w:p w14:paraId="4FDB9612" w14:textId="77777777" w:rsidR="00F37386" w:rsidRPr="004B26E5" w:rsidRDefault="00F37386" w:rsidP="00F37386">
      <w:pPr>
        <w:pStyle w:val="Absatz0"/>
      </w:pPr>
    </w:p>
    <w:p w14:paraId="361912EC" w14:textId="77777777" w:rsidR="00F37386" w:rsidRDefault="00F37386" w:rsidP="00F37386">
      <w:pPr>
        <w:pStyle w:val="berschrift2"/>
        <w:numPr>
          <w:ilvl w:val="0"/>
          <w:numId w:val="0"/>
        </w:numPr>
        <w:spacing w:after="240"/>
        <w:ind w:left="709" w:hanging="709"/>
        <w:rPr>
          <w:noProof/>
        </w:rPr>
      </w:pPr>
      <w:bookmarkStart w:id="2" w:name="_Toc492571284"/>
      <w:bookmarkStart w:id="3" w:name="_Toc108042179"/>
      <w:r w:rsidRPr="004B26E5">
        <w:t>Inhalte</w:t>
      </w:r>
      <w:bookmarkEnd w:id="2"/>
      <w:bookmarkEnd w:id="3"/>
      <w:r w:rsidRPr="004B26E5">
        <w:rPr>
          <w:smallCaps/>
        </w:rPr>
        <w:fldChar w:fldCharType="begin"/>
      </w:r>
      <w:r w:rsidRPr="004B26E5">
        <w:instrText xml:space="preserve"> TOC \o "1-2" \h \z \u </w:instrText>
      </w:r>
      <w:r w:rsidRPr="004B26E5">
        <w:rPr>
          <w:smallCaps/>
        </w:rPr>
        <w:fldChar w:fldCharType="separate"/>
      </w:r>
    </w:p>
    <w:p w14:paraId="7AF7AE2A" w14:textId="77777777" w:rsidR="00F37386" w:rsidRDefault="00B03363" w:rsidP="00F37386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8042179" w:history="1">
        <w:r w:rsidR="00F37386" w:rsidRPr="00B57B00">
          <w:rPr>
            <w:rStyle w:val="Hyperlink"/>
            <w:noProof/>
          </w:rPr>
          <w:t>Inhalte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_Toc108042179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1</w:t>
        </w:r>
        <w:r w:rsidR="00F37386">
          <w:rPr>
            <w:noProof/>
            <w:webHidden/>
          </w:rPr>
          <w:fldChar w:fldCharType="end"/>
        </w:r>
      </w:hyperlink>
    </w:p>
    <w:p w14:paraId="0AE17793" w14:textId="77777777" w:rsidR="00F37386" w:rsidRDefault="00B03363" w:rsidP="00F37386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8042180" w:history="1">
        <w:r w:rsidR="00F37386" w:rsidRPr="00B57B00">
          <w:rPr>
            <w:rStyle w:val="Hyperlink"/>
            <w:noProof/>
          </w:rPr>
          <w:t>1</w:t>
        </w:r>
        <w:r w:rsidR="00F37386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Grundsatz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_Toc108042180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1</w:t>
        </w:r>
        <w:r w:rsidR="00F37386">
          <w:rPr>
            <w:noProof/>
            <w:webHidden/>
          </w:rPr>
          <w:fldChar w:fldCharType="end"/>
        </w:r>
      </w:hyperlink>
    </w:p>
    <w:p w14:paraId="06B4EEB0" w14:textId="77777777" w:rsidR="00F37386" w:rsidRDefault="00B03363" w:rsidP="00F37386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8042181" w:history="1">
        <w:r w:rsidR="00F37386" w:rsidRPr="00B57B00">
          <w:rPr>
            <w:rStyle w:val="Hyperlink"/>
            <w:noProof/>
          </w:rPr>
          <w:t>2</w:t>
        </w:r>
        <w:r w:rsidR="00F37386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Grundangebot Teillohn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_Toc108042181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1</w:t>
        </w:r>
        <w:r w:rsidR="00F37386">
          <w:rPr>
            <w:noProof/>
            <w:webHidden/>
          </w:rPr>
          <w:fldChar w:fldCharType="end"/>
        </w:r>
      </w:hyperlink>
    </w:p>
    <w:p w14:paraId="663596D3" w14:textId="77777777" w:rsidR="00F37386" w:rsidRDefault="00B03363" w:rsidP="00F37386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8042182" w:history="1">
        <w:r w:rsidR="00F37386" w:rsidRPr="00B57B00">
          <w:rPr>
            <w:rStyle w:val="Hyperlink"/>
            <w:noProof/>
          </w:rPr>
          <w:t>3</w:t>
        </w:r>
        <w:r w:rsidR="00F37386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Erreichen der Austrittsgrenze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_Toc108042182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2</w:t>
        </w:r>
        <w:r w:rsidR="00F37386">
          <w:rPr>
            <w:noProof/>
            <w:webHidden/>
          </w:rPr>
          <w:fldChar w:fldCharType="end"/>
        </w:r>
      </w:hyperlink>
    </w:p>
    <w:p w14:paraId="30E80208" w14:textId="77777777" w:rsidR="00F37386" w:rsidRDefault="00B03363" w:rsidP="00F37386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8042183" w:history="1">
        <w:r w:rsidR="00F37386" w:rsidRPr="00B57B00">
          <w:rPr>
            <w:rStyle w:val="Hyperlink"/>
            <w:noProof/>
          </w:rPr>
          <w:t>3.1</w:t>
        </w:r>
        <w:r w:rsidR="00F37386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Erreichen der Austrittsgrenze durch ein Primäreinkommen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_Toc108042183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2</w:t>
        </w:r>
        <w:r w:rsidR="00F37386">
          <w:rPr>
            <w:noProof/>
            <w:webHidden/>
          </w:rPr>
          <w:fldChar w:fldCharType="end"/>
        </w:r>
      </w:hyperlink>
    </w:p>
    <w:p w14:paraId="4FA2BD87" w14:textId="77777777" w:rsidR="00F37386" w:rsidRDefault="00B03363" w:rsidP="00F37386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8042184" w:history="1">
        <w:r w:rsidR="00F37386" w:rsidRPr="00B57B00">
          <w:rPr>
            <w:rStyle w:val="Hyperlink"/>
            <w:noProof/>
          </w:rPr>
          <w:t>3.2</w:t>
        </w:r>
        <w:r w:rsidR="00F37386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Erreichen der Austrittsgrenze durch Teillohneinkommen oder Teillohneinkommen und Primäreinkommen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_Toc108042184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2</w:t>
        </w:r>
        <w:r w:rsidR="00F37386">
          <w:rPr>
            <w:noProof/>
            <w:webHidden/>
          </w:rPr>
          <w:fldChar w:fldCharType="end"/>
        </w:r>
      </w:hyperlink>
    </w:p>
    <w:p w14:paraId="314DCEF8" w14:textId="77777777" w:rsidR="00F37386" w:rsidRDefault="00B03363" w:rsidP="00F37386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8042185" w:history="1">
        <w:r w:rsidR="00F37386" w:rsidRPr="00B57B00">
          <w:rPr>
            <w:rStyle w:val="Hyperlink"/>
            <w:noProof/>
          </w:rPr>
          <w:t>3.3</w:t>
        </w:r>
        <w:r w:rsidR="00F37386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Betriebsangestellte*r IZU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_Toc108042185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3</w:t>
        </w:r>
        <w:r w:rsidR="00F37386">
          <w:rPr>
            <w:noProof/>
            <w:webHidden/>
          </w:rPr>
          <w:fldChar w:fldCharType="end"/>
        </w:r>
      </w:hyperlink>
    </w:p>
    <w:p w14:paraId="1109BB4A" w14:textId="77777777" w:rsidR="00F37386" w:rsidRDefault="00B03363" w:rsidP="00F37386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8042186" w:history="1">
        <w:r w:rsidR="00F37386" w:rsidRPr="00B57B00">
          <w:rPr>
            <w:rStyle w:val="Hyperlink"/>
            <w:noProof/>
          </w:rPr>
          <w:t>4</w:t>
        </w:r>
        <w:r w:rsidR="00F37386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Abwesenheit und Austritt aus Teillohn SEB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_Toc108042186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3</w:t>
        </w:r>
        <w:r w:rsidR="00F37386">
          <w:rPr>
            <w:noProof/>
            <w:webHidden/>
          </w:rPr>
          <w:fldChar w:fldCharType="end"/>
        </w:r>
      </w:hyperlink>
    </w:p>
    <w:p w14:paraId="3D62CC64" w14:textId="77777777" w:rsidR="00F37386" w:rsidRDefault="00B03363" w:rsidP="00F37386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8042187" w:history="1">
        <w:r w:rsidR="00F37386" w:rsidRPr="00B57B00">
          <w:rPr>
            <w:rStyle w:val="Hyperlink"/>
            <w:noProof/>
          </w:rPr>
          <w:t>4.1</w:t>
        </w:r>
        <w:r w:rsidR="00F37386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Krankheit, Unfall oder Untersuchungshaft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_Toc108042187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3</w:t>
        </w:r>
        <w:r w:rsidR="00F37386">
          <w:rPr>
            <w:noProof/>
            <w:webHidden/>
          </w:rPr>
          <w:fldChar w:fldCharType="end"/>
        </w:r>
      </w:hyperlink>
    </w:p>
    <w:p w14:paraId="1247EF40" w14:textId="77777777" w:rsidR="00F37386" w:rsidRDefault="00B03363" w:rsidP="00F37386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8042188" w:history="1">
        <w:r w:rsidR="00F37386" w:rsidRPr="00B57B00">
          <w:rPr>
            <w:rStyle w:val="Hyperlink"/>
            <w:noProof/>
          </w:rPr>
          <w:t>4.2</w:t>
        </w:r>
        <w:r w:rsidR="00F37386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Rechnungsstellung bei unentschuldigten Absenzen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_Toc108042188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3</w:t>
        </w:r>
        <w:r w:rsidR="00F37386">
          <w:rPr>
            <w:noProof/>
            <w:webHidden/>
          </w:rPr>
          <w:fldChar w:fldCharType="end"/>
        </w:r>
      </w:hyperlink>
    </w:p>
    <w:p w14:paraId="6CB21256" w14:textId="77777777" w:rsidR="00F37386" w:rsidRDefault="00B03363" w:rsidP="00F37386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8042189" w:history="1">
        <w:r w:rsidR="00F37386" w:rsidRPr="00B57B00">
          <w:rPr>
            <w:rStyle w:val="Hyperlink"/>
            <w:noProof/>
          </w:rPr>
          <w:t>4.3</w:t>
        </w:r>
        <w:r w:rsidR="00F37386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Rechnungsstellung bei ordentlicher Kündigung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_Toc108042189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3</w:t>
        </w:r>
        <w:r w:rsidR="00F37386">
          <w:rPr>
            <w:noProof/>
            <w:webHidden/>
          </w:rPr>
          <w:fldChar w:fldCharType="end"/>
        </w:r>
      </w:hyperlink>
    </w:p>
    <w:p w14:paraId="06764DE7" w14:textId="77777777" w:rsidR="00F37386" w:rsidRDefault="00B03363" w:rsidP="00F37386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8042190" w:history="1">
        <w:r w:rsidR="00F37386" w:rsidRPr="00B57B00">
          <w:rPr>
            <w:rStyle w:val="Hyperlink"/>
            <w:noProof/>
          </w:rPr>
          <w:t>4.4</w:t>
        </w:r>
        <w:r w:rsidR="00F37386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Rechnungsstellung bei Wegzug aus der Stadt Zürich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_Toc108042190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3</w:t>
        </w:r>
        <w:r w:rsidR="00F37386">
          <w:rPr>
            <w:noProof/>
            <w:webHidden/>
          </w:rPr>
          <w:fldChar w:fldCharType="end"/>
        </w:r>
      </w:hyperlink>
    </w:p>
    <w:p w14:paraId="039756B0" w14:textId="77777777" w:rsidR="00F37386" w:rsidRDefault="00B03363" w:rsidP="00F37386">
      <w:pPr>
        <w:pStyle w:val="Verzeichnis2"/>
        <w:rPr>
          <w:rFonts w:asciiTheme="minorHAnsi" w:eastAsiaTheme="minorEastAsia" w:hAnsiTheme="minorHAnsi" w:cstheme="minorBidi"/>
          <w:smallCaps w:val="0"/>
          <w:noProof/>
          <w:szCs w:val="22"/>
          <w:lang w:eastAsia="de-CH"/>
        </w:rPr>
      </w:pPr>
      <w:hyperlink w:anchor="_Toc108042191" w:history="1">
        <w:r w:rsidR="00F37386" w:rsidRPr="00B57B00">
          <w:rPr>
            <w:rStyle w:val="Hyperlink"/>
            <w:noProof/>
          </w:rPr>
          <w:t>4.5</w:t>
        </w:r>
        <w:r w:rsidR="00F37386">
          <w:rPr>
            <w:rFonts w:asciiTheme="minorHAnsi" w:eastAsiaTheme="minorEastAsia" w:hAnsiTheme="minorHAnsi" w:cstheme="minorBidi"/>
            <w:small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Aufhebung der Kostengutsprache durch SOD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_Toc108042191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4</w:t>
        </w:r>
        <w:r w:rsidR="00F37386">
          <w:rPr>
            <w:noProof/>
            <w:webHidden/>
          </w:rPr>
          <w:fldChar w:fldCharType="end"/>
        </w:r>
      </w:hyperlink>
    </w:p>
    <w:p w14:paraId="5FE54127" w14:textId="77777777" w:rsidR="00F37386" w:rsidRDefault="00B03363" w:rsidP="00F37386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8042192" w:history="1">
        <w:r w:rsidR="00F37386" w:rsidRPr="00B57B00">
          <w:rPr>
            <w:rStyle w:val="Hyperlink"/>
            <w:noProof/>
          </w:rPr>
          <w:t>5</w:t>
        </w:r>
        <w:r w:rsidR="00F37386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F37386" w:rsidRPr="00B57B00">
          <w:rPr>
            <w:rStyle w:val="Hyperlink"/>
            <w:noProof/>
          </w:rPr>
          <w:t>Teillohn mit Auflage (SEB)</w:t>
        </w:r>
        <w:r w:rsidR="00F37386">
          <w:rPr>
            <w:noProof/>
            <w:webHidden/>
          </w:rPr>
          <w:tab/>
        </w:r>
        <w:r w:rsidR="00F37386">
          <w:rPr>
            <w:noProof/>
            <w:webHidden/>
          </w:rPr>
          <w:fldChar w:fldCharType="begin"/>
        </w:r>
        <w:r w:rsidR="00F37386">
          <w:rPr>
            <w:noProof/>
            <w:webHidden/>
          </w:rPr>
          <w:instrText xml:space="preserve"> PAGEREF _Toc108042192 \h </w:instrText>
        </w:r>
        <w:r w:rsidR="00F37386">
          <w:rPr>
            <w:noProof/>
            <w:webHidden/>
          </w:rPr>
        </w:r>
        <w:r w:rsidR="00F37386">
          <w:rPr>
            <w:noProof/>
            <w:webHidden/>
          </w:rPr>
          <w:fldChar w:fldCharType="separate"/>
        </w:r>
        <w:r w:rsidR="00F37386">
          <w:rPr>
            <w:noProof/>
            <w:webHidden/>
          </w:rPr>
          <w:t>4</w:t>
        </w:r>
        <w:r w:rsidR="00F37386">
          <w:rPr>
            <w:noProof/>
            <w:webHidden/>
          </w:rPr>
          <w:fldChar w:fldCharType="end"/>
        </w:r>
      </w:hyperlink>
    </w:p>
    <w:p w14:paraId="79015D3D" w14:textId="77777777" w:rsidR="00F37386" w:rsidRDefault="00F37386" w:rsidP="00F37386">
      <w:pPr>
        <w:pStyle w:val="Absatz0"/>
      </w:pPr>
      <w:r w:rsidRPr="004B26E5">
        <w:fldChar w:fldCharType="end"/>
      </w:r>
    </w:p>
    <w:p w14:paraId="4462F8D4" w14:textId="77777777" w:rsidR="00F37386" w:rsidRDefault="00F37386" w:rsidP="00F37386">
      <w:pPr>
        <w:pStyle w:val="berschrift1"/>
        <w:tabs>
          <w:tab w:val="clear" w:pos="432"/>
          <w:tab w:val="clear" w:pos="709"/>
          <w:tab w:val="num" w:pos="426"/>
        </w:tabs>
        <w:spacing w:before="240" w:after="120"/>
        <w:ind w:left="6670" w:hanging="6670"/>
      </w:pPr>
      <w:bookmarkStart w:id="4" w:name="_Toc108042180"/>
      <w:r>
        <w:t>Grundsatz</w:t>
      </w:r>
      <w:bookmarkEnd w:id="4"/>
    </w:p>
    <w:p w14:paraId="23F0A6AC" w14:textId="77777777" w:rsidR="00F37386" w:rsidRPr="00622FC3" w:rsidRDefault="00F37386" w:rsidP="00F37386">
      <w:pPr>
        <w:pStyle w:val="Absatz0"/>
        <w:jc w:val="both"/>
        <w:rPr>
          <w:color w:val="0000FF"/>
          <w:u w:val="single"/>
        </w:rPr>
      </w:pPr>
      <w:r w:rsidRPr="004B26E5">
        <w:rPr>
          <w:szCs w:val="22"/>
        </w:rPr>
        <w:t>Teillohnstellen</w:t>
      </w:r>
      <w:r>
        <w:rPr>
          <w:szCs w:val="22"/>
        </w:rPr>
        <w:t xml:space="preserve"> </w:t>
      </w:r>
      <w:r w:rsidRPr="004B26E5">
        <w:rPr>
          <w:szCs w:val="22"/>
        </w:rPr>
        <w:t>ermöglichen</w:t>
      </w:r>
      <w:r>
        <w:rPr>
          <w:szCs w:val="22"/>
        </w:rPr>
        <w:t xml:space="preserve"> </w:t>
      </w:r>
      <w:r w:rsidRPr="004B26E5">
        <w:rPr>
          <w:szCs w:val="22"/>
        </w:rPr>
        <w:t>es Sozialhilfebeziehenden, die auf dem</w:t>
      </w:r>
      <w:r>
        <w:rPr>
          <w:szCs w:val="22"/>
        </w:rPr>
        <w:t xml:space="preserve"> </w:t>
      </w:r>
      <w:r w:rsidRPr="004B26E5">
        <w:rPr>
          <w:szCs w:val="22"/>
        </w:rPr>
        <w:t xml:space="preserve">ersten Arbeitsmarkt </w:t>
      </w:r>
      <w:r>
        <w:rPr>
          <w:szCs w:val="22"/>
        </w:rPr>
        <w:t>(</w:t>
      </w:r>
      <w:r w:rsidRPr="004B26E5">
        <w:rPr>
          <w:szCs w:val="22"/>
        </w:rPr>
        <w:t>vorerst</w:t>
      </w:r>
      <w:r>
        <w:rPr>
          <w:szCs w:val="22"/>
        </w:rPr>
        <w:t>)</w:t>
      </w:r>
      <w:r w:rsidRPr="004B26E5">
        <w:rPr>
          <w:szCs w:val="22"/>
        </w:rPr>
        <w:t xml:space="preserve"> keine Anstellung finden, einer Erwerbstätigkeit nachzugehen und einen Teil ihres Einkommens selber zu erzielen. Teillohnangestellte sind ihren Möglichkeiten entsprechend wieder ins Berufsleben integriert und verdienen einen Teil ihres Lebensunterhaltes sel</w:t>
      </w:r>
      <w:r>
        <w:rPr>
          <w:szCs w:val="22"/>
        </w:rPr>
        <w:t xml:space="preserve">ber. Im </w:t>
      </w:r>
      <w:proofErr w:type="spellStart"/>
      <w:r>
        <w:rPr>
          <w:szCs w:val="22"/>
        </w:rPr>
        <w:t>Teillohn</w:t>
      </w:r>
      <w:proofErr w:type="spellEnd"/>
      <w:r>
        <w:rPr>
          <w:szCs w:val="22"/>
        </w:rPr>
        <w:t xml:space="preserve"> können Klient*</w:t>
      </w:r>
      <w:r w:rsidRPr="004B26E5">
        <w:rPr>
          <w:szCs w:val="22"/>
        </w:rPr>
        <w:t xml:space="preserve">innen aus allen vier Zielgruppen </w:t>
      </w:r>
      <w:r w:rsidRPr="001E7A68">
        <w:rPr>
          <w:szCs w:val="22"/>
        </w:rPr>
        <w:t>arbeiten (siehe</w:t>
      </w:r>
      <w:r w:rsidRPr="00E102A6">
        <w:rPr>
          <w:szCs w:val="22"/>
        </w:rPr>
        <w:t xml:space="preserve"> </w:t>
      </w:r>
      <w:hyperlink r:id="rId14" w:history="1">
        <w:r w:rsidRPr="009C1D3B">
          <w:rPr>
            <w:rStyle w:val="Hyperlink"/>
          </w:rPr>
          <w:t xml:space="preserve">HAW Berufliche und </w:t>
        </w:r>
        <w:proofErr w:type="spellStart"/>
        <w:r w:rsidRPr="009C1D3B">
          <w:rPr>
            <w:rStyle w:val="Hyperlink"/>
          </w:rPr>
          <w:t>Soziale</w:t>
        </w:r>
        <w:proofErr w:type="spellEnd"/>
        <w:r w:rsidRPr="009C1D3B">
          <w:rPr>
            <w:rStyle w:val="Hyperlink"/>
          </w:rPr>
          <w:t xml:space="preserve"> Integration – Zielgruppenspezifische Angebote und Zielgruppenwechsel</w:t>
        </w:r>
      </w:hyperlink>
      <w:r w:rsidRPr="009C1D3B">
        <w:rPr>
          <w:rStyle w:val="Hyperlink"/>
        </w:rPr>
        <w:t>).</w:t>
      </w:r>
      <w:r w:rsidRPr="00E102A6">
        <w:rPr>
          <w:rStyle w:val="Hyperlink"/>
        </w:rPr>
        <w:t xml:space="preserve"> </w:t>
      </w:r>
      <w:r>
        <w:rPr>
          <w:szCs w:val="22"/>
        </w:rPr>
        <w:t>Klient*</w:t>
      </w:r>
      <w:r w:rsidRPr="00E102A6">
        <w:rPr>
          <w:szCs w:val="22"/>
        </w:rPr>
        <w:t xml:space="preserve">innen in Zielgruppe 4 werden mittels entsprechender Auflage zur Teilnahme verpflichtet (siehe </w:t>
      </w:r>
      <w:hyperlink r:id="rId15" w:history="1">
        <w:r w:rsidRPr="00E102A6">
          <w:rPr>
            <w:rStyle w:val="Hyperlink"/>
            <w:szCs w:val="22"/>
          </w:rPr>
          <w:t>HAW Auflage- und Kürzungsverfahren</w:t>
        </w:r>
      </w:hyperlink>
      <w:r w:rsidRPr="00E102A6">
        <w:rPr>
          <w:rStyle w:val="Hyperlink"/>
          <w:szCs w:val="22"/>
        </w:rPr>
        <w:t>)</w:t>
      </w:r>
      <w:r w:rsidRPr="00E102A6">
        <w:rPr>
          <w:color w:val="0000FF"/>
          <w:szCs w:val="22"/>
        </w:rPr>
        <w:t>.</w:t>
      </w:r>
    </w:p>
    <w:p w14:paraId="6236DD2A" w14:textId="77777777" w:rsidR="00F37386" w:rsidRPr="004B26E5" w:rsidRDefault="00F37386" w:rsidP="00F37386">
      <w:pPr>
        <w:pStyle w:val="berschrift1"/>
        <w:tabs>
          <w:tab w:val="clear" w:pos="432"/>
          <w:tab w:val="clear" w:pos="709"/>
        </w:tabs>
        <w:spacing w:before="240" w:after="120"/>
        <w:ind w:left="432" w:hanging="432"/>
      </w:pPr>
      <w:bookmarkStart w:id="5" w:name="_Toc108042181"/>
      <w:bookmarkStart w:id="6" w:name="_Toc508733462"/>
      <w:r>
        <w:t xml:space="preserve">Grundangebot </w:t>
      </w:r>
      <w:proofErr w:type="spellStart"/>
      <w:r>
        <w:t>Teillohn</w:t>
      </w:r>
      <w:bookmarkEnd w:id="5"/>
      <w:proofErr w:type="spellEnd"/>
      <w:r>
        <w:t xml:space="preserve"> </w:t>
      </w:r>
      <w:bookmarkEnd w:id="6"/>
    </w:p>
    <w:p w14:paraId="6DCF7570" w14:textId="77777777" w:rsidR="00F37386" w:rsidRPr="004B26E5" w:rsidRDefault="00F37386" w:rsidP="00F37386">
      <w:pPr>
        <w:autoSpaceDE w:val="0"/>
        <w:autoSpaceDN w:val="0"/>
        <w:adjustRightInd w:val="0"/>
        <w:jc w:val="both"/>
        <w:rPr>
          <w:szCs w:val="22"/>
        </w:rPr>
      </w:pPr>
      <w:r w:rsidRPr="004B26E5">
        <w:rPr>
          <w:szCs w:val="22"/>
        </w:rPr>
        <w:t xml:space="preserve">Das </w:t>
      </w:r>
      <w:r w:rsidRPr="004B26E5">
        <w:rPr>
          <w:b/>
          <w:szCs w:val="22"/>
        </w:rPr>
        <w:t>Teillohnangebot</w:t>
      </w:r>
      <w:r w:rsidRPr="004B26E5">
        <w:rPr>
          <w:szCs w:val="22"/>
        </w:rPr>
        <w:t xml:space="preserve"> umfasst Gruppenarbeitsplätze in unterschiedlichen Branchen. Die Anstellung erfolgt mittels unbefristetem Arbeitsvertrag (Ferien und Sozialleistungen nach gesetzlichen Vorgaben) in einem Beschäftigungsumfang von 50% bis 100%. Die </w:t>
      </w:r>
      <w:proofErr w:type="spellStart"/>
      <w:r w:rsidRPr="004B26E5">
        <w:rPr>
          <w:szCs w:val="22"/>
        </w:rPr>
        <w:t>Entlöhnung</w:t>
      </w:r>
      <w:proofErr w:type="spellEnd"/>
      <w:r w:rsidRPr="004B26E5">
        <w:rPr>
          <w:szCs w:val="22"/>
        </w:rPr>
        <w:t xml:space="preserve"> erfolgt je nach Leistung in zwei Stufen:</w:t>
      </w:r>
    </w:p>
    <w:p w14:paraId="4AD93A14" w14:textId="77777777" w:rsidR="00F37386" w:rsidRPr="004B26E5" w:rsidRDefault="00F37386" w:rsidP="00F37386">
      <w:pPr>
        <w:autoSpaceDE w:val="0"/>
        <w:autoSpaceDN w:val="0"/>
        <w:adjustRightInd w:val="0"/>
        <w:jc w:val="both"/>
        <w:rPr>
          <w:szCs w:val="22"/>
        </w:rPr>
      </w:pPr>
    </w:p>
    <w:p w14:paraId="0A95FCCB" w14:textId="77777777" w:rsidR="00F37386" w:rsidRPr="004B26E5" w:rsidRDefault="00F37386" w:rsidP="00F37386">
      <w:pPr>
        <w:jc w:val="both"/>
      </w:pPr>
      <w:r w:rsidRPr="004B26E5">
        <w:t xml:space="preserve">Teillohnstufe 1 (brutto, 100%): Fr. 1'600.- </w:t>
      </w:r>
    </w:p>
    <w:p w14:paraId="370F9DF6" w14:textId="77777777" w:rsidR="00F37386" w:rsidRPr="004B26E5" w:rsidRDefault="00F37386" w:rsidP="00F37386">
      <w:pPr>
        <w:pStyle w:val="Absatz0"/>
        <w:jc w:val="both"/>
      </w:pPr>
      <w:r w:rsidRPr="004B26E5">
        <w:t>Teillohnstufe 2 (brutto, 100%): Fr. 2'000.-</w:t>
      </w:r>
    </w:p>
    <w:p w14:paraId="6D2BB244" w14:textId="77777777" w:rsidR="00F37386" w:rsidRPr="004B26E5" w:rsidRDefault="00F37386" w:rsidP="00F37386">
      <w:pPr>
        <w:pStyle w:val="Absatz0"/>
        <w:jc w:val="both"/>
        <w:rPr>
          <w:szCs w:val="22"/>
        </w:rPr>
      </w:pPr>
    </w:p>
    <w:p w14:paraId="4062DAFB" w14:textId="77777777" w:rsidR="00F37386" w:rsidRPr="004B26E5" w:rsidRDefault="00F37386" w:rsidP="00F37386">
      <w:pPr>
        <w:pStyle w:val="Absatz0"/>
        <w:jc w:val="both"/>
        <w:rPr>
          <w:szCs w:val="22"/>
        </w:rPr>
      </w:pPr>
      <w:r w:rsidRPr="004B26E5">
        <w:rPr>
          <w:szCs w:val="22"/>
        </w:rPr>
        <w:t xml:space="preserve">Zusätzlich wird den Teilnehmenden ein Einkommensfreibetrag angerechnet, siehe </w:t>
      </w:r>
      <w:hyperlink r:id="rId16" w:history="1">
        <w:r w:rsidRPr="004B26E5">
          <w:rPr>
            <w:rStyle w:val="Hyperlink"/>
            <w:szCs w:val="22"/>
          </w:rPr>
          <w:t>HAW Ausrichtung des Einkommensfreibetrages (EFB)</w:t>
        </w:r>
      </w:hyperlink>
      <w:r w:rsidRPr="004B26E5">
        <w:rPr>
          <w:szCs w:val="22"/>
        </w:rPr>
        <w:t xml:space="preserve">. </w:t>
      </w:r>
    </w:p>
    <w:p w14:paraId="2B77A7D3" w14:textId="77777777" w:rsidR="00F37386" w:rsidRPr="004B26E5" w:rsidRDefault="00F37386" w:rsidP="00F37386">
      <w:pPr>
        <w:pStyle w:val="Absatz0"/>
        <w:jc w:val="both"/>
        <w:rPr>
          <w:szCs w:val="22"/>
        </w:rPr>
      </w:pPr>
    </w:p>
    <w:p w14:paraId="286E1EEC" w14:textId="77777777" w:rsidR="00F37386" w:rsidRDefault="00F37386" w:rsidP="00F37386">
      <w:pPr>
        <w:pStyle w:val="Absatz0"/>
        <w:jc w:val="both"/>
      </w:pPr>
      <w:r w:rsidRPr="004B26E5">
        <w:t>Anfallende Programmkosten sind Teil der finanziellen Unterstützung nach Sozialhilfegesetz und werden monatlich dem Unterstützungskonto der am Programm teilnehmenden P</w:t>
      </w:r>
      <w:r>
        <w:t xml:space="preserve">erson belastet. </w:t>
      </w:r>
      <w:r w:rsidRPr="004B26E5">
        <w:t>Klienten</w:t>
      </w:r>
      <w:r>
        <w:t>*innen</w:t>
      </w:r>
      <w:r w:rsidRPr="004B26E5">
        <w:t xml:space="preserve"> können an einem kostenpflichtigen Programm teilnehmen, solange die Unterstützungseinheit die Austrittsgrenze nicht erreicht hat</w:t>
      </w:r>
      <w:r>
        <w:t xml:space="preserve"> (siehe Kap. 3).</w:t>
      </w:r>
      <w:r w:rsidRPr="004B26E5">
        <w:t xml:space="preserve"> </w:t>
      </w:r>
    </w:p>
    <w:p w14:paraId="23A51256" w14:textId="77777777" w:rsidR="00F37386" w:rsidRPr="004B26E5" w:rsidRDefault="00F37386" w:rsidP="00F37386">
      <w:pPr>
        <w:pStyle w:val="berschrift1"/>
        <w:tabs>
          <w:tab w:val="clear" w:pos="432"/>
          <w:tab w:val="clear" w:pos="709"/>
        </w:tabs>
        <w:spacing w:before="240" w:after="120"/>
        <w:ind w:left="432" w:hanging="432"/>
      </w:pPr>
      <w:bookmarkStart w:id="7" w:name="_Toc108042182"/>
      <w:r w:rsidRPr="004B26E5">
        <w:t>Erreichen der Austrittsgrenze</w:t>
      </w:r>
      <w:bookmarkEnd w:id="7"/>
    </w:p>
    <w:p w14:paraId="0EBD357A" w14:textId="77777777" w:rsidR="00F37386" w:rsidRPr="004B26E5" w:rsidRDefault="00F37386" w:rsidP="00F37386">
      <w:pPr>
        <w:pStyle w:val="Absatz0"/>
        <w:jc w:val="both"/>
      </w:pPr>
      <w:r w:rsidRPr="004B26E5">
        <w:t xml:space="preserve">Sobald die Unterstützungseinheit die Austrittsgrenze gemäss </w:t>
      </w:r>
      <w:hyperlink r:id="rId17" w:history="1">
        <w:r w:rsidRPr="00F45616">
          <w:rPr>
            <w:rStyle w:val="Hyperlink"/>
            <w:bCs/>
            <w:szCs w:val="22"/>
            <w:lang w:eastAsia="de-CH"/>
          </w:rPr>
          <w:t xml:space="preserve">HAW Aufnahmeprozess – Anspruchsklärung und Ausrichtung wirtschaftlicher Hilfe im </w:t>
        </w:r>
        <w:proofErr w:type="spellStart"/>
        <w:r w:rsidRPr="00F45616">
          <w:rPr>
            <w:rStyle w:val="Hyperlink"/>
            <w:bCs/>
            <w:szCs w:val="22"/>
            <w:lang w:eastAsia="de-CH"/>
          </w:rPr>
          <w:t>Intake</w:t>
        </w:r>
        <w:proofErr w:type="spellEnd"/>
      </w:hyperlink>
      <w:r>
        <w:rPr>
          <w:rStyle w:val="Hyperlink"/>
          <w:bCs/>
          <w:szCs w:val="22"/>
          <w:lang w:eastAsia="de-CH"/>
        </w:rPr>
        <w:t xml:space="preserve"> </w:t>
      </w:r>
      <w:r w:rsidRPr="004B26E5">
        <w:t>erreicht, ist nach den nachfolgenden Bestimmungen vorzugehen.</w:t>
      </w:r>
    </w:p>
    <w:p w14:paraId="0BB940B2" w14:textId="77777777" w:rsidR="00F37386" w:rsidRPr="004B26E5" w:rsidRDefault="00F37386" w:rsidP="00F37386">
      <w:pPr>
        <w:pStyle w:val="berschrift2"/>
        <w:tabs>
          <w:tab w:val="clear" w:pos="576"/>
          <w:tab w:val="num" w:pos="709"/>
        </w:tabs>
        <w:spacing w:before="240" w:after="120"/>
      </w:pPr>
      <w:bookmarkStart w:id="8" w:name="_Toc108042183"/>
      <w:r w:rsidRPr="004B26E5">
        <w:t>Erreichen der Austrittsgrenze durch ein Primäreinkommen</w:t>
      </w:r>
      <w:bookmarkEnd w:id="8"/>
    </w:p>
    <w:p w14:paraId="5CF3A90E" w14:textId="77777777" w:rsidR="00F37386" w:rsidRPr="004B26E5" w:rsidRDefault="00F37386" w:rsidP="00F37386">
      <w:pPr>
        <w:jc w:val="both"/>
      </w:pPr>
      <w:r w:rsidRPr="004B26E5">
        <w:t xml:space="preserve">Sobald die Austrittsgrenze einer Unterstützungseinheit mit </w:t>
      </w:r>
      <w:r>
        <w:t>dem Primäreinkommen (</w:t>
      </w:r>
      <w:r w:rsidRPr="00DA1CE0">
        <w:t>= Erwerbs</w:t>
      </w:r>
      <w:r>
        <w:t>lohn</w:t>
      </w:r>
      <w:r w:rsidRPr="00DA1CE0">
        <w:t xml:space="preserve">, </w:t>
      </w:r>
      <w:r w:rsidRPr="00F33D12">
        <w:t>Renten</w:t>
      </w:r>
      <w:r>
        <w:t xml:space="preserve">- oder Taggelder, Zusatzleistungen, </w:t>
      </w:r>
      <w:r w:rsidRPr="00DA1CE0">
        <w:t>Alimente, Kinderzulagen etc</w:t>
      </w:r>
      <w:r>
        <w:t xml:space="preserve">.) erreicht wird, veranlasst </w:t>
      </w:r>
      <w:r w:rsidRPr="004B26E5">
        <w:t xml:space="preserve">die </w:t>
      </w:r>
      <w:r>
        <w:t>Fallführung</w:t>
      </w:r>
      <w:r w:rsidRPr="004B26E5">
        <w:t xml:space="preserve"> die Auflösung des Arbeitsverhältnisses mit dem Teillohnbetrieb. Die Auflösung erfolgt entweder durch Kündigung des Teillohn</w:t>
      </w:r>
      <w:r>
        <w:t xml:space="preserve">betriebes oder des </w:t>
      </w:r>
      <w:proofErr w:type="spellStart"/>
      <w:r>
        <w:t>Arbeitnehmende</w:t>
      </w:r>
      <w:r w:rsidRPr="004B26E5">
        <w:t>n</w:t>
      </w:r>
      <w:proofErr w:type="spellEnd"/>
      <w:r w:rsidRPr="004B26E5">
        <w:t xml:space="preserve">. Es gelten die gesetzlichen Kündigungsfristen. </w:t>
      </w:r>
    </w:p>
    <w:p w14:paraId="0AA9675D" w14:textId="77777777" w:rsidR="00F37386" w:rsidRPr="004B26E5" w:rsidRDefault="00F37386" w:rsidP="00F37386">
      <w:pPr>
        <w:jc w:val="both"/>
        <w:rPr>
          <w:sz w:val="14"/>
          <w:szCs w:val="14"/>
        </w:rPr>
      </w:pPr>
    </w:p>
    <w:p w14:paraId="1FEF1621" w14:textId="77777777" w:rsidR="00F37386" w:rsidRPr="004B26E5" w:rsidRDefault="00F37386" w:rsidP="00F37386">
      <w:pPr>
        <w:jc w:val="both"/>
      </w:pPr>
      <w:r w:rsidRPr="004B26E5">
        <w:t>Bei schwankendem Primäreinkommen wird die Austrittsgrenze auf Basis eines Durc</w:t>
      </w:r>
      <w:r>
        <w:t>hschnitts über die vergangenen sechs</w:t>
      </w:r>
      <w:r w:rsidRPr="004B26E5">
        <w:t xml:space="preserve"> Monate ermittelt.</w:t>
      </w:r>
    </w:p>
    <w:p w14:paraId="3230C46F" w14:textId="77777777" w:rsidR="00F37386" w:rsidRPr="004B26E5" w:rsidRDefault="00F37386" w:rsidP="00F37386">
      <w:pPr>
        <w:pStyle w:val="berschrift2"/>
        <w:tabs>
          <w:tab w:val="clear" w:pos="576"/>
          <w:tab w:val="num" w:pos="709"/>
        </w:tabs>
        <w:spacing w:before="240" w:after="120"/>
        <w:ind w:left="709" w:hanging="709"/>
      </w:pPr>
      <w:bookmarkStart w:id="9" w:name="_Toc260410195"/>
      <w:bookmarkStart w:id="10" w:name="_Toc108042184"/>
      <w:r w:rsidRPr="004B26E5">
        <w:t xml:space="preserve">Erreichen der </w:t>
      </w:r>
      <w:bookmarkEnd w:id="9"/>
      <w:r w:rsidRPr="004B26E5">
        <w:t>Austrittsgrenze durch Teillohneinkommen oder Teillohneinkommen und Primäreinkommen</w:t>
      </w:r>
      <w:bookmarkEnd w:id="10"/>
    </w:p>
    <w:p w14:paraId="13ECA500" w14:textId="77777777" w:rsidR="00F37386" w:rsidRDefault="00F37386" w:rsidP="00F37386">
      <w:pPr>
        <w:jc w:val="both"/>
      </w:pPr>
    </w:p>
    <w:p w14:paraId="7882C032" w14:textId="77777777" w:rsidR="00F37386" w:rsidRDefault="00F37386" w:rsidP="00F37386">
      <w:pPr>
        <w:pStyle w:val="berschrift3"/>
      </w:pPr>
      <w:r>
        <w:t xml:space="preserve">Auflösung des Arbeitsverhältnisses im </w:t>
      </w:r>
      <w:proofErr w:type="spellStart"/>
      <w:r>
        <w:t>Teillohn</w:t>
      </w:r>
      <w:proofErr w:type="spellEnd"/>
    </w:p>
    <w:p w14:paraId="4B143E24" w14:textId="77777777" w:rsidR="00F37386" w:rsidRDefault="00F37386" w:rsidP="00F37386">
      <w:pPr>
        <w:jc w:val="both"/>
      </w:pPr>
    </w:p>
    <w:p w14:paraId="62A0CE35" w14:textId="77777777" w:rsidR="00F37386" w:rsidRDefault="00F37386" w:rsidP="00F37386">
      <w:pPr>
        <w:jc w:val="both"/>
      </w:pPr>
      <w:r w:rsidRPr="004B26E5">
        <w:t>A</w:t>
      </w:r>
      <w:r>
        <w:t>b dem Zeitpunkt, in dem Klient*</w:t>
      </w:r>
      <w:r w:rsidRPr="004B26E5">
        <w:t>innen</w:t>
      </w:r>
      <w:r>
        <w:t xml:space="preserve"> (KL)</w:t>
      </w:r>
      <w:r w:rsidRPr="004B26E5">
        <w:t xml:space="preserve"> mit ihren Einnahmen aus dem </w:t>
      </w:r>
      <w:proofErr w:type="spellStart"/>
      <w:r w:rsidRPr="004B26E5">
        <w:t>Teillohn</w:t>
      </w:r>
      <w:proofErr w:type="spellEnd"/>
      <w:r w:rsidRPr="004B26E5">
        <w:t xml:space="preserve"> oder aus dem </w:t>
      </w:r>
      <w:proofErr w:type="spellStart"/>
      <w:r w:rsidRPr="004B26E5">
        <w:t>Teillohn</w:t>
      </w:r>
      <w:proofErr w:type="spellEnd"/>
      <w:r w:rsidRPr="004B26E5">
        <w:t xml:space="preserve"> plus Primäreinkommen die Austrittsgrenze erreichen und somit keine Unterstützungsbedürftigkeit mehr vorliegt, können sie </w:t>
      </w:r>
      <w:r w:rsidRPr="004B26E5">
        <w:rPr>
          <w:b/>
        </w:rPr>
        <w:t>noch höchstens für ein Jahr</w:t>
      </w:r>
      <w:r w:rsidRPr="004B26E5">
        <w:t xml:space="preserve"> in der Teillohnanstellung verbleiben</w:t>
      </w:r>
      <w:r>
        <w:t>. Die Fallführung</w:t>
      </w:r>
      <w:r w:rsidRPr="004B26E5">
        <w:t xml:space="preserve"> informiert den/die </w:t>
      </w:r>
      <w:r>
        <w:t xml:space="preserve">KL </w:t>
      </w:r>
      <w:r w:rsidRPr="004B26E5">
        <w:t xml:space="preserve">über das Erreichen der Austrittsgrenze. </w:t>
      </w:r>
      <w:r>
        <w:t xml:space="preserve">Die Fallführung </w:t>
      </w:r>
      <w:r w:rsidRPr="004B26E5">
        <w:t>informiert auch den Teillohnbetrieb über das Erreichen der Austrittsgrenze und über die gesetzte Frist. Der Teil</w:t>
      </w:r>
      <w:r>
        <w:t>l</w:t>
      </w:r>
      <w:r w:rsidRPr="004B26E5">
        <w:t xml:space="preserve">ohnvertrag wird </w:t>
      </w:r>
      <w:r>
        <w:t xml:space="preserve">bis zum </w:t>
      </w:r>
      <w:r w:rsidRPr="004B26E5">
        <w:t>Ablauf dieses Jahres zwingend aufgelöst.</w:t>
      </w:r>
      <w:r>
        <w:t xml:space="preserve"> Es gelten die gesetzlichen Kündigungsfristen. </w:t>
      </w:r>
    </w:p>
    <w:p w14:paraId="4E13AD02" w14:textId="77777777" w:rsidR="00F37386" w:rsidRPr="004B26E5" w:rsidRDefault="00F37386" w:rsidP="00F37386">
      <w:pPr>
        <w:jc w:val="both"/>
      </w:pPr>
    </w:p>
    <w:p w14:paraId="63E0F2D3" w14:textId="77777777" w:rsidR="00F37386" w:rsidRPr="004B26E5" w:rsidRDefault="00F37386" w:rsidP="00F37386">
      <w:pPr>
        <w:jc w:val="both"/>
        <w:rPr>
          <w:rStyle w:val="Hyperlink"/>
        </w:rPr>
      </w:pPr>
      <w:r w:rsidRPr="004B26E5">
        <w:t xml:space="preserve">Während der Dauer von einem Jahr werden Massnahmen zur dauerhaften Ablösung von der Sozialhilfe geprüft. Für Personen aus der Zielgruppe 1 und 2 kann die Anmeldung ins Check-In 3, für diejenigen in Zielgruppe 3 bei der Stellenvermittlung SEB angezeigt sein, siehe </w:t>
      </w:r>
      <w:hyperlink r:id="rId18" w:history="1">
        <w:r w:rsidRPr="009C1D3B">
          <w:rPr>
            <w:rStyle w:val="Hyperlink"/>
          </w:rPr>
          <w:t xml:space="preserve">HAW Berufliche und </w:t>
        </w:r>
        <w:proofErr w:type="spellStart"/>
        <w:r w:rsidRPr="009C1D3B">
          <w:rPr>
            <w:rStyle w:val="Hyperlink"/>
          </w:rPr>
          <w:t>Soziale</w:t>
        </w:r>
        <w:proofErr w:type="spellEnd"/>
        <w:r w:rsidRPr="009C1D3B">
          <w:rPr>
            <w:rStyle w:val="Hyperlink"/>
          </w:rPr>
          <w:t xml:space="preserve"> Integration Zielgruppenspezifische Angebote und Zielgruppenwechsel</w:t>
        </w:r>
      </w:hyperlink>
      <w:r w:rsidRPr="009C1D3B">
        <w:rPr>
          <w:rStyle w:val="Hyperlink"/>
        </w:rPr>
        <w:t>.</w:t>
      </w:r>
      <w:r w:rsidRPr="004B26E5">
        <w:rPr>
          <w:rStyle w:val="Hyperlink"/>
        </w:rPr>
        <w:t xml:space="preserve"> </w:t>
      </w:r>
    </w:p>
    <w:p w14:paraId="47D08555" w14:textId="77777777" w:rsidR="00F37386" w:rsidRPr="004B26E5" w:rsidRDefault="00F37386" w:rsidP="00F37386">
      <w:pPr>
        <w:jc w:val="both"/>
      </w:pPr>
    </w:p>
    <w:p w14:paraId="2597F150" w14:textId="77777777" w:rsidR="00F37386" w:rsidRPr="004B26E5" w:rsidRDefault="00F37386" w:rsidP="00F37386">
      <w:pPr>
        <w:jc w:val="both"/>
      </w:pPr>
      <w:r w:rsidRPr="004B26E5">
        <w:t xml:space="preserve">Kann das soziale Existenzminimum nicht durch zusätzliche Einnahmen gesichert werden, stehen folgende Möglichkeiten zur Verfügung: </w:t>
      </w:r>
    </w:p>
    <w:p w14:paraId="51113EF6" w14:textId="77777777" w:rsidR="00F37386" w:rsidRPr="004B26E5" w:rsidRDefault="00F37386" w:rsidP="00F37386">
      <w:pPr>
        <w:jc w:val="both"/>
      </w:pPr>
    </w:p>
    <w:p w14:paraId="1DA9465A" w14:textId="77777777" w:rsidR="00F37386" w:rsidRPr="004B26E5" w:rsidRDefault="00F37386" w:rsidP="00F37386">
      <w:pPr>
        <w:pStyle w:val="Listenabsatz"/>
        <w:numPr>
          <w:ilvl w:val="0"/>
          <w:numId w:val="13"/>
        </w:numPr>
        <w:contextualSpacing/>
        <w:jc w:val="both"/>
      </w:pPr>
      <w:r w:rsidRPr="004B26E5">
        <w:t xml:space="preserve">Wechsel in ein Angebot der </w:t>
      </w:r>
      <w:r w:rsidRPr="003139F2">
        <w:t>Gemeinnützigen Arbeit</w:t>
      </w:r>
      <w:r w:rsidRPr="004B26E5">
        <w:t xml:space="preserve"> </w:t>
      </w:r>
    </w:p>
    <w:p w14:paraId="01FC9C27" w14:textId="77777777" w:rsidR="00F37386" w:rsidRDefault="00F37386" w:rsidP="00F37386">
      <w:pPr>
        <w:pStyle w:val="Listenabsatz"/>
        <w:numPr>
          <w:ilvl w:val="0"/>
          <w:numId w:val="13"/>
        </w:numPr>
        <w:contextualSpacing/>
        <w:jc w:val="both"/>
      </w:pPr>
      <w:r w:rsidRPr="004B26E5">
        <w:t>Verbleib im Teillohnbetrieb mit einer Umwandlung der Teillohnanstellung in eine Ve</w:t>
      </w:r>
      <w:r>
        <w:t>reinbarung Betriebsangestellte*</w:t>
      </w:r>
      <w:r w:rsidRPr="004B26E5">
        <w:t>r IZU (nur in gegenseit</w:t>
      </w:r>
      <w:r>
        <w:t>igem Einvernehmen SOD – KL</w:t>
      </w:r>
      <w:r w:rsidRPr="004B26E5">
        <w:t>).</w:t>
      </w:r>
    </w:p>
    <w:p w14:paraId="52FF3326" w14:textId="77777777" w:rsidR="00F37386" w:rsidRPr="004B26E5" w:rsidRDefault="00F37386" w:rsidP="00F37386">
      <w:pPr>
        <w:pStyle w:val="Listenabsatz"/>
        <w:ind w:left="360"/>
        <w:contextualSpacing/>
        <w:jc w:val="both"/>
      </w:pPr>
    </w:p>
    <w:p w14:paraId="235A0E61" w14:textId="77777777" w:rsidR="00F37386" w:rsidRDefault="00F37386" w:rsidP="00F37386">
      <w:pPr>
        <w:pStyle w:val="berschrift3"/>
      </w:pPr>
      <w:r w:rsidRPr="00D269D9">
        <w:rPr>
          <w:highlight w:val="yellow"/>
        </w:rPr>
        <w:t>Handhabung im Fallführungssystem</w:t>
      </w:r>
    </w:p>
    <w:p w14:paraId="50E653FD" w14:textId="77777777" w:rsidR="00F37386" w:rsidRDefault="00F37386" w:rsidP="00F37386">
      <w:pPr>
        <w:contextualSpacing/>
        <w:jc w:val="both"/>
      </w:pPr>
    </w:p>
    <w:p w14:paraId="2F30E5F5" w14:textId="77777777" w:rsidR="00F37386" w:rsidRDefault="00F37386" w:rsidP="00F37386">
      <w:pPr>
        <w:contextualSpacing/>
        <w:jc w:val="both"/>
      </w:pPr>
      <w:r w:rsidRPr="00D269D9">
        <w:rPr>
          <w:highlight w:val="yellow"/>
        </w:rPr>
        <w:t>Während diesem Jahr werden nur die Programmkosten im Unterstützungsbudget verbucht. Ein allfälliger Übe</w:t>
      </w:r>
      <w:r>
        <w:rPr>
          <w:highlight w:val="yellow"/>
        </w:rPr>
        <w:t xml:space="preserve">rschuss </w:t>
      </w:r>
      <w:r w:rsidRPr="00D269D9">
        <w:rPr>
          <w:highlight w:val="yellow"/>
        </w:rPr>
        <w:t xml:space="preserve">aus Einkommen (Primär- und/oder Teillohneinkommen) wird nicht zur Teilfinanzierung der Programmkosten verwendet. Ausser den Programmkosten werden keine weiteren Auslagen im Unterstützungsbudget berücksichtigt, </w:t>
      </w:r>
      <w:r>
        <w:rPr>
          <w:highlight w:val="yellow"/>
        </w:rPr>
        <w:t>der/die</w:t>
      </w:r>
      <w:r w:rsidRPr="00D269D9">
        <w:rPr>
          <w:highlight w:val="yellow"/>
        </w:rPr>
        <w:t xml:space="preserve"> </w:t>
      </w:r>
      <w:r>
        <w:rPr>
          <w:highlight w:val="yellow"/>
        </w:rPr>
        <w:t>KL</w:t>
      </w:r>
      <w:r w:rsidRPr="00D269D9">
        <w:rPr>
          <w:highlight w:val="yellow"/>
        </w:rPr>
        <w:t xml:space="preserve"> </w:t>
      </w:r>
      <w:r>
        <w:rPr>
          <w:highlight w:val="yellow"/>
        </w:rPr>
        <w:t>finanziert</w:t>
      </w:r>
      <w:r w:rsidRPr="00D269D9">
        <w:rPr>
          <w:highlight w:val="yellow"/>
        </w:rPr>
        <w:t xml:space="preserve"> diese selbständig aus </w:t>
      </w:r>
      <w:r>
        <w:rPr>
          <w:highlight w:val="yellow"/>
        </w:rPr>
        <w:t>dem</w:t>
      </w:r>
      <w:r w:rsidRPr="00D269D9">
        <w:rPr>
          <w:highlight w:val="yellow"/>
        </w:rPr>
        <w:t xml:space="preserve"> Einkommen.</w:t>
      </w:r>
    </w:p>
    <w:p w14:paraId="01F2A1B4" w14:textId="77777777" w:rsidR="00F37386" w:rsidRPr="004B26E5" w:rsidRDefault="00F37386" w:rsidP="00F37386"/>
    <w:p w14:paraId="5432249F" w14:textId="77777777" w:rsidR="00F37386" w:rsidRPr="004B26E5" w:rsidRDefault="00F37386" w:rsidP="00F37386">
      <w:pPr>
        <w:pStyle w:val="berschrift2"/>
        <w:tabs>
          <w:tab w:val="clear" w:pos="576"/>
          <w:tab w:val="clear" w:pos="709"/>
          <w:tab w:val="num" w:pos="859"/>
        </w:tabs>
        <w:spacing w:before="240" w:after="120"/>
      </w:pPr>
      <w:bookmarkStart w:id="11" w:name="_Toc108042185"/>
      <w:r>
        <w:lastRenderedPageBreak/>
        <w:t>Betriebsangestellte*</w:t>
      </w:r>
      <w:r w:rsidRPr="004B26E5">
        <w:t>r IZU</w:t>
      </w:r>
      <w:bookmarkEnd w:id="11"/>
    </w:p>
    <w:p w14:paraId="22B3C461" w14:textId="77777777" w:rsidR="00F37386" w:rsidRPr="004B26E5" w:rsidRDefault="00F37386" w:rsidP="00F37386">
      <w:pPr>
        <w:jc w:val="both"/>
      </w:pPr>
      <w:r w:rsidRPr="004B26E5">
        <w:t>Ein Verbleib im Teillohnbetrieb ist möglich, indem die Teillohnanstellung in eine Beschäf</w:t>
      </w:r>
      <w:r>
        <w:t>tigung als Betriebsangestellte*</w:t>
      </w:r>
      <w:r w:rsidRPr="004B26E5">
        <w:t xml:space="preserve">r mit Integrationszulage (IZU) umgewandelt wird. Der/die </w:t>
      </w:r>
      <w:r>
        <w:t xml:space="preserve">KL </w:t>
      </w:r>
      <w:r w:rsidRPr="004B26E5">
        <w:t>ist vorab darüber zu informieren, dass er/sie als Betriebsangestell</w:t>
      </w:r>
      <w:r>
        <w:t>te*</w:t>
      </w:r>
      <w:r w:rsidRPr="004B26E5">
        <w:t xml:space="preserve">r IZU anstelle des Lohns und </w:t>
      </w:r>
      <w:r w:rsidRPr="004F0F64">
        <w:t xml:space="preserve">des Einkommensfreibetrags (EFB) </w:t>
      </w:r>
      <w:r w:rsidRPr="004B26E5">
        <w:t xml:space="preserve">nur noch eine IZU erhält. Der bisherige Teillohnvertrag wird </w:t>
      </w:r>
      <w:r>
        <w:t xml:space="preserve">innerhalb eines Jahres </w:t>
      </w:r>
      <w:r w:rsidRPr="004B26E5">
        <w:t>nach Erreichen der Austrittsgrenze aufgelöst und durch eine Ve</w:t>
      </w:r>
      <w:r>
        <w:t>reinbarung Betriebsangestellte*</w:t>
      </w:r>
      <w:r w:rsidRPr="004B26E5">
        <w:t xml:space="preserve">r IZU ersetzt. </w:t>
      </w:r>
    </w:p>
    <w:p w14:paraId="658174D5" w14:textId="77777777" w:rsidR="00F37386" w:rsidRPr="004B26E5" w:rsidRDefault="00F37386" w:rsidP="00F37386">
      <w:pPr>
        <w:pStyle w:val="berschrift1"/>
        <w:tabs>
          <w:tab w:val="clear" w:pos="432"/>
          <w:tab w:val="clear" w:pos="709"/>
        </w:tabs>
        <w:spacing w:before="240" w:after="120"/>
        <w:ind w:left="432" w:hanging="432"/>
      </w:pPr>
      <w:bookmarkStart w:id="12" w:name="_Toc108042186"/>
      <w:r w:rsidRPr="004B26E5">
        <w:t xml:space="preserve">Abwesenheit und Austritt aus </w:t>
      </w:r>
      <w:proofErr w:type="spellStart"/>
      <w:r w:rsidRPr="004B26E5">
        <w:t>Teillohn</w:t>
      </w:r>
      <w:proofErr w:type="spellEnd"/>
      <w:r w:rsidRPr="004B26E5">
        <w:t xml:space="preserve"> SEB</w:t>
      </w:r>
      <w:bookmarkEnd w:id="12"/>
      <w:r w:rsidRPr="004B26E5">
        <w:t xml:space="preserve"> </w:t>
      </w:r>
    </w:p>
    <w:p w14:paraId="326C070A" w14:textId="77777777" w:rsidR="00F37386" w:rsidRPr="004B26E5" w:rsidRDefault="00F37386" w:rsidP="00F37386">
      <w:pPr>
        <w:pStyle w:val="Absatz0"/>
        <w:jc w:val="both"/>
      </w:pPr>
      <w:r w:rsidRPr="004B26E5">
        <w:t>Bei Abwesenheit und Austritt von Teilnehmer</w:t>
      </w:r>
      <w:r>
        <w:t>*</w:t>
      </w:r>
      <w:r w:rsidRPr="004B26E5">
        <w:t xml:space="preserve">innen im </w:t>
      </w:r>
      <w:proofErr w:type="spellStart"/>
      <w:r w:rsidRPr="004B26E5">
        <w:t>Teillohn</w:t>
      </w:r>
      <w:proofErr w:type="spellEnd"/>
      <w:r w:rsidRPr="004B26E5">
        <w:t xml:space="preserve"> der Sozialen Einrichtungen und Betriebe </w:t>
      </w:r>
      <w:r>
        <w:t>(</w:t>
      </w:r>
      <w:r w:rsidRPr="004B26E5">
        <w:t>SEB</w:t>
      </w:r>
      <w:r>
        <w:t>)</w:t>
      </w:r>
      <w:r w:rsidRPr="004B26E5">
        <w:t xml:space="preserve"> gelten die nachfolgenden Vereinbarungen zwischen SOD und </w:t>
      </w:r>
      <w:r>
        <w:t xml:space="preserve">den </w:t>
      </w:r>
      <w:r w:rsidRPr="004B26E5">
        <w:t xml:space="preserve">SEB. </w:t>
      </w:r>
    </w:p>
    <w:p w14:paraId="7556E78A" w14:textId="77777777" w:rsidR="00F37386" w:rsidRPr="004B26E5" w:rsidRDefault="00F37386" w:rsidP="00F37386">
      <w:pPr>
        <w:pStyle w:val="berschrift2"/>
        <w:tabs>
          <w:tab w:val="clear" w:pos="576"/>
          <w:tab w:val="clear" w:pos="709"/>
          <w:tab w:val="num" w:pos="859"/>
        </w:tabs>
        <w:spacing w:before="240" w:after="120"/>
      </w:pPr>
      <w:bookmarkStart w:id="13" w:name="_Toc108042187"/>
      <w:r w:rsidRPr="004B26E5">
        <w:t>Krankheit, Unfall oder Untersuchungshaft</w:t>
      </w:r>
      <w:bookmarkEnd w:id="13"/>
    </w:p>
    <w:p w14:paraId="21FDA254" w14:textId="77777777" w:rsidR="00F37386" w:rsidRPr="004B26E5" w:rsidRDefault="00F37386" w:rsidP="00F37386">
      <w:pPr>
        <w:pStyle w:val="Absatz0"/>
        <w:jc w:val="both"/>
      </w:pPr>
      <w:r w:rsidRPr="004B26E5">
        <w:t>Der Teillohnbetrieb darf während einer Sperrfrist das Arbeitsverhältnis nicht kündigen.</w:t>
      </w:r>
    </w:p>
    <w:p w14:paraId="1A493A79" w14:textId="77777777" w:rsidR="00F37386" w:rsidRPr="004B26E5" w:rsidRDefault="00F37386" w:rsidP="00F37386">
      <w:pPr>
        <w:pStyle w:val="Absatz0"/>
        <w:jc w:val="both"/>
      </w:pPr>
    </w:p>
    <w:p w14:paraId="0654F227" w14:textId="77777777" w:rsidR="00F37386" w:rsidRPr="004B26E5" w:rsidRDefault="00F37386" w:rsidP="00F37386">
      <w:pPr>
        <w:pStyle w:val="Absatz0"/>
        <w:numPr>
          <w:ilvl w:val="0"/>
          <w:numId w:val="14"/>
        </w:numPr>
        <w:spacing w:after="120"/>
        <w:ind w:left="357" w:hanging="357"/>
        <w:jc w:val="both"/>
      </w:pPr>
      <w:r w:rsidRPr="004B26E5">
        <w:t xml:space="preserve">Vor oder während der Sperrfrist: Ist bekannt oder vorhersehbar, dass ein/-e </w:t>
      </w:r>
      <w:r>
        <w:t>KL</w:t>
      </w:r>
      <w:r w:rsidRPr="004B26E5">
        <w:t xml:space="preserve"> länger als 1 Monat abwesend ist, nehmen die </w:t>
      </w:r>
      <w:r>
        <w:t>Anbieter</w:t>
      </w:r>
      <w:r w:rsidRPr="004B26E5">
        <w:t xml:space="preserve"> Kontakt mit dem/der </w:t>
      </w:r>
      <w:r>
        <w:t>Fallführung</w:t>
      </w:r>
      <w:r w:rsidRPr="004B26E5">
        <w:t xml:space="preserve"> auf und vereinbaren, ob der Einsatz unterbrochen wird.</w:t>
      </w:r>
    </w:p>
    <w:p w14:paraId="03DA6C82" w14:textId="77777777" w:rsidR="00F37386" w:rsidRPr="004B26E5" w:rsidRDefault="00F37386" w:rsidP="00F37386">
      <w:pPr>
        <w:pStyle w:val="Absatz0"/>
        <w:spacing w:after="120"/>
        <w:ind w:left="357"/>
        <w:jc w:val="both"/>
      </w:pPr>
      <w:r w:rsidRPr="004B26E5">
        <w:rPr>
          <w:u w:val="single"/>
        </w:rPr>
        <w:t>Rechnungsstellung bei Unterbruch</w:t>
      </w:r>
      <w:r w:rsidRPr="004B26E5">
        <w:t>: Bis maximal 45 Tage nach dem letzten Arbeitstag oder bis zum Ablauf der Lohnfortzahlungspflicht.</w:t>
      </w:r>
    </w:p>
    <w:p w14:paraId="6D815C63" w14:textId="77777777" w:rsidR="00F37386" w:rsidRPr="004B26E5" w:rsidRDefault="00F37386" w:rsidP="00F37386">
      <w:pPr>
        <w:pStyle w:val="Absatz0"/>
        <w:numPr>
          <w:ilvl w:val="0"/>
          <w:numId w:val="14"/>
        </w:numPr>
        <w:spacing w:after="120"/>
        <w:jc w:val="both"/>
      </w:pPr>
      <w:r w:rsidRPr="004B26E5">
        <w:t>Nach der Sperrfrist:</w:t>
      </w:r>
      <w:r>
        <w:t xml:space="preserve"> </w:t>
      </w:r>
      <w:r w:rsidRPr="004B26E5">
        <w:t xml:space="preserve">Nach Ablauf der Sperrfrist kontaktiert der Teillohnbetrieb den/die </w:t>
      </w:r>
      <w:r>
        <w:t>Fallführenden</w:t>
      </w:r>
      <w:r w:rsidRPr="004B26E5">
        <w:t xml:space="preserve">. Falls es unwahrscheinlich ist, dass der/die </w:t>
      </w:r>
      <w:r>
        <w:t>KL</w:t>
      </w:r>
      <w:r w:rsidRPr="004B26E5">
        <w:t xml:space="preserve"> die Arbeit wieder aufnimmt, kündigt der Teillohnbetrieb das Arbeitsverhältnis.</w:t>
      </w:r>
    </w:p>
    <w:p w14:paraId="16C245C4" w14:textId="77777777" w:rsidR="00F37386" w:rsidRPr="004B26E5" w:rsidRDefault="00F37386" w:rsidP="00F37386">
      <w:pPr>
        <w:pStyle w:val="Absatz0"/>
        <w:spacing w:after="120"/>
        <w:ind w:left="360"/>
        <w:jc w:val="both"/>
      </w:pPr>
      <w:r w:rsidRPr="004B26E5">
        <w:rPr>
          <w:u w:val="single"/>
        </w:rPr>
        <w:t>Rechnungsstellung</w:t>
      </w:r>
      <w:r w:rsidRPr="004B26E5">
        <w:t>: mindestens bis zum letzten Tag der Lohnfortzahlung oder längstens 30 Tage nach Ablauf der Sperrfrist.</w:t>
      </w:r>
    </w:p>
    <w:p w14:paraId="35FB3729" w14:textId="77777777" w:rsidR="00F37386" w:rsidRPr="004B26E5" w:rsidRDefault="00F37386" w:rsidP="00F37386">
      <w:pPr>
        <w:pStyle w:val="berschrift2"/>
        <w:tabs>
          <w:tab w:val="clear" w:pos="576"/>
          <w:tab w:val="clear" w:pos="709"/>
          <w:tab w:val="num" w:pos="859"/>
        </w:tabs>
        <w:spacing w:before="240" w:after="120"/>
      </w:pPr>
      <w:bookmarkStart w:id="14" w:name="_Toc108042188"/>
      <w:r>
        <w:t>Rechnungsstellung bei u</w:t>
      </w:r>
      <w:r w:rsidRPr="004B26E5">
        <w:t>nentschuldigte</w:t>
      </w:r>
      <w:r>
        <w:t>n</w:t>
      </w:r>
      <w:r w:rsidRPr="004B26E5">
        <w:t xml:space="preserve"> Absenzen</w:t>
      </w:r>
      <w:bookmarkEnd w:id="14"/>
    </w:p>
    <w:p w14:paraId="017FFA43" w14:textId="77777777" w:rsidR="00F37386" w:rsidRPr="004B26E5" w:rsidRDefault="00F37386" w:rsidP="00F37386">
      <w:pPr>
        <w:pStyle w:val="Absatz0"/>
        <w:spacing w:after="120"/>
        <w:jc w:val="both"/>
      </w:pPr>
      <w:r>
        <w:t xml:space="preserve">Falls das unentschuldigte Fehlen bei der Arbeit und die Aussprache einer Verwarnung eine Kündigung nach sich zieht, erfolgt die </w:t>
      </w:r>
      <w:r w:rsidRPr="00AB6355">
        <w:t xml:space="preserve">Rechnungsstellung </w:t>
      </w:r>
      <w:r>
        <w:t>m</w:t>
      </w:r>
      <w:r w:rsidRPr="004B26E5">
        <w:t>aximal 45 Tage ab unentschuldigter Absenz, jedoch längstens bis zum letzten Tag der Kündigungsfrist.</w:t>
      </w:r>
    </w:p>
    <w:p w14:paraId="25B09211" w14:textId="77777777" w:rsidR="00F37386" w:rsidRPr="004B26E5" w:rsidRDefault="00F37386" w:rsidP="00F37386">
      <w:pPr>
        <w:pStyle w:val="Absatz0"/>
        <w:jc w:val="both"/>
      </w:pPr>
    </w:p>
    <w:p w14:paraId="01E052B9" w14:textId="77777777" w:rsidR="00F37386" w:rsidRPr="004B26E5" w:rsidRDefault="00F37386" w:rsidP="00F37386">
      <w:pPr>
        <w:pStyle w:val="Absatz0"/>
        <w:spacing w:after="120"/>
        <w:jc w:val="both"/>
      </w:pPr>
      <w:r>
        <w:t>Der/die Fallführende</w:t>
      </w:r>
      <w:r w:rsidRPr="004B26E5">
        <w:t xml:space="preserve"> hat die Möglichkeit, bei der Kontaktaufnahme durch den Teillohnbetrieb die Kündigung zu verhindern und den Platz zu reservieren. Für eine Reservation erteilt sie/er dem Teillohnbetrieb separat schriftlich Kostengutsprache.</w:t>
      </w:r>
      <w:r>
        <w:t xml:space="preserve"> In diesem Fall gilt, dass über</w:t>
      </w:r>
      <w:r>
        <w:rPr>
          <w:u w:val="single"/>
        </w:rPr>
        <w:t xml:space="preserve"> </w:t>
      </w:r>
      <w:r w:rsidRPr="004B26E5">
        <w:t>die gesamte reservierte Zeit die vollen Programmkosten</w:t>
      </w:r>
      <w:r>
        <w:t xml:space="preserve"> verrechnet werden können</w:t>
      </w:r>
      <w:r w:rsidRPr="004B26E5">
        <w:t>.</w:t>
      </w:r>
    </w:p>
    <w:p w14:paraId="15D23932" w14:textId="77777777" w:rsidR="00F37386" w:rsidRPr="004B26E5" w:rsidRDefault="00F37386" w:rsidP="00F37386">
      <w:pPr>
        <w:pStyle w:val="Absatz0"/>
        <w:jc w:val="both"/>
      </w:pPr>
    </w:p>
    <w:p w14:paraId="3CE8F4EB" w14:textId="77777777" w:rsidR="00F37386" w:rsidRPr="004B26E5" w:rsidRDefault="00F37386" w:rsidP="00F37386">
      <w:pPr>
        <w:pStyle w:val="Absatz0"/>
        <w:jc w:val="both"/>
      </w:pPr>
      <w:r>
        <w:t>Ausnahme: Klient*</w:t>
      </w:r>
      <w:r w:rsidRPr="004B26E5">
        <w:t xml:space="preserve">innen der Zielgruppe 4 sind mittels Auflage zur Teilnahme am </w:t>
      </w:r>
      <w:proofErr w:type="spellStart"/>
      <w:r w:rsidRPr="004B26E5">
        <w:t>Teillohn</w:t>
      </w:r>
      <w:proofErr w:type="spellEnd"/>
      <w:r w:rsidRPr="004B26E5">
        <w:t xml:space="preserve"> verpflichtet. Massnahmen bei </w:t>
      </w:r>
      <w:proofErr w:type="spellStart"/>
      <w:r w:rsidRPr="004B26E5">
        <w:t>untentschuldigter</w:t>
      </w:r>
      <w:proofErr w:type="spellEnd"/>
      <w:r w:rsidRPr="004B26E5">
        <w:t xml:space="preserve"> Absenz werden im Rahmen des Auflage- und Kürzungsverfahrens geprüft, siehe </w:t>
      </w:r>
      <w:hyperlink r:id="rId19" w:history="1">
        <w:r w:rsidRPr="004F0F64">
          <w:rPr>
            <w:rStyle w:val="Hyperlink"/>
          </w:rPr>
          <w:t>HAW Auflage und Kürzungsverfahren</w:t>
        </w:r>
      </w:hyperlink>
      <w:r w:rsidRPr="004B26E5">
        <w:t xml:space="preserve">. </w:t>
      </w:r>
    </w:p>
    <w:p w14:paraId="5008A19E" w14:textId="77777777" w:rsidR="00F37386" w:rsidRPr="004B26E5" w:rsidRDefault="00F37386" w:rsidP="00F37386">
      <w:pPr>
        <w:pStyle w:val="Absatz0"/>
        <w:jc w:val="both"/>
      </w:pPr>
    </w:p>
    <w:p w14:paraId="762CFC11" w14:textId="77777777" w:rsidR="00F37386" w:rsidRPr="004B26E5" w:rsidRDefault="00F37386" w:rsidP="00F37386">
      <w:pPr>
        <w:pStyle w:val="berschrift2"/>
        <w:tabs>
          <w:tab w:val="clear" w:pos="576"/>
          <w:tab w:val="clear" w:pos="709"/>
          <w:tab w:val="num" w:pos="859"/>
        </w:tabs>
        <w:spacing w:before="240" w:after="120"/>
        <w:jc w:val="both"/>
      </w:pPr>
      <w:bookmarkStart w:id="15" w:name="_Toc108042189"/>
      <w:r>
        <w:t>Rechnungsstellung bei o</w:t>
      </w:r>
      <w:r w:rsidRPr="004B26E5">
        <w:t>rdentliche</w:t>
      </w:r>
      <w:r>
        <w:t>r</w:t>
      </w:r>
      <w:r w:rsidRPr="004B26E5">
        <w:t xml:space="preserve"> Kündigung</w:t>
      </w:r>
      <w:bookmarkEnd w:id="15"/>
    </w:p>
    <w:p w14:paraId="36CF17EE" w14:textId="77777777" w:rsidR="00F37386" w:rsidRPr="004B26E5" w:rsidRDefault="00F37386" w:rsidP="00F37386">
      <w:pPr>
        <w:pStyle w:val="Absatz0"/>
        <w:spacing w:after="120"/>
        <w:jc w:val="both"/>
      </w:pPr>
      <w:r>
        <w:t xml:space="preserve">Wenn das Arbeitsverhältnis mit dem/der KL aufgelöst wurde, </w:t>
      </w:r>
      <w:r w:rsidRPr="004B26E5">
        <w:t>das heisst die Kündigungsfrist am Laufen</w:t>
      </w:r>
      <w:r>
        <w:t xml:space="preserve"> ist und d</w:t>
      </w:r>
      <w:r w:rsidRPr="004B26E5">
        <w:t xml:space="preserve">er/die </w:t>
      </w:r>
      <w:r>
        <w:t>KL</w:t>
      </w:r>
      <w:r w:rsidRPr="004B26E5">
        <w:t xml:space="preserve"> der Arbeit während der Kündigungsfrist unentschuldigt fern</w:t>
      </w:r>
      <w:r>
        <w:t xml:space="preserve">bleibt, erfolgt die Rechnungsstellung </w:t>
      </w:r>
      <w:r w:rsidRPr="00AB6355">
        <w:t xml:space="preserve">maximal </w:t>
      </w:r>
      <w:r w:rsidRPr="004B26E5">
        <w:t>30 Tage ab unentschuldigter Absenz, jedoch längstens bis zum letzten Tag der Kündigungsfrist</w:t>
      </w:r>
      <w:r>
        <w:t xml:space="preserve">. </w:t>
      </w:r>
    </w:p>
    <w:p w14:paraId="41D5D3C3" w14:textId="77777777" w:rsidR="00F37386" w:rsidRPr="004B26E5" w:rsidRDefault="00F37386" w:rsidP="00F37386">
      <w:pPr>
        <w:pStyle w:val="berschrift2"/>
        <w:tabs>
          <w:tab w:val="clear" w:pos="576"/>
          <w:tab w:val="clear" w:pos="709"/>
          <w:tab w:val="num" w:pos="859"/>
        </w:tabs>
        <w:spacing w:before="240" w:after="120"/>
        <w:jc w:val="both"/>
      </w:pPr>
      <w:bookmarkStart w:id="16" w:name="_Toc108042190"/>
      <w:r>
        <w:t xml:space="preserve">Rechnungsstellung bei </w:t>
      </w:r>
      <w:r w:rsidRPr="004B26E5">
        <w:t>Wegzug aus der Stadt Zürich</w:t>
      </w:r>
      <w:bookmarkEnd w:id="16"/>
    </w:p>
    <w:p w14:paraId="4329B290" w14:textId="77777777" w:rsidR="00F37386" w:rsidRPr="004B26E5" w:rsidRDefault="00F37386" w:rsidP="00F37386">
      <w:pPr>
        <w:pStyle w:val="Absatz0"/>
        <w:spacing w:after="120"/>
        <w:jc w:val="both"/>
      </w:pPr>
      <w:r>
        <w:t xml:space="preserve">Wird dem/der KL </w:t>
      </w:r>
      <w:r w:rsidRPr="004B26E5">
        <w:t>unter Einhaltung der ordentlichen Frist gekündigt</w:t>
      </w:r>
      <w:r>
        <w:t xml:space="preserve">, erfolgt die </w:t>
      </w:r>
      <w:r w:rsidRPr="00AB6355">
        <w:t>Rechnungsstellung</w:t>
      </w:r>
      <w:r w:rsidRPr="004B26E5">
        <w:t xml:space="preserve"> bis zum offiziellen Kündigungstermin. </w:t>
      </w:r>
    </w:p>
    <w:p w14:paraId="31B4062C" w14:textId="77777777" w:rsidR="00F37386" w:rsidRPr="004B26E5" w:rsidRDefault="00F37386" w:rsidP="00F37386">
      <w:pPr>
        <w:jc w:val="both"/>
      </w:pPr>
      <w:r w:rsidRPr="004B26E5">
        <w:lastRenderedPageBreak/>
        <w:t xml:space="preserve">Ist eine Kostengutsprache der neuen Wohnsitzgemeinde vorhanden, kann in Ausnahmefällen und mit Bewilligung </w:t>
      </w:r>
      <w:r>
        <w:t>des Anbieters</w:t>
      </w:r>
      <w:r w:rsidRPr="004B26E5">
        <w:t xml:space="preserve"> das Arbeitsverhältnis weitergeführt werden.</w:t>
      </w:r>
    </w:p>
    <w:p w14:paraId="625D80E0" w14:textId="77777777" w:rsidR="00F37386" w:rsidRPr="004B26E5" w:rsidRDefault="00F37386" w:rsidP="00F37386">
      <w:pPr>
        <w:pStyle w:val="berschrift2"/>
        <w:tabs>
          <w:tab w:val="clear" w:pos="576"/>
          <w:tab w:val="clear" w:pos="709"/>
          <w:tab w:val="num" w:pos="859"/>
        </w:tabs>
        <w:spacing w:before="240" w:after="120"/>
        <w:jc w:val="both"/>
      </w:pPr>
      <w:bookmarkStart w:id="17" w:name="_Toc108042191"/>
      <w:r w:rsidRPr="004B26E5">
        <w:t>Aufhebung der Kostengutsprache durch SOD</w:t>
      </w:r>
      <w:bookmarkEnd w:id="17"/>
    </w:p>
    <w:p w14:paraId="382608BD" w14:textId="77777777" w:rsidR="00F37386" w:rsidRPr="004B26E5" w:rsidRDefault="00F37386" w:rsidP="00F37386">
      <w:pPr>
        <w:jc w:val="both"/>
        <w:rPr>
          <w:szCs w:val="22"/>
        </w:rPr>
      </w:pPr>
      <w:r w:rsidRPr="004B26E5">
        <w:rPr>
          <w:szCs w:val="22"/>
        </w:rPr>
        <w:t xml:space="preserve">Die Kostengutsprache wird mit der Anmeldung/Zuweisung stillschweigend erteilt. Entscheidet </w:t>
      </w:r>
      <w:r w:rsidRPr="004B26E5">
        <w:t xml:space="preserve">der/die </w:t>
      </w:r>
      <w:r>
        <w:t>Fallführende</w:t>
      </w:r>
      <w:r w:rsidRPr="004B26E5">
        <w:rPr>
          <w:szCs w:val="22"/>
        </w:rPr>
        <w:t xml:space="preserve">, dass keine weitere Kostengutsprache für den Verbleib im Teillohnangebot geleistet wird, ist dies dem Teillohnbetrieb schriftlich mitzuteilen. </w:t>
      </w:r>
    </w:p>
    <w:p w14:paraId="2629FBB3" w14:textId="77777777" w:rsidR="00F37386" w:rsidRPr="004B26E5" w:rsidRDefault="00F37386" w:rsidP="00F37386">
      <w:pPr>
        <w:jc w:val="both"/>
        <w:rPr>
          <w:szCs w:val="22"/>
        </w:rPr>
      </w:pPr>
    </w:p>
    <w:p w14:paraId="33A9CEFB" w14:textId="77777777" w:rsidR="00F37386" w:rsidRPr="004B26E5" w:rsidRDefault="00F37386" w:rsidP="00F37386">
      <w:pPr>
        <w:jc w:val="both"/>
        <w:rPr>
          <w:szCs w:val="22"/>
        </w:rPr>
      </w:pPr>
      <w:r w:rsidRPr="004B26E5">
        <w:rPr>
          <w:szCs w:val="22"/>
        </w:rPr>
        <w:t xml:space="preserve">Die Aufhebung der Kostengutsprache begründet im Teillohnangebot die Kündigung des Arbeitsverhältnisses mit dem/der Teillohnangestellten, unter Einhaltung der gesetzlichen Kündigungsfrist. Bis zum Austritt werden den SOD die Programmkosten in Rechnung gestellt. </w:t>
      </w:r>
    </w:p>
    <w:p w14:paraId="14763B91" w14:textId="77777777" w:rsidR="00F37386" w:rsidRDefault="00F37386" w:rsidP="00F37386">
      <w:pPr>
        <w:jc w:val="both"/>
        <w:rPr>
          <w:szCs w:val="22"/>
        </w:rPr>
      </w:pPr>
    </w:p>
    <w:p w14:paraId="16D7EEFD" w14:textId="77777777" w:rsidR="00F37386" w:rsidRPr="00214916" w:rsidRDefault="00F37386" w:rsidP="00F37386">
      <w:pPr>
        <w:pStyle w:val="berschrift1"/>
        <w:tabs>
          <w:tab w:val="clear" w:pos="432"/>
          <w:tab w:val="clear" w:pos="709"/>
        </w:tabs>
        <w:spacing w:before="240" w:after="120"/>
        <w:ind w:left="432" w:hanging="432"/>
      </w:pPr>
      <w:r w:rsidRPr="006E6260">
        <w:t xml:space="preserve"> </w:t>
      </w:r>
      <w:bookmarkStart w:id="18" w:name="_Toc108042192"/>
      <w:proofErr w:type="spellStart"/>
      <w:r w:rsidRPr="00214916">
        <w:t>Teillohn</w:t>
      </w:r>
      <w:proofErr w:type="spellEnd"/>
      <w:r w:rsidRPr="00214916">
        <w:t xml:space="preserve"> mit Auflage (SEB)</w:t>
      </w:r>
      <w:bookmarkEnd w:id="18"/>
      <w:r w:rsidRPr="00214916">
        <w:t xml:space="preserve"> </w:t>
      </w:r>
    </w:p>
    <w:p w14:paraId="74F8140F" w14:textId="77777777" w:rsidR="00F37386" w:rsidRPr="008C65C0" w:rsidRDefault="00F37386" w:rsidP="00F37386">
      <w:pPr>
        <w:pStyle w:val="Absatz0"/>
        <w:jc w:val="both"/>
      </w:pPr>
      <w:r>
        <w:t>Klient*</w:t>
      </w:r>
      <w:r w:rsidRPr="00794956">
        <w:t xml:space="preserve">innen, welche der Zielgruppe 4 zugeteilt sind oder aus einer anderen Zielgruppe in diese wechseln, wird die Teilnahme am </w:t>
      </w:r>
      <w:proofErr w:type="spellStart"/>
      <w:r w:rsidRPr="00794956">
        <w:t>Teillohn</w:t>
      </w:r>
      <w:proofErr w:type="spellEnd"/>
      <w:r w:rsidRPr="00794956">
        <w:t xml:space="preserve"> zur Auflage gemacht (siehe </w:t>
      </w:r>
      <w:hyperlink r:id="rId20" w:history="1">
        <w:r w:rsidRPr="009C1D3B">
          <w:rPr>
            <w:rStyle w:val="Hyperlink"/>
          </w:rPr>
          <w:t xml:space="preserve">HAW Berufliche und </w:t>
        </w:r>
        <w:proofErr w:type="spellStart"/>
        <w:r w:rsidRPr="009C1D3B">
          <w:rPr>
            <w:rStyle w:val="Hyperlink"/>
          </w:rPr>
          <w:t>Soziale</w:t>
        </w:r>
        <w:proofErr w:type="spellEnd"/>
        <w:r w:rsidRPr="009C1D3B">
          <w:rPr>
            <w:rStyle w:val="Hyperlink"/>
          </w:rPr>
          <w:t xml:space="preserve"> Integration Zielgruppenspezifische Angebote und Zielgruppenwechsel</w:t>
        </w:r>
      </w:hyperlink>
      <w:r w:rsidRPr="009C1D3B">
        <w:rPr>
          <w:rStyle w:val="Hyperlink"/>
        </w:rPr>
        <w:t>)</w:t>
      </w:r>
      <w:r w:rsidRPr="009C1D3B">
        <w:t>.</w:t>
      </w:r>
      <w:r w:rsidRPr="00794956">
        <w:t xml:space="preserve"> Zur Umsetzung des Auflage- und Kürzungsverfahrens (auch im Rahmen </w:t>
      </w:r>
      <w:r w:rsidRPr="00622FC3">
        <w:t>einer NAVI-</w:t>
      </w:r>
      <w:r w:rsidRPr="00794956">
        <w:t xml:space="preserve">Verweigerung) stellen die SEB Plätze im </w:t>
      </w:r>
      <w:proofErr w:type="spellStart"/>
      <w:r w:rsidRPr="00794956">
        <w:t>Teillohn</w:t>
      </w:r>
      <w:proofErr w:type="spellEnd"/>
      <w:r w:rsidRPr="00794956">
        <w:t xml:space="preserve"> zur Verfügung (sogenannter </w:t>
      </w:r>
      <w:proofErr w:type="spellStart"/>
      <w:r w:rsidRPr="00794956">
        <w:t>Teillohn</w:t>
      </w:r>
      <w:proofErr w:type="spellEnd"/>
      <w:r w:rsidRPr="00794956">
        <w:t xml:space="preserve"> mit Auflage). Die Zuweisung zum </w:t>
      </w:r>
      <w:proofErr w:type="spellStart"/>
      <w:r w:rsidRPr="00794956">
        <w:t>Teillohn</w:t>
      </w:r>
      <w:proofErr w:type="spellEnd"/>
      <w:r w:rsidRPr="00794956">
        <w:t xml:space="preserve"> mit Auflage (vormals Sanktionsarbeitsplätze) erfolgt im Rahmen des Auflagen- und Kürzungsverfahrens (siehe </w:t>
      </w:r>
      <w:hyperlink r:id="rId21" w:history="1">
        <w:r w:rsidRPr="00794956">
          <w:t>HAW Auflagen- und Kürzungsverfahren</w:t>
        </w:r>
      </w:hyperlink>
      <w:r w:rsidRPr="00794956">
        <w:t xml:space="preserve"> und </w:t>
      </w:r>
      <w:hyperlink r:id="rId22" w:history="1">
        <w:r w:rsidRPr="00794956">
          <w:rPr>
            <w:rStyle w:val="Hyperlink"/>
          </w:rPr>
          <w:t>PRA Einsatzplätze für Klienten und Klientinnen im Auflage- und Kürzungsverfahren</w:t>
        </w:r>
      </w:hyperlink>
      <w:r w:rsidRPr="00794956">
        <w:t>).</w:t>
      </w:r>
      <w:r w:rsidRPr="008C65C0">
        <w:t xml:space="preserve"> </w:t>
      </w:r>
    </w:p>
    <w:p w14:paraId="252CC344" w14:textId="77777777" w:rsidR="00F97CC8" w:rsidRPr="00621C24" w:rsidRDefault="00F97CC8" w:rsidP="00621C24"/>
    <w:sectPr w:rsidR="00F97CC8" w:rsidRPr="00621C24" w:rsidSect="00321BCB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985" w:right="1134" w:bottom="567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A08D3" w14:textId="77777777" w:rsidR="00B15AF0" w:rsidRDefault="00B15AF0">
      <w:r>
        <w:separator/>
      </w:r>
    </w:p>
  </w:endnote>
  <w:endnote w:type="continuationSeparator" w:id="0">
    <w:p w14:paraId="748C11D5" w14:textId="77777777" w:rsidR="00B15AF0" w:rsidRDefault="00B1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953EAE" w14:paraId="252CC354" w14:textId="77777777">
      <w:trPr>
        <w:trHeight w:val="284"/>
      </w:trPr>
      <w:tc>
        <w:tcPr>
          <w:tcW w:w="5063" w:type="dxa"/>
        </w:tcPr>
        <w:p w14:paraId="252CC351" w14:textId="7203993A" w:rsidR="00953EAE" w:rsidRDefault="00953EAE" w:rsidP="00F649C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 xml:space="preserve">HAW Berufliche und </w:t>
          </w:r>
          <w:proofErr w:type="spellStart"/>
          <w:r>
            <w:rPr>
              <w:sz w:val="17"/>
            </w:rPr>
            <w:t>Soziale</w:t>
          </w:r>
          <w:proofErr w:type="spellEnd"/>
          <w:r>
            <w:rPr>
              <w:sz w:val="17"/>
            </w:rPr>
            <w:t xml:space="preserve"> Integration- </w:t>
          </w:r>
          <w:proofErr w:type="spellStart"/>
          <w:r w:rsidR="00F649CB">
            <w:rPr>
              <w:sz w:val="17"/>
            </w:rPr>
            <w:t>Teillohn</w:t>
          </w:r>
          <w:proofErr w:type="spellEnd"/>
          <w:r>
            <w:rPr>
              <w:sz w:val="17"/>
            </w:rPr>
            <w:t xml:space="preserve"> </w:t>
          </w:r>
        </w:p>
      </w:tc>
      <w:tc>
        <w:tcPr>
          <w:tcW w:w="1430" w:type="dxa"/>
        </w:tcPr>
        <w:p w14:paraId="252CC352" w14:textId="77777777" w:rsidR="00953EAE" w:rsidRDefault="00953EAE" w:rsidP="00953EAE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252CC353" w14:textId="77777777" w:rsidR="00953EAE" w:rsidRDefault="00953EAE" w:rsidP="00953EAE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</w:p>
      </w:tc>
    </w:tr>
  </w:tbl>
  <w:p w14:paraId="252CC355" w14:textId="77777777" w:rsidR="008C3F9E" w:rsidRDefault="008C3F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1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29"/>
      <w:gridCol w:w="3935"/>
      <w:gridCol w:w="1555"/>
      <w:gridCol w:w="1417"/>
      <w:gridCol w:w="2126"/>
      <w:gridCol w:w="179"/>
    </w:tblGrid>
    <w:tr w:rsidR="004A5161" w14:paraId="252CC360" w14:textId="77777777" w:rsidTr="008C4031">
      <w:trPr>
        <w:gridAfter w:val="1"/>
        <w:wAfter w:w="179" w:type="dxa"/>
        <w:trHeight w:val="284"/>
      </w:trPr>
      <w:tc>
        <w:tcPr>
          <w:tcW w:w="3964" w:type="dxa"/>
          <w:gridSpan w:val="2"/>
        </w:tcPr>
        <w:p w14:paraId="252CC35D" w14:textId="599B0CB3" w:rsidR="004A5161" w:rsidRDefault="004A5161" w:rsidP="00953EAE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 xml:space="preserve">HAW </w:t>
          </w:r>
          <w:r w:rsidR="00953EAE">
            <w:rPr>
              <w:sz w:val="17"/>
            </w:rPr>
            <w:t>Berufli</w:t>
          </w:r>
          <w:r w:rsidR="00F649CB">
            <w:rPr>
              <w:sz w:val="17"/>
            </w:rPr>
            <w:t xml:space="preserve">che und </w:t>
          </w:r>
          <w:proofErr w:type="spellStart"/>
          <w:r w:rsidR="00F649CB">
            <w:rPr>
              <w:sz w:val="17"/>
            </w:rPr>
            <w:t>Soziale</w:t>
          </w:r>
          <w:proofErr w:type="spellEnd"/>
          <w:r w:rsidR="00F649CB">
            <w:rPr>
              <w:sz w:val="17"/>
            </w:rPr>
            <w:t xml:space="preserve"> Integration- </w:t>
          </w:r>
          <w:proofErr w:type="spellStart"/>
          <w:r w:rsidR="00F649CB">
            <w:rPr>
              <w:sz w:val="17"/>
            </w:rPr>
            <w:t>Teillohn</w:t>
          </w:r>
          <w:proofErr w:type="spellEnd"/>
          <w:r>
            <w:rPr>
              <w:sz w:val="17"/>
            </w:rPr>
            <w:t xml:space="preserve"> </w:t>
          </w:r>
        </w:p>
      </w:tc>
      <w:tc>
        <w:tcPr>
          <w:tcW w:w="1555" w:type="dxa"/>
        </w:tcPr>
        <w:p w14:paraId="46FD50BC" w14:textId="6E0983E6" w:rsidR="004A5161" w:rsidRDefault="004A516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öffentlich</w:t>
          </w:r>
        </w:p>
      </w:tc>
      <w:tc>
        <w:tcPr>
          <w:tcW w:w="1417" w:type="dxa"/>
        </w:tcPr>
        <w:p w14:paraId="252CC35E" w14:textId="02EB07D8" w:rsidR="004A5161" w:rsidRDefault="00953EAE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2.</w:t>
          </w:r>
          <w:r w:rsidR="002F6F54">
            <w:rPr>
              <w:sz w:val="17"/>
            </w:rPr>
            <w:t>1</w:t>
          </w:r>
        </w:p>
      </w:tc>
      <w:tc>
        <w:tcPr>
          <w:tcW w:w="2126" w:type="dxa"/>
        </w:tcPr>
        <w:p w14:paraId="252CC35F" w14:textId="108FBA17" w:rsidR="004A5161" w:rsidRDefault="004A5161" w:rsidP="00F92E22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jc w:val="right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 xml:space="preserve">: </w:t>
          </w:r>
          <w:proofErr w:type="spellStart"/>
          <w:r w:rsidR="00066FE3">
            <w:rPr>
              <w:sz w:val="17"/>
              <w:lang w:val="de-DE"/>
            </w:rPr>
            <w:t>Fachstab</w:t>
          </w:r>
          <w:proofErr w:type="spellEnd"/>
          <w:r>
            <w:rPr>
              <w:sz w:val="17"/>
              <w:lang w:val="de-DE"/>
            </w:rPr>
            <w:t xml:space="preserve"> </w:t>
          </w:r>
          <w:r w:rsidR="00953EAE">
            <w:rPr>
              <w:sz w:val="17"/>
              <w:lang w:val="de-DE"/>
            </w:rPr>
            <w:t>SI</w:t>
          </w:r>
        </w:p>
      </w:tc>
    </w:tr>
    <w:tr w:rsidR="004A5161" w14:paraId="317A9AE4" w14:textId="77777777" w:rsidTr="008C4031">
      <w:trPr>
        <w:trHeight w:val="284"/>
      </w:trPr>
      <w:tc>
        <w:tcPr>
          <w:tcW w:w="29" w:type="dxa"/>
        </w:tcPr>
        <w:p w14:paraId="02FBD56E" w14:textId="77777777" w:rsidR="004A5161" w:rsidRDefault="004A5161" w:rsidP="00C86D3E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rPr>
              <w:sz w:val="17"/>
              <w:lang w:val="de-DE"/>
            </w:rPr>
          </w:pPr>
        </w:p>
      </w:tc>
      <w:tc>
        <w:tcPr>
          <w:tcW w:w="9212" w:type="dxa"/>
          <w:gridSpan w:val="5"/>
        </w:tcPr>
        <w:p w14:paraId="0FF4B5F4" w14:textId="77777777" w:rsidR="002F6F54" w:rsidRDefault="002F6F54" w:rsidP="002F6F54">
          <w:pPr>
            <w:pStyle w:val="Fuzeile"/>
            <w:rPr>
              <w:rFonts w:cstheme="minorBidi"/>
              <w:lang w:eastAsia="en-US"/>
            </w:rPr>
          </w:pPr>
          <w:r>
            <w:rPr>
              <w:sz w:val="17"/>
              <w:lang w:val="de-DE"/>
            </w:rPr>
            <w:t>© Copyright: Soziale Dienste. Eine Weiterverwendung ist nur mit dem Zusatz «Soziale Dienste Stadt Zürich» erlaubt.</w:t>
          </w:r>
        </w:p>
        <w:p w14:paraId="0652CC77" w14:textId="52082CAD" w:rsidR="004A5161" w:rsidRDefault="004A5161" w:rsidP="004615B4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rPr>
              <w:sz w:val="17"/>
              <w:lang w:val="de-DE"/>
            </w:rPr>
          </w:pPr>
        </w:p>
      </w:tc>
    </w:tr>
  </w:tbl>
  <w:p w14:paraId="252CC361" w14:textId="77777777" w:rsidR="008C3F9E" w:rsidRDefault="008C3F9E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36D31" w14:textId="77777777" w:rsidR="00B15AF0" w:rsidRDefault="00B15AF0">
      <w:r>
        <w:separator/>
      </w:r>
    </w:p>
  </w:footnote>
  <w:footnote w:type="continuationSeparator" w:id="0">
    <w:p w14:paraId="086D64E9" w14:textId="77777777" w:rsidR="00B15AF0" w:rsidRDefault="00B15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8C3F9E" w14:paraId="252CC34C" w14:textId="77777777">
      <w:tc>
        <w:tcPr>
          <w:tcW w:w="7257" w:type="dxa"/>
          <w:gridSpan w:val="2"/>
        </w:tcPr>
        <w:p w14:paraId="252CC349" w14:textId="56055120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52CC362" wp14:editId="0740A4F7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52CC34A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52CC34B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C3F9E" w14:paraId="252CC34F" w14:textId="77777777">
      <w:trPr>
        <w:trHeight w:val="210"/>
      </w:trPr>
      <w:tc>
        <w:tcPr>
          <w:tcW w:w="680" w:type="dxa"/>
        </w:tcPr>
        <w:p w14:paraId="252CC34D" w14:textId="77777777" w:rsidR="008C3F9E" w:rsidRDefault="008C3F9E">
          <w:pPr>
            <w:pStyle w:val="Kopfzeile"/>
          </w:pPr>
        </w:p>
      </w:tc>
      <w:tc>
        <w:tcPr>
          <w:tcW w:w="9072" w:type="dxa"/>
          <w:gridSpan w:val="2"/>
        </w:tcPr>
        <w:p w14:paraId="252CC34E" w14:textId="3FA66076" w:rsidR="008C3F9E" w:rsidRDefault="008C3F9E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03363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NUMPAGES   \* MERGEFORMAT ">
            <w:r w:rsidR="00B03363">
              <w:rPr>
                <w:noProof/>
              </w:rPr>
              <w:t>4</w:t>
            </w:r>
          </w:fldSimple>
        </w:p>
      </w:tc>
    </w:tr>
  </w:tbl>
  <w:p w14:paraId="252CC350" w14:textId="77777777" w:rsidR="008C3F9E" w:rsidRDefault="008C3F9E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8C3F9E" w14:paraId="252CC358" w14:textId="77777777">
      <w:tc>
        <w:tcPr>
          <w:tcW w:w="7257" w:type="dxa"/>
        </w:tcPr>
        <w:p w14:paraId="252CC356" w14:textId="24D66BB1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52CC363" wp14:editId="19D1E8A3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252CC357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C3F9E" w14:paraId="252CC35B" w14:textId="77777777">
      <w:tc>
        <w:tcPr>
          <w:tcW w:w="7257" w:type="dxa"/>
        </w:tcPr>
        <w:p w14:paraId="252CC359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52CC35A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52CC35C" w14:textId="77777777" w:rsidR="008C3F9E" w:rsidRDefault="008C3F9E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4E"/>
    <w:multiLevelType w:val="multilevel"/>
    <w:tmpl w:val="3A227DE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2216EC"/>
    <w:multiLevelType w:val="multilevel"/>
    <w:tmpl w:val="05B2DA4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348699C"/>
    <w:multiLevelType w:val="hybridMultilevel"/>
    <w:tmpl w:val="877400EE"/>
    <w:lvl w:ilvl="0" w:tplc="ED94DF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C80798"/>
    <w:multiLevelType w:val="multilevel"/>
    <w:tmpl w:val="EA34608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069505B"/>
    <w:multiLevelType w:val="hybridMultilevel"/>
    <w:tmpl w:val="808C1CE4"/>
    <w:lvl w:ilvl="0" w:tplc="ED94DF9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010"/>
    <w:multiLevelType w:val="multilevel"/>
    <w:tmpl w:val="C8724DC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1E92569"/>
    <w:multiLevelType w:val="multilevel"/>
    <w:tmpl w:val="C7187C66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3D593E"/>
    <w:multiLevelType w:val="multilevel"/>
    <w:tmpl w:val="D12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5D80472"/>
    <w:multiLevelType w:val="multilevel"/>
    <w:tmpl w:val="869E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E1D4034"/>
    <w:multiLevelType w:val="hybridMultilevel"/>
    <w:tmpl w:val="8D14DE18"/>
    <w:lvl w:ilvl="0" w:tplc="FE68764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F0FBE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C84B0F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A22A7A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206C41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48847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22E0D4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956FE6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31CFCE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8110F44"/>
    <w:multiLevelType w:val="hybridMultilevel"/>
    <w:tmpl w:val="86F27790"/>
    <w:lvl w:ilvl="0" w:tplc="761A5E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924E9"/>
    <w:multiLevelType w:val="hybridMultilevel"/>
    <w:tmpl w:val="071866D2"/>
    <w:lvl w:ilvl="0" w:tplc="3BC2EA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1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34589F"/>
    <w:rsid w:val="0000065B"/>
    <w:rsid w:val="000106E8"/>
    <w:rsid w:val="0001435B"/>
    <w:rsid w:val="00024047"/>
    <w:rsid w:val="00025170"/>
    <w:rsid w:val="000262FF"/>
    <w:rsid w:val="000361BF"/>
    <w:rsid w:val="00036E84"/>
    <w:rsid w:val="000375FB"/>
    <w:rsid w:val="000379BE"/>
    <w:rsid w:val="00047278"/>
    <w:rsid w:val="000535DF"/>
    <w:rsid w:val="0005703F"/>
    <w:rsid w:val="00061D9D"/>
    <w:rsid w:val="0006527D"/>
    <w:rsid w:val="00066FE3"/>
    <w:rsid w:val="00073A59"/>
    <w:rsid w:val="00094B79"/>
    <w:rsid w:val="000B10DE"/>
    <w:rsid w:val="000B61D9"/>
    <w:rsid w:val="000C0E06"/>
    <w:rsid w:val="000F5B0B"/>
    <w:rsid w:val="001031F7"/>
    <w:rsid w:val="0010588A"/>
    <w:rsid w:val="00116B77"/>
    <w:rsid w:val="0012198D"/>
    <w:rsid w:val="001221B3"/>
    <w:rsid w:val="00137F98"/>
    <w:rsid w:val="001417A8"/>
    <w:rsid w:val="00162049"/>
    <w:rsid w:val="0016315D"/>
    <w:rsid w:val="00172743"/>
    <w:rsid w:val="001734B5"/>
    <w:rsid w:val="00176A9A"/>
    <w:rsid w:val="00181C3B"/>
    <w:rsid w:val="001823C4"/>
    <w:rsid w:val="00183949"/>
    <w:rsid w:val="00190CFA"/>
    <w:rsid w:val="00191244"/>
    <w:rsid w:val="001945F3"/>
    <w:rsid w:val="00196AC6"/>
    <w:rsid w:val="001A3FE3"/>
    <w:rsid w:val="001A5719"/>
    <w:rsid w:val="001A5A5B"/>
    <w:rsid w:val="001A7C6B"/>
    <w:rsid w:val="001B1A65"/>
    <w:rsid w:val="001C5655"/>
    <w:rsid w:val="001D092F"/>
    <w:rsid w:val="001D5FF8"/>
    <w:rsid w:val="001E7C98"/>
    <w:rsid w:val="001F192F"/>
    <w:rsid w:val="002072CA"/>
    <w:rsid w:val="002078A4"/>
    <w:rsid w:val="002107A3"/>
    <w:rsid w:val="002127BE"/>
    <w:rsid w:val="002129A1"/>
    <w:rsid w:val="00217C9B"/>
    <w:rsid w:val="00242D1E"/>
    <w:rsid w:val="00264CB2"/>
    <w:rsid w:val="0026501F"/>
    <w:rsid w:val="0027264C"/>
    <w:rsid w:val="00276048"/>
    <w:rsid w:val="00280A5B"/>
    <w:rsid w:val="00282621"/>
    <w:rsid w:val="00292376"/>
    <w:rsid w:val="002A061E"/>
    <w:rsid w:val="002A1AB3"/>
    <w:rsid w:val="002B2328"/>
    <w:rsid w:val="002C0EFF"/>
    <w:rsid w:val="002C2443"/>
    <w:rsid w:val="002C3F83"/>
    <w:rsid w:val="002C6D06"/>
    <w:rsid w:val="002D084C"/>
    <w:rsid w:val="002D4661"/>
    <w:rsid w:val="002F0C52"/>
    <w:rsid w:val="002F6F54"/>
    <w:rsid w:val="003138A7"/>
    <w:rsid w:val="00321BCB"/>
    <w:rsid w:val="00324DDA"/>
    <w:rsid w:val="00330651"/>
    <w:rsid w:val="00332741"/>
    <w:rsid w:val="003417D2"/>
    <w:rsid w:val="0034589F"/>
    <w:rsid w:val="00360079"/>
    <w:rsid w:val="00361C1A"/>
    <w:rsid w:val="0036542E"/>
    <w:rsid w:val="0036650C"/>
    <w:rsid w:val="00367727"/>
    <w:rsid w:val="00373CB9"/>
    <w:rsid w:val="00375FC2"/>
    <w:rsid w:val="00377273"/>
    <w:rsid w:val="00384BD7"/>
    <w:rsid w:val="00391ADF"/>
    <w:rsid w:val="003C6495"/>
    <w:rsid w:val="003C7125"/>
    <w:rsid w:val="003E5FC8"/>
    <w:rsid w:val="003F181C"/>
    <w:rsid w:val="003F34ED"/>
    <w:rsid w:val="003F7C7E"/>
    <w:rsid w:val="00410F4F"/>
    <w:rsid w:val="00411E86"/>
    <w:rsid w:val="004127E8"/>
    <w:rsid w:val="0042547C"/>
    <w:rsid w:val="00434465"/>
    <w:rsid w:val="00442A4A"/>
    <w:rsid w:val="004615B4"/>
    <w:rsid w:val="0049170F"/>
    <w:rsid w:val="004A0336"/>
    <w:rsid w:val="004A5161"/>
    <w:rsid w:val="004A60B2"/>
    <w:rsid w:val="004A6922"/>
    <w:rsid w:val="004A6AE8"/>
    <w:rsid w:val="004A7A22"/>
    <w:rsid w:val="004B6E13"/>
    <w:rsid w:val="004C5D35"/>
    <w:rsid w:val="004D3246"/>
    <w:rsid w:val="004E55CA"/>
    <w:rsid w:val="004F287C"/>
    <w:rsid w:val="004F4CB5"/>
    <w:rsid w:val="00505E36"/>
    <w:rsid w:val="00525403"/>
    <w:rsid w:val="005408D1"/>
    <w:rsid w:val="00554A8C"/>
    <w:rsid w:val="005560CB"/>
    <w:rsid w:val="0056292D"/>
    <w:rsid w:val="00570BF1"/>
    <w:rsid w:val="005715E9"/>
    <w:rsid w:val="00577530"/>
    <w:rsid w:val="005800F3"/>
    <w:rsid w:val="00581608"/>
    <w:rsid w:val="00582B54"/>
    <w:rsid w:val="005837E2"/>
    <w:rsid w:val="005A49D6"/>
    <w:rsid w:val="005A514C"/>
    <w:rsid w:val="00600672"/>
    <w:rsid w:val="006014BC"/>
    <w:rsid w:val="00602792"/>
    <w:rsid w:val="00605C97"/>
    <w:rsid w:val="00607475"/>
    <w:rsid w:val="00621B99"/>
    <w:rsid w:val="00621C24"/>
    <w:rsid w:val="00621DDF"/>
    <w:rsid w:val="00633CEC"/>
    <w:rsid w:val="006401F1"/>
    <w:rsid w:val="00654CB0"/>
    <w:rsid w:val="00671FE2"/>
    <w:rsid w:val="006834BF"/>
    <w:rsid w:val="006C538B"/>
    <w:rsid w:val="006C7259"/>
    <w:rsid w:val="006D0878"/>
    <w:rsid w:val="006E6BAB"/>
    <w:rsid w:val="006F6D8A"/>
    <w:rsid w:val="0070789A"/>
    <w:rsid w:val="00707A1B"/>
    <w:rsid w:val="00711334"/>
    <w:rsid w:val="0071693A"/>
    <w:rsid w:val="00721C79"/>
    <w:rsid w:val="007249CB"/>
    <w:rsid w:val="0072702B"/>
    <w:rsid w:val="0073029B"/>
    <w:rsid w:val="00731330"/>
    <w:rsid w:val="00737081"/>
    <w:rsid w:val="00740627"/>
    <w:rsid w:val="00751840"/>
    <w:rsid w:val="00751D20"/>
    <w:rsid w:val="0076537F"/>
    <w:rsid w:val="00775434"/>
    <w:rsid w:val="00775790"/>
    <w:rsid w:val="0077609B"/>
    <w:rsid w:val="00777A15"/>
    <w:rsid w:val="00793132"/>
    <w:rsid w:val="00794956"/>
    <w:rsid w:val="00795A6E"/>
    <w:rsid w:val="007A675B"/>
    <w:rsid w:val="007B3FA9"/>
    <w:rsid w:val="007B4BB1"/>
    <w:rsid w:val="007C35B6"/>
    <w:rsid w:val="007C725C"/>
    <w:rsid w:val="007D1B02"/>
    <w:rsid w:val="007E10BF"/>
    <w:rsid w:val="007F2591"/>
    <w:rsid w:val="007F341E"/>
    <w:rsid w:val="007F4B3A"/>
    <w:rsid w:val="00804B8C"/>
    <w:rsid w:val="00814C90"/>
    <w:rsid w:val="00820DD6"/>
    <w:rsid w:val="00823282"/>
    <w:rsid w:val="00830E94"/>
    <w:rsid w:val="00831BC1"/>
    <w:rsid w:val="008324F4"/>
    <w:rsid w:val="0083360A"/>
    <w:rsid w:val="00833D0F"/>
    <w:rsid w:val="00871E45"/>
    <w:rsid w:val="00872EEE"/>
    <w:rsid w:val="008751AE"/>
    <w:rsid w:val="00877148"/>
    <w:rsid w:val="00881067"/>
    <w:rsid w:val="00883702"/>
    <w:rsid w:val="00884072"/>
    <w:rsid w:val="00896DE3"/>
    <w:rsid w:val="00897CC1"/>
    <w:rsid w:val="00897DA1"/>
    <w:rsid w:val="008B146B"/>
    <w:rsid w:val="008B76EA"/>
    <w:rsid w:val="008C096F"/>
    <w:rsid w:val="008C3E8F"/>
    <w:rsid w:val="008C3F9E"/>
    <w:rsid w:val="008C4031"/>
    <w:rsid w:val="008D1C0B"/>
    <w:rsid w:val="008E12A6"/>
    <w:rsid w:val="008E212C"/>
    <w:rsid w:val="008E49E7"/>
    <w:rsid w:val="008F4ECA"/>
    <w:rsid w:val="0090067B"/>
    <w:rsid w:val="00901B8D"/>
    <w:rsid w:val="00905B43"/>
    <w:rsid w:val="00907BA1"/>
    <w:rsid w:val="009151CD"/>
    <w:rsid w:val="00923B5A"/>
    <w:rsid w:val="00926A14"/>
    <w:rsid w:val="00932D22"/>
    <w:rsid w:val="00933DC7"/>
    <w:rsid w:val="00936C42"/>
    <w:rsid w:val="00937ADD"/>
    <w:rsid w:val="00941408"/>
    <w:rsid w:val="00953EAE"/>
    <w:rsid w:val="009731D9"/>
    <w:rsid w:val="0097498C"/>
    <w:rsid w:val="00986BA5"/>
    <w:rsid w:val="009A01A5"/>
    <w:rsid w:val="009A4EE5"/>
    <w:rsid w:val="009B022D"/>
    <w:rsid w:val="009C5BD4"/>
    <w:rsid w:val="009C6302"/>
    <w:rsid w:val="009D2CED"/>
    <w:rsid w:val="00A00879"/>
    <w:rsid w:val="00A22B16"/>
    <w:rsid w:val="00A25EDE"/>
    <w:rsid w:val="00A335AE"/>
    <w:rsid w:val="00A3774A"/>
    <w:rsid w:val="00A37B65"/>
    <w:rsid w:val="00A41FDB"/>
    <w:rsid w:val="00A4273D"/>
    <w:rsid w:val="00A508DF"/>
    <w:rsid w:val="00A5187F"/>
    <w:rsid w:val="00A52A83"/>
    <w:rsid w:val="00A57B6F"/>
    <w:rsid w:val="00A638A9"/>
    <w:rsid w:val="00A646BA"/>
    <w:rsid w:val="00A71B63"/>
    <w:rsid w:val="00A83EF0"/>
    <w:rsid w:val="00A86FBC"/>
    <w:rsid w:val="00A94A37"/>
    <w:rsid w:val="00AA2022"/>
    <w:rsid w:val="00AB1CAD"/>
    <w:rsid w:val="00AC222F"/>
    <w:rsid w:val="00AD1074"/>
    <w:rsid w:val="00AD6C12"/>
    <w:rsid w:val="00AE6089"/>
    <w:rsid w:val="00AF1759"/>
    <w:rsid w:val="00AF3066"/>
    <w:rsid w:val="00B02714"/>
    <w:rsid w:val="00B03363"/>
    <w:rsid w:val="00B15AF0"/>
    <w:rsid w:val="00B21A43"/>
    <w:rsid w:val="00B24233"/>
    <w:rsid w:val="00B243C5"/>
    <w:rsid w:val="00B261DA"/>
    <w:rsid w:val="00B37685"/>
    <w:rsid w:val="00B4102E"/>
    <w:rsid w:val="00B46466"/>
    <w:rsid w:val="00B67977"/>
    <w:rsid w:val="00B92738"/>
    <w:rsid w:val="00BA349C"/>
    <w:rsid w:val="00BA67E4"/>
    <w:rsid w:val="00BA783C"/>
    <w:rsid w:val="00BC09F9"/>
    <w:rsid w:val="00BD414F"/>
    <w:rsid w:val="00BE1F8A"/>
    <w:rsid w:val="00BF15B9"/>
    <w:rsid w:val="00BF78D0"/>
    <w:rsid w:val="00BF7D77"/>
    <w:rsid w:val="00C04F04"/>
    <w:rsid w:val="00C10543"/>
    <w:rsid w:val="00C1517E"/>
    <w:rsid w:val="00C219CF"/>
    <w:rsid w:val="00C224C1"/>
    <w:rsid w:val="00C27124"/>
    <w:rsid w:val="00C31D45"/>
    <w:rsid w:val="00C35A3F"/>
    <w:rsid w:val="00C42C4A"/>
    <w:rsid w:val="00C42CE8"/>
    <w:rsid w:val="00C71D76"/>
    <w:rsid w:val="00C83197"/>
    <w:rsid w:val="00C86D3E"/>
    <w:rsid w:val="00C925D9"/>
    <w:rsid w:val="00C93EF9"/>
    <w:rsid w:val="00CB1CDB"/>
    <w:rsid w:val="00CB5977"/>
    <w:rsid w:val="00CB7AC2"/>
    <w:rsid w:val="00CC72C6"/>
    <w:rsid w:val="00CE18F8"/>
    <w:rsid w:val="00CE2D47"/>
    <w:rsid w:val="00CF3E9B"/>
    <w:rsid w:val="00CF6F9F"/>
    <w:rsid w:val="00D06DF5"/>
    <w:rsid w:val="00D10FB7"/>
    <w:rsid w:val="00D1694A"/>
    <w:rsid w:val="00D17AE8"/>
    <w:rsid w:val="00D21857"/>
    <w:rsid w:val="00D25CC2"/>
    <w:rsid w:val="00D27EB5"/>
    <w:rsid w:val="00D32237"/>
    <w:rsid w:val="00D37063"/>
    <w:rsid w:val="00D41F0A"/>
    <w:rsid w:val="00D468DE"/>
    <w:rsid w:val="00D65499"/>
    <w:rsid w:val="00D807FC"/>
    <w:rsid w:val="00D83489"/>
    <w:rsid w:val="00DA024F"/>
    <w:rsid w:val="00DA7ED5"/>
    <w:rsid w:val="00DE2556"/>
    <w:rsid w:val="00DE623B"/>
    <w:rsid w:val="00DE649C"/>
    <w:rsid w:val="00DF1853"/>
    <w:rsid w:val="00E031C7"/>
    <w:rsid w:val="00E15C5B"/>
    <w:rsid w:val="00E24119"/>
    <w:rsid w:val="00E3024C"/>
    <w:rsid w:val="00E329DE"/>
    <w:rsid w:val="00E36FAC"/>
    <w:rsid w:val="00E53D84"/>
    <w:rsid w:val="00E54C54"/>
    <w:rsid w:val="00E73F87"/>
    <w:rsid w:val="00E74405"/>
    <w:rsid w:val="00E75DC9"/>
    <w:rsid w:val="00E84F50"/>
    <w:rsid w:val="00E97D09"/>
    <w:rsid w:val="00EA1235"/>
    <w:rsid w:val="00EB1EE4"/>
    <w:rsid w:val="00EB55C8"/>
    <w:rsid w:val="00EC7199"/>
    <w:rsid w:val="00ED745C"/>
    <w:rsid w:val="00EE2CE9"/>
    <w:rsid w:val="00EE3451"/>
    <w:rsid w:val="00EF537B"/>
    <w:rsid w:val="00F02DF8"/>
    <w:rsid w:val="00F10234"/>
    <w:rsid w:val="00F24242"/>
    <w:rsid w:val="00F30F4F"/>
    <w:rsid w:val="00F345AF"/>
    <w:rsid w:val="00F36AEA"/>
    <w:rsid w:val="00F37386"/>
    <w:rsid w:val="00F41D32"/>
    <w:rsid w:val="00F464B4"/>
    <w:rsid w:val="00F558A0"/>
    <w:rsid w:val="00F649CB"/>
    <w:rsid w:val="00F72782"/>
    <w:rsid w:val="00F72BB8"/>
    <w:rsid w:val="00F74A91"/>
    <w:rsid w:val="00F77D7E"/>
    <w:rsid w:val="00F82FB4"/>
    <w:rsid w:val="00F90DF9"/>
    <w:rsid w:val="00F92E22"/>
    <w:rsid w:val="00F93CEE"/>
    <w:rsid w:val="00F96A2E"/>
    <w:rsid w:val="00F97CC8"/>
    <w:rsid w:val="00FB49FF"/>
    <w:rsid w:val="00FC212E"/>
    <w:rsid w:val="00FC552B"/>
    <w:rsid w:val="00FC61F2"/>
    <w:rsid w:val="00FD07BC"/>
    <w:rsid w:val="00FD39E9"/>
    <w:rsid w:val="00FD7BB8"/>
    <w:rsid w:val="00FE32C1"/>
    <w:rsid w:val="00FE65B3"/>
    <w:rsid w:val="00FF23FA"/>
    <w:rsid w:val="00FF4583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;"/>
  <w14:docId w14:val="252CC2CC"/>
  <w15:docId w15:val="{637CE6C0-6622-45AA-AB55-6B6C0135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E73F87"/>
    <w:pPr>
      <w:numPr>
        <w:numId w:val="1"/>
      </w:numPr>
      <w:shd w:val="clear" w:color="auto" w:fill="99CCFF"/>
      <w:tabs>
        <w:tab w:val="left" w:pos="709"/>
      </w:tabs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qFormat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qFormat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link w:val="Absatz0Zchn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58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Kommentarzeichen">
    <w:name w:val="annotation reference"/>
    <w:semiHidden/>
    <w:rsid w:val="00D27EB5"/>
    <w:rPr>
      <w:sz w:val="16"/>
      <w:szCs w:val="16"/>
    </w:rPr>
  </w:style>
  <w:style w:type="paragraph" w:styleId="Kommentartext">
    <w:name w:val="annotation text"/>
    <w:basedOn w:val="Standard"/>
    <w:semiHidden/>
    <w:rsid w:val="00D27EB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D27EB5"/>
    <w:rPr>
      <w:b/>
      <w:bCs/>
    </w:rPr>
  </w:style>
  <w:style w:type="paragraph" w:styleId="Funotentext">
    <w:name w:val="footnote text"/>
    <w:basedOn w:val="Standard"/>
    <w:link w:val="FunotentextZchn"/>
    <w:uiPriority w:val="99"/>
    <w:rsid w:val="00621DDF"/>
    <w:rPr>
      <w:sz w:val="20"/>
    </w:rPr>
  </w:style>
  <w:style w:type="character" w:styleId="Funotenzeichen">
    <w:name w:val="footnote reference"/>
    <w:rsid w:val="00621DDF"/>
    <w:rPr>
      <w:vertAlign w:val="superscript"/>
    </w:rPr>
  </w:style>
  <w:style w:type="table" w:customStyle="1" w:styleId="Tabellengitternetz">
    <w:name w:val="Tabellengitternetz"/>
    <w:basedOn w:val="NormaleTabelle"/>
    <w:rsid w:val="00C22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dtZrichInhalt">
    <w:name w:val="Stadt Zürich Inhalt"/>
    <w:basedOn w:val="StandardWeb"/>
    <w:rsid w:val="00DA7ED5"/>
    <w:pPr>
      <w:spacing w:line="260" w:lineRule="atLeast"/>
      <w:ind w:left="720"/>
      <w:jc w:val="both"/>
    </w:pPr>
    <w:rPr>
      <w:rFonts w:ascii="Arial" w:hAnsi="Arial" w:cs="Arial"/>
      <w:color w:val="000000"/>
      <w:sz w:val="22"/>
      <w:szCs w:val="22"/>
      <w:lang w:eastAsia="de-CH"/>
    </w:rPr>
  </w:style>
  <w:style w:type="paragraph" w:styleId="StandardWeb">
    <w:name w:val="Normal (Web)"/>
    <w:basedOn w:val="Standard"/>
    <w:rsid w:val="00DA7ED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F96A2E"/>
    <w:rPr>
      <w:color w:val="0000FF"/>
      <w:u w:val="single"/>
    </w:rPr>
  </w:style>
  <w:style w:type="character" w:customStyle="1" w:styleId="Absatz0Zchn">
    <w:name w:val="Absatz 0 Zchn"/>
    <w:link w:val="Absatz0"/>
    <w:rsid w:val="00953EAE"/>
    <w:rPr>
      <w:rFonts w:ascii="Arial" w:hAnsi="Arial" w:cs="Arial"/>
      <w:sz w:val="22"/>
      <w:lang w:eastAsia="de-DE"/>
    </w:rPr>
  </w:style>
  <w:style w:type="paragraph" w:styleId="Listenabsatz">
    <w:name w:val="List Paragraph"/>
    <w:basedOn w:val="Standard"/>
    <w:uiPriority w:val="34"/>
    <w:qFormat/>
    <w:rsid w:val="00953EAE"/>
    <w:pPr>
      <w:ind w:left="708"/>
    </w:pPr>
  </w:style>
  <w:style w:type="character" w:customStyle="1" w:styleId="FunotentextZchn">
    <w:name w:val="Fußnotentext Zchn"/>
    <w:link w:val="Funotentext"/>
    <w:uiPriority w:val="99"/>
    <w:rsid w:val="00953EAE"/>
    <w:rPr>
      <w:rFonts w:ascii="Arial" w:hAnsi="Arial" w:cs="Arial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2F6F54"/>
    <w:rPr>
      <w:rFonts w:ascii="Arial" w:hAnsi="Arial" w:cs="Arial"/>
      <w:sz w:val="22"/>
      <w:lang w:eastAsia="de-DE"/>
    </w:rPr>
  </w:style>
  <w:style w:type="character" w:styleId="BesuchterLink">
    <w:name w:val="FollowedHyperlink"/>
    <w:basedOn w:val="Absatz-Standardschriftart"/>
    <w:semiHidden/>
    <w:unhideWhenUsed/>
    <w:rsid w:val="00BA67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sozeloixps.global.szh.loc/ix-SOZ_ELO_DM01/plugin/de.elo.ix.plugin.proxy/web/pages/startup.jsp?useSSO=true&amp;guid=(D4BEE52F-A186-83BA-8A9D-1B2FD3624B9E)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sod.intranet.stzh.ch/SODRegelwerk/Documents/Regelwerk/HAW_Auflagen_und_Kuerzungsverfahren.docx" TargetMode="Externa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sozeloixps.global.szh.loc/ix-SOZ_ELO_DM01/plugin/de.elo.ix.plugin.proxy/web/pages/startup.jsp?useSSO=true&amp;guid=(FCD97BDE-884F-7D11-69C9-9A2BE606D549)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ozeloixps.global.szh.loc/ix-SOZ_ELO_DM01/plugin/de.elo.ix.plugin.proxy/web/pages/startup.jsp?useSSO=true&amp;guid=(E486D838-03AA-4D32-346B-43A9699F2D22)" TargetMode="External"/><Relationship Id="rId20" Type="http://schemas.openxmlformats.org/officeDocument/2006/relationships/hyperlink" Target="https://sozeloixps.global.szh.loc/ix-SOZ_ELO_DM01/plugin/de.elo.ix.plugin.proxy/web/pages/startup.jsp?useSSO=true&amp;guid=(D4BEE52F-A186-83BA-8A9D-1B2FD3624B9E)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sozeloixps.global.szh.loc/ix-SOZ_ELO_DM01/plugin/de.elo.ix.plugin.proxy/web/pages/startup.jsp?useSSO=true&amp;guid=(DABDBE19-06F2-DF4F-ABEE-D94E48CC2930)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yperlink" Target="https://sozeloixps.global.szh.loc/ix-SOZ_ELO_DM01/plugin/de.elo.ix.plugin.proxy/web/pages/startup.jsp?useSSO=true&amp;guid=(DABDBE19-06F2-DF4F-ABEE-D94E48CC2930)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sozeloixps.global.szh.loc/ix-SOZ_ELO_DM01/plugin/de.elo.ix.plugin.proxy/web/pages/startup.jsp?useSSO=true&amp;guid=(D4BEE52F-A186-83BA-8A9D-1B2FD3624B9E)" TargetMode="External"/><Relationship Id="rId22" Type="http://schemas.openxmlformats.org/officeDocument/2006/relationships/hyperlink" Target="https://sozeloixps.global.szh.loc/ix-SOZ_ELO_DM01/plugin/de.elo.ix.plugin.proxy/web/pages/startup.jsp?useSSO=true&amp;guid=(A679B6A9-4C77-A549-CDA0-E5FFEB6B6CEA)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3</Value>
    </Zu_x0020_konsultierende_x002f_-s_x0020_Fachressort_x002f_-s>
    <Version_x0020_des_x0020_Dokuments xmlns="3905ffbc-9aeb-4d51-937e-ee1e2cf00671">2.1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 xsi:nil="true"/>
    <Federführende_x002f_s_x0020_Fachressort_x002f_Einheit xmlns="f3b92940-74e1-4b32-811a-cd501d17ae23">3</Federführende_x002f_s_x0020_Fachressort_x002f_Einheit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3</Value>
      <Value>5</Value>
    </Thematische_x0020_Zuordnung_x0020_Fachressort_x0028_s_x0029_>
    <Herausgabe_x0020_bei_x0020_Informationszugangsgesuchen xmlns="f3b92940-74e1-4b32-811a-cd501d17ae23">kann herausgegeben werden</Herausgabe_x0020_bei_x0020_Informationszugangsgesuchen>
    <SKOS-Kapitel xmlns="f3b92940-74e1-4b32-811a-cd501d17ae23">
      <Value>1</Value>
      <Value>3</Value>
    </SKOS-Kapitel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B3C5A-A116-4B1E-A9DC-F439176F3FC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118EA913-5349-4750-845F-C17400FF350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9067A0A-B3B7-40EC-882E-13DAD5ADB73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BAEA077-8152-4217-97C5-6C9EE684325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42DFAB9-B79A-4FAA-92B9-D6C4083B3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9F93241-DD68-4DC0-97F4-8695F557FD13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25f3c3a0-1ed7-46fa-91b0-e5175ac448d0"/>
    <ds:schemaRef ds:uri="http://www.w3.org/XML/1998/namespace"/>
    <ds:schemaRef ds:uri="http://purl.org/dc/elements/1.1/"/>
    <ds:schemaRef ds:uri="http://schemas.openxmlformats.org/package/2006/metadata/core-properties"/>
    <ds:schemaRef ds:uri="f3b92940-74e1-4b32-811a-cd501d17ae23"/>
    <ds:schemaRef ds:uri="http://schemas.microsoft.com/office/infopath/2007/PartnerControls"/>
    <ds:schemaRef ds:uri="3905ffbc-9aeb-4d51-937e-ee1e2cf00671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9C3E3813-AC91-4A4D-AA41-B7AE7666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1182</Words>
  <Characters>8376</Characters>
  <Application>Microsoft Office Word</Application>
  <DocSecurity>0</DocSecurity>
  <Lines>166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Ausserordentliche Unterstützungen</vt:lpstr>
    </vt:vector>
  </TitlesOfParts>
  <Company>Soziale Dienste Stadt Zürich</Company>
  <LinksUpToDate>false</LinksUpToDate>
  <CharactersWithSpaces>9517</CharactersWithSpaces>
  <SharedDoc>false</SharedDoc>
  <HLinks>
    <vt:vector size="12" baseType="variant">
      <vt:variant>
        <vt:i4>851977</vt:i4>
      </vt:variant>
      <vt:variant>
        <vt:i4>3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http://sd.intra.stzh.ch/intranet/sd/sod/leistungen_intake/wirtschaftliche_sozialhilfe/skos_c_1.html</vt:lpwstr>
      </vt:variant>
      <vt:variant>
        <vt:lpwstr/>
      </vt:variant>
      <vt:variant>
        <vt:i4>4063318</vt:i4>
      </vt:variant>
      <vt:variant>
        <vt:i4>0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Berufliche und Soziale Integration (BUSI) - Teillohn</dc:title>
  <dc:creator>sozhah</dc:creator>
  <cp:lastModifiedBy>Raffaela de Vries (sozdvr)</cp:lastModifiedBy>
  <cp:revision>11</cp:revision>
  <cp:lastPrinted>2018-01-26T13:05:00Z</cp:lastPrinted>
  <dcterms:created xsi:type="dcterms:W3CDTF">2021-06-18T07:07:00Z</dcterms:created>
  <dcterms:modified xsi:type="dcterms:W3CDTF">2022-10-13T16:25:00Z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0x01010012DCBF5558F0D14AB1FD168DE6C7A40C001A41868E0DB22F429CCA78D2232A6A57</vt:lpwstr>
  </property>
  <property fmtid="{D5CDD505-2E9C-101B-9397-08002B2CF9AE}" pid="3" name="Bemerkungen">
    <vt:lpwstr/>
  </property>
  <property fmtid="{D5CDD505-2E9C-101B-9397-08002B2CF9AE}" pid="4" name="Intranetverlinkung">
    <vt:lpwstr>Nein</vt:lpwstr>
  </property>
  <property fmtid="{D5CDD505-2E9C-101B-9397-08002B2CF9AE}" pid="5" name="PublishingContact">
    <vt:lpwstr/>
  </property>
  <property fmtid="{D5CDD505-2E9C-101B-9397-08002B2CF9AE}" pid="6" name="1. Verschlagwortung durch">
    <vt:lpwstr/>
  </property>
  <property fmtid="{D5CDD505-2E9C-101B-9397-08002B2CF9AE}" pid="7" name="Datum 1. Verschlagwortung">
    <vt:lpwstr/>
  </property>
  <property fmtid="{D5CDD505-2E9C-101B-9397-08002B2CF9AE}" pid="8" name="Datum 2. Verschlagwortung">
    <vt:lpwstr/>
  </property>
  <property fmtid="{D5CDD505-2E9C-101B-9397-08002B2CF9AE}" pid="9" name="Strategisch verantwortlich">
    <vt:lpwstr/>
  </property>
  <property fmtid="{D5CDD505-2E9C-101B-9397-08002B2CF9AE}" pid="10" name="Document Owner">
    <vt:lpwstr/>
  </property>
  <property fmtid="{D5CDD505-2E9C-101B-9397-08002B2CF9AE}" pid="11" name="2. Verschlagwortung durch">
    <vt:lpwstr/>
  </property>
  <property fmtid="{D5CDD505-2E9C-101B-9397-08002B2CF9AE}" pid="12" name="Inhaltliche Verknüpfungen">
    <vt:lpwstr/>
  </property>
  <property fmtid="{D5CDD505-2E9C-101B-9397-08002B2CF9AE}" pid="13" name="Spezialdienste">
    <vt:lpwstr/>
  </property>
  <property fmtid="{D5CDD505-2E9C-101B-9397-08002B2CF9AE}" pid="14" name="Zielgruppe(n)">
    <vt:lpwstr/>
  </property>
  <property fmtid="{D5CDD505-2E9C-101B-9397-08002B2CF9AE}" pid="15" name="Thema">
    <vt:lpwstr/>
  </property>
  <property fmtid="{D5CDD505-2E9C-101B-9397-08002B2CF9AE}" pid="16" name="ContentType">
    <vt:lpwstr>SOD Handlungsanweisung (HAW)</vt:lpwstr>
  </property>
  <property fmtid="{D5CDD505-2E9C-101B-9397-08002B2CF9AE}" pid="17" name="display_urn:schemas-microsoft-com:office:office#Editor">
    <vt:lpwstr>Schmid Christine (SD)</vt:lpwstr>
  </property>
  <property fmtid="{D5CDD505-2E9C-101B-9397-08002B2CF9AE}" pid="18" name="TemplateUrl">
    <vt:lpwstr/>
  </property>
  <property fmtid="{D5CDD505-2E9C-101B-9397-08002B2CF9AE}" pid="19" name="Order">
    <vt:r8>31300</vt:r8>
  </property>
  <property fmtid="{D5CDD505-2E9C-101B-9397-08002B2CF9AE}" pid="20" name="xd_ProgID">
    <vt:lpwstr/>
  </property>
  <property fmtid="{D5CDD505-2E9C-101B-9397-08002B2CF9AE}" pid="21" name="display_urn:schemas-microsoft-com:office:office#Author">
    <vt:lpwstr>Hohermuth Ivo (SD)</vt:lpwstr>
  </property>
  <property fmtid="{D5CDD505-2E9C-101B-9397-08002B2CF9AE}" pid="22" name="_dlc_DocId">
    <vt:lpwstr>SDSOD-119-437</vt:lpwstr>
  </property>
  <property fmtid="{D5CDD505-2E9C-101B-9397-08002B2CF9AE}" pid="23" name="_dlc_DocIdItemGuid">
    <vt:lpwstr>e99f2557-7f63-41aa-a2ca-2b5899cda236</vt:lpwstr>
  </property>
  <property fmtid="{D5CDD505-2E9C-101B-9397-08002B2CF9AE}" pid="24" name="_dlc_DocIdUrl">
    <vt:lpwstr>http://portal.sd.intra.stzh.ch/sod/regelwerk/_layouts/DocIdRedir.aspx?ID=SDSOD-119-437, SDSOD-119-437</vt:lpwstr>
  </property>
  <property fmtid="{D5CDD505-2E9C-101B-9397-08002B2CF9AE}" pid="25" name="WorkflowChangePath">
    <vt:lpwstr>52675646-02d6-422a-bf6f-0a8dd6281eff,6;52675646-02d6-422a-bf6f-0a8dd6281eff,8;52675646-02d6-422a-bf6f-0a8dd6281eff,10;0d2b39e8-dd18-4502-a924-40335b5a9ad4,12;0d2b39e8-dd18-4502-a924-40335b5a9ad4,14;1dbebda2-0151-441b-bad0-3a4bc52a6e32,7;7dbe9e3d-1110-41fa</vt:lpwstr>
  </property>
  <property fmtid="{D5CDD505-2E9C-101B-9397-08002B2CF9AE}" pid="26" name="TaskStatus">
    <vt:lpwstr>Abgeschlossen</vt:lpwstr>
  </property>
  <property fmtid="{D5CDD505-2E9C-101B-9397-08002B2CF9AE}" pid="27" name="Bemerkungen für SOD Kommunikation">
    <vt:lpwstr/>
  </property>
  <property fmtid="{D5CDD505-2E9C-101B-9397-08002B2CF9AE}" pid="28" name="Überarbeitung nötig">
    <vt:lpwstr>Nein</vt:lpwstr>
  </property>
  <property fmtid="{D5CDD505-2E9C-101B-9397-08002B2CF9AE}" pid="29" name="Priorität Überarbeitung">
    <vt:lpwstr/>
  </property>
  <property fmtid="{D5CDD505-2E9C-101B-9397-08002B2CF9AE}" pid="30" name="Zuständigkeit Verschlagwortung">
    <vt:lpwstr>154</vt:lpwstr>
  </property>
  <property fmtid="{D5CDD505-2E9C-101B-9397-08002B2CF9AE}" pid="31" name="display_urn:schemas-microsoft-com:office:office#Zust_x00e4_ndigkeit_x0020_Verschlagwortung">
    <vt:lpwstr>Hauser Thomas (SD)</vt:lpwstr>
  </property>
  <property fmtid="{D5CDD505-2E9C-101B-9397-08002B2CF9AE}" pid="32" name="Federführendes Fachressort">
    <vt:lpwstr>Wirtschaftliche Hilfe</vt:lpwstr>
  </property>
  <property fmtid="{D5CDD505-2E9C-101B-9397-08002B2CF9AE}" pid="33" name="Dokumentenart0">
    <vt:lpwstr>2</vt:lpwstr>
  </property>
  <property fmtid="{D5CDD505-2E9C-101B-9397-08002B2CF9AE}" pid="34" name="Kontaktperson für SOD KOM">
    <vt:lpwstr>6;#i:0#.w|global\sozhhi</vt:lpwstr>
  </property>
  <property fmtid="{D5CDD505-2E9C-101B-9397-08002B2CF9AE}" pid="35" name="IntraZueriMandant">
    <vt:lpwstr>1;#SOD|d2ca4cc4-367d-4a9a-a3b2-38906409b4ae</vt:lpwstr>
  </property>
  <property fmtid="{D5CDD505-2E9C-101B-9397-08002B2CF9AE}" pid="36" name="Federführende/s Fachressort/Einheit">
    <vt:lpwstr>3</vt:lpwstr>
  </property>
  <property fmtid="{D5CDD505-2E9C-101B-9397-08002B2CF9AE}" pid="37" name="3. Ebene">
    <vt:lpwstr/>
  </property>
  <property fmtid="{D5CDD505-2E9C-101B-9397-08002B2CF9AE}" pid="38" name="5. Ebene">
    <vt:lpwstr/>
  </property>
  <property fmtid="{D5CDD505-2E9C-101B-9397-08002B2CF9AE}" pid="39" name="PublishingHidden">
    <vt:lpwstr>0</vt:lpwstr>
  </property>
  <property fmtid="{D5CDD505-2E9C-101B-9397-08002B2CF9AE}" pid="40" name="Fachkonzept">
    <vt:lpwstr>9</vt:lpwstr>
  </property>
  <property fmtid="{D5CDD505-2E9C-101B-9397-08002B2CF9AE}" pid="41" name="Link Ablageort im Intranet SOD">
    <vt:lpwstr/>
  </property>
  <property fmtid="{D5CDD505-2E9C-101B-9397-08002B2CF9AE}" pid="42" name="Leistung">
    <vt:lpwstr>8</vt:lpwstr>
  </property>
  <property fmtid="{D5CDD505-2E9C-101B-9397-08002B2CF9AE}" pid="43" name="Fachressorts">
    <vt:lpwstr>5;#Wirtschaftliche Hilfe</vt:lpwstr>
  </property>
  <property fmtid="{D5CDD505-2E9C-101B-9397-08002B2CF9AE}" pid="44" name="PublishingAssociatedVariations">
    <vt:lpwstr/>
  </property>
  <property fmtid="{D5CDD505-2E9C-101B-9397-08002B2CF9AE}" pid="45" name="CMS-Medienbiblithek">
    <vt:lpwstr>0</vt:lpwstr>
  </property>
  <property fmtid="{D5CDD505-2E9C-101B-9397-08002B2CF9AE}" pid="46" name="Thematische Zuordnung Fachressort(s)">
    <vt:lpwstr>5;#;#3;#</vt:lpwstr>
  </property>
  <property fmtid="{D5CDD505-2E9C-101B-9397-08002B2CF9AE}" pid="47" name="2. Ebene">
    <vt:lpwstr/>
  </property>
  <property fmtid="{D5CDD505-2E9C-101B-9397-08002B2CF9AE}" pid="48" name="Dokumentenart">
    <vt:lpwstr>HAW Handlungsanweisung</vt:lpwstr>
  </property>
  <property fmtid="{D5CDD505-2E9C-101B-9397-08002B2CF9AE}" pid="49" name="AutorIn">
    <vt:lpwstr/>
  </property>
  <property fmtid="{D5CDD505-2E9C-101B-9397-08002B2CF9AE}" pid="50" name="4. Ebene">
    <vt:lpwstr/>
  </property>
  <property fmtid="{D5CDD505-2E9C-101B-9397-08002B2CF9AE}" pid="51" name="PublishingAssociatedContentType">
    <vt:lpwstr/>
  </property>
  <property fmtid="{D5CDD505-2E9C-101B-9397-08002B2CF9AE}" pid="52" name="SKOS Kapitel">
    <vt:lpwstr>1;#A</vt:lpwstr>
  </property>
  <property fmtid="{D5CDD505-2E9C-101B-9397-08002B2CF9AE}" pid="53" name="1. Ebene">
    <vt:lpwstr/>
  </property>
  <property fmtid="{D5CDD505-2E9C-101B-9397-08002B2CF9AE}" pid="54" name="Herausgabe bei Informationszugangsgesuchen">
    <vt:lpwstr>kann herausgegeben werden</vt:lpwstr>
  </property>
  <property fmtid="{D5CDD505-2E9C-101B-9397-08002B2CF9AE}" pid="55" name="PublishingPreviewImage">
    <vt:lpwstr/>
  </property>
  <property fmtid="{D5CDD505-2E9C-101B-9397-08002B2CF9AE}" pid="56" name="SKOS-Kapitel">
    <vt:lpwstr>1;#</vt:lpwstr>
  </property>
</Properties>
</file>