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9E6828" w:rsidRPr="009903A3" w14:paraId="0CB8DF7E" w14:textId="77777777" w:rsidTr="0041388B">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14F1F954" w14:textId="77777777" w:rsidR="009E6828" w:rsidRPr="009903A3" w:rsidRDefault="009E6828" w:rsidP="0041388B">
            <w:pPr>
              <w:pStyle w:val="WeisungKopfteil"/>
              <w:framePr w:hSpace="0" w:wrap="auto" w:vAnchor="margin" w:hAnchor="text" w:xAlign="left" w:yAlign="inline"/>
              <w:spacing w:after="0"/>
              <w:rPr>
                <w:b w:val="0"/>
                <w:bCs/>
                <w:sz w:val="20"/>
              </w:rPr>
            </w:pPr>
            <w:r w:rsidRPr="009903A3">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21F6D998" w14:textId="77777777" w:rsidR="009E6828" w:rsidRPr="009903A3" w:rsidRDefault="009E6828" w:rsidP="0041388B">
            <w:pPr>
              <w:pStyle w:val="WeisungKopfteil"/>
              <w:framePr w:hSpace="0" w:wrap="auto" w:vAnchor="margin" w:hAnchor="text" w:xAlign="left" w:yAlign="inline"/>
              <w:spacing w:after="0"/>
              <w:jc w:val="center"/>
              <w:rPr>
                <w:szCs w:val="22"/>
              </w:rPr>
            </w:pPr>
            <w:r w:rsidRPr="009903A3">
              <w:rPr>
                <w:szCs w:val="22"/>
              </w:rPr>
              <w:t xml:space="preserve">Handlungsanweisung </w:t>
            </w:r>
            <w:r>
              <w:rPr>
                <w:szCs w:val="22"/>
              </w:rPr>
              <w:t>des Direktors</w:t>
            </w:r>
            <w:r w:rsidRPr="009903A3">
              <w:rPr>
                <w:szCs w:val="22"/>
              </w:rPr>
              <w:t xml:space="preserve"> </w:t>
            </w:r>
          </w:p>
        </w:tc>
        <w:tc>
          <w:tcPr>
            <w:tcW w:w="2414" w:type="dxa"/>
            <w:tcBorders>
              <w:top w:val="single" w:sz="4" w:space="0" w:color="808080"/>
              <w:left w:val="single" w:sz="6" w:space="0" w:color="808080"/>
              <w:bottom w:val="nil"/>
              <w:right w:val="single" w:sz="4" w:space="0" w:color="808080"/>
            </w:tcBorders>
            <w:shd w:val="clear" w:color="auto" w:fill="F3F3F3"/>
          </w:tcPr>
          <w:p w14:paraId="16065A0A" w14:textId="77777777" w:rsidR="009E6828" w:rsidRPr="009903A3" w:rsidRDefault="009E6828" w:rsidP="0041388B">
            <w:pPr>
              <w:pStyle w:val="WeisungKopfteil"/>
              <w:framePr w:hSpace="0" w:wrap="auto" w:vAnchor="margin" w:hAnchor="text" w:xAlign="left" w:yAlign="inline"/>
              <w:spacing w:after="0"/>
              <w:ind w:right="45"/>
              <w:jc w:val="right"/>
              <w:rPr>
                <w:b w:val="0"/>
                <w:bCs/>
                <w:sz w:val="20"/>
              </w:rPr>
            </w:pPr>
            <w:r w:rsidRPr="009903A3">
              <w:fldChar w:fldCharType="begin">
                <w:ffData>
                  <w:name w:val="Dropdown1"/>
                  <w:enabled/>
                  <w:calcOnExit w:val="0"/>
                  <w:ddList>
                    <w:listEntry w:val="Gültig ab:"/>
                    <w:listEntry w:val="Datum:"/>
                  </w:ddList>
                </w:ffData>
              </w:fldChar>
            </w:r>
            <w:bookmarkStart w:id="0" w:name="Dropdown1"/>
            <w:r w:rsidRPr="009903A3">
              <w:instrText xml:space="preserve"> FORMDROPDOWN </w:instrText>
            </w:r>
            <w:r w:rsidR="00DF6178">
              <w:fldChar w:fldCharType="separate"/>
            </w:r>
            <w:r w:rsidRPr="009903A3">
              <w:fldChar w:fldCharType="end"/>
            </w:r>
            <w:bookmarkEnd w:id="0"/>
            <w:r w:rsidRPr="009903A3">
              <w:t xml:space="preserve"> </w:t>
            </w:r>
          </w:p>
        </w:tc>
      </w:tr>
      <w:tr w:rsidR="009E6828" w:rsidRPr="00FB0844" w14:paraId="684C3CBD" w14:textId="77777777" w:rsidTr="0041388B">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B629E8B" w14:textId="77777777" w:rsidR="009E6828" w:rsidRPr="00FB0844" w:rsidRDefault="009E6828" w:rsidP="0041388B">
            <w:pPr>
              <w:pStyle w:val="WeisungKopfteil"/>
              <w:framePr w:hSpace="0" w:wrap="auto" w:vAnchor="margin" w:hAnchor="text" w:xAlign="left" w:yAlign="inline"/>
              <w:spacing w:before="0" w:after="0"/>
              <w:rPr>
                <w:b w:val="0"/>
                <w:bCs/>
                <w:sz w:val="20"/>
                <w:lang w:val="en-US"/>
              </w:rPr>
            </w:pPr>
            <w:r w:rsidRPr="00FB0844">
              <w:rPr>
                <w:b w:val="0"/>
                <w:bCs/>
                <w:sz w:val="20"/>
                <w:lang w:val="en-US"/>
              </w:rPr>
              <w:t>SKOS A</w:t>
            </w:r>
          </w:p>
          <w:p w14:paraId="01691610" w14:textId="77777777" w:rsidR="009E6828" w:rsidRPr="00FB0844" w:rsidRDefault="009E6828" w:rsidP="0041388B">
            <w:pPr>
              <w:pStyle w:val="WeisungKopfteil"/>
              <w:framePr w:hSpace="0" w:wrap="auto" w:vAnchor="margin" w:hAnchor="text" w:xAlign="left" w:yAlign="inline"/>
              <w:spacing w:before="0" w:after="0"/>
              <w:rPr>
                <w:b w:val="0"/>
                <w:bCs/>
                <w:sz w:val="20"/>
                <w:lang w:val="en-US"/>
              </w:rPr>
            </w:pPr>
            <w:r w:rsidRPr="00FB0844">
              <w:rPr>
                <w:b w:val="0"/>
                <w:bCs/>
                <w:sz w:val="20"/>
                <w:lang w:val="en-US"/>
              </w:rPr>
              <w:t>SKOS B</w:t>
            </w:r>
          </w:p>
          <w:p w14:paraId="378015F1" w14:textId="77777777" w:rsidR="009E6828" w:rsidRPr="00FB0844" w:rsidRDefault="009E6828" w:rsidP="0041388B">
            <w:pPr>
              <w:pStyle w:val="WeisungKopfteil"/>
              <w:framePr w:hSpace="0" w:wrap="auto" w:vAnchor="margin" w:hAnchor="text" w:xAlign="left" w:yAlign="inline"/>
              <w:spacing w:before="0" w:after="0"/>
              <w:rPr>
                <w:b w:val="0"/>
                <w:bCs/>
                <w:sz w:val="20"/>
                <w:lang w:val="en-US"/>
              </w:rPr>
            </w:pPr>
            <w:r w:rsidRPr="00FB0844">
              <w:rPr>
                <w:b w:val="0"/>
                <w:bCs/>
                <w:sz w:val="20"/>
                <w:lang w:val="en-US"/>
              </w:rPr>
              <w:t>SKOS C</w:t>
            </w:r>
          </w:p>
        </w:tc>
        <w:tc>
          <w:tcPr>
            <w:tcW w:w="4453" w:type="dxa"/>
            <w:vMerge/>
            <w:tcBorders>
              <w:left w:val="single" w:sz="6" w:space="0" w:color="808080"/>
              <w:bottom w:val="single" w:sz="6" w:space="0" w:color="808080"/>
              <w:right w:val="single" w:sz="6" w:space="0" w:color="808080"/>
            </w:tcBorders>
            <w:shd w:val="clear" w:color="auto" w:fill="F3F3F3"/>
          </w:tcPr>
          <w:p w14:paraId="47D685E2" w14:textId="77777777" w:rsidR="009E6828" w:rsidRPr="00FB0844" w:rsidRDefault="009E6828" w:rsidP="0041388B">
            <w:pPr>
              <w:pStyle w:val="WeisungKopfteil"/>
              <w:framePr w:hSpace="0" w:wrap="auto" w:vAnchor="margin" w:hAnchor="text" w:xAlign="left" w:yAlign="inline"/>
              <w:spacing w:after="0"/>
              <w:jc w:val="center"/>
              <w:rPr>
                <w:lang w:val="en-US"/>
              </w:rPr>
            </w:pPr>
          </w:p>
        </w:tc>
        <w:tc>
          <w:tcPr>
            <w:tcW w:w="2414" w:type="dxa"/>
            <w:tcBorders>
              <w:top w:val="nil"/>
              <w:left w:val="single" w:sz="6" w:space="0" w:color="808080"/>
              <w:bottom w:val="single" w:sz="6" w:space="0" w:color="808080"/>
              <w:right w:val="single" w:sz="4" w:space="0" w:color="808080"/>
            </w:tcBorders>
            <w:shd w:val="clear" w:color="auto" w:fill="F3F3F3"/>
          </w:tcPr>
          <w:p w14:paraId="0BDB1169" w14:textId="04E123DA" w:rsidR="009E6828" w:rsidRPr="00FB0844" w:rsidRDefault="00DF6178" w:rsidP="0041388B">
            <w:pPr>
              <w:pStyle w:val="WeisungKopfteil"/>
              <w:framePr w:hSpace="0" w:wrap="auto" w:vAnchor="margin" w:hAnchor="text" w:xAlign="left" w:yAlign="inline"/>
              <w:spacing w:before="0" w:after="0"/>
              <w:ind w:right="45"/>
              <w:jc w:val="right"/>
              <w:rPr>
                <w:b w:val="0"/>
                <w:bCs/>
                <w:sz w:val="20"/>
              </w:rPr>
            </w:pPr>
            <w:r>
              <w:rPr>
                <w:b w:val="0"/>
                <w:bCs/>
                <w:sz w:val="20"/>
                <w:highlight w:val="yellow"/>
              </w:rPr>
              <w:t>01.04</w:t>
            </w:r>
            <w:bookmarkStart w:id="1" w:name="_GoBack"/>
            <w:bookmarkEnd w:id="1"/>
            <w:r w:rsidR="009E6828" w:rsidRPr="001D34C4">
              <w:rPr>
                <w:b w:val="0"/>
                <w:bCs/>
                <w:sz w:val="20"/>
                <w:highlight w:val="yellow"/>
              </w:rPr>
              <w:t>.202</w:t>
            </w:r>
            <w:r w:rsidR="001D34C4" w:rsidRPr="001D34C4">
              <w:rPr>
                <w:b w:val="0"/>
                <w:bCs/>
                <w:sz w:val="20"/>
                <w:highlight w:val="yellow"/>
              </w:rPr>
              <w:t>3</w:t>
            </w:r>
          </w:p>
          <w:p w14:paraId="6E37A89B" w14:textId="51D63EBE" w:rsidR="009E6828" w:rsidRPr="00FB0844" w:rsidRDefault="009E6828" w:rsidP="001D34C4">
            <w:pPr>
              <w:pStyle w:val="WeisungKopfteil"/>
              <w:framePr w:hSpace="0" w:wrap="auto" w:vAnchor="margin" w:hAnchor="text" w:xAlign="left" w:yAlign="inline"/>
              <w:spacing w:before="0" w:after="0"/>
              <w:ind w:right="45"/>
              <w:jc w:val="right"/>
              <w:rPr>
                <w:b w:val="0"/>
                <w:bCs/>
                <w:sz w:val="20"/>
              </w:rPr>
            </w:pPr>
            <w:r w:rsidRPr="00FB0844">
              <w:rPr>
                <w:b w:val="0"/>
                <w:bCs/>
                <w:sz w:val="20"/>
              </w:rPr>
              <w:t>ersetzt 01.02.202</w:t>
            </w:r>
            <w:r w:rsidR="001D34C4">
              <w:rPr>
                <w:b w:val="0"/>
                <w:bCs/>
                <w:sz w:val="20"/>
              </w:rPr>
              <w:t>2</w:t>
            </w:r>
          </w:p>
        </w:tc>
      </w:tr>
      <w:tr w:rsidR="009E6828" w:rsidRPr="00FB0844" w14:paraId="0A6462E5" w14:textId="77777777" w:rsidTr="0041388B">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4FC3175E" w14:textId="77777777" w:rsidR="009E6828" w:rsidRPr="00FB0844" w:rsidRDefault="009E6828" w:rsidP="0041388B">
            <w:pPr>
              <w:pStyle w:val="WeisungKopfteil"/>
              <w:framePr w:hSpace="0" w:wrap="auto" w:vAnchor="margin" w:hAnchor="text" w:xAlign="left" w:yAlign="inline"/>
            </w:pPr>
            <w:r w:rsidRPr="00FB0844">
              <w:t>Berufliche und Soziale Integration (BUSI) – Zielgruppenspezifische Angebote und Zielgruppenwechsel</w:t>
            </w:r>
          </w:p>
        </w:tc>
      </w:tr>
    </w:tbl>
    <w:p w14:paraId="48329454" w14:textId="77777777" w:rsidR="009E6828" w:rsidRPr="00FB0844" w:rsidRDefault="009E6828" w:rsidP="009E6828">
      <w:pPr>
        <w:pStyle w:val="Absatz0"/>
      </w:pPr>
    </w:p>
    <w:p w14:paraId="577129A4" w14:textId="77777777" w:rsidR="009E6828" w:rsidRPr="00FB0844" w:rsidRDefault="009E6828" w:rsidP="009E6828">
      <w:pPr>
        <w:pStyle w:val="berschrift2"/>
        <w:numPr>
          <w:ilvl w:val="0"/>
          <w:numId w:val="0"/>
        </w:numPr>
        <w:spacing w:after="240"/>
        <w:ind w:left="709" w:hanging="709"/>
        <w:rPr>
          <w:noProof/>
        </w:rPr>
      </w:pPr>
      <w:bookmarkStart w:id="2" w:name="_Toc492571284"/>
      <w:bookmarkStart w:id="3" w:name="_Toc102139461"/>
      <w:bookmarkStart w:id="4" w:name="_Toc102149978"/>
      <w:r w:rsidRPr="00FB0844">
        <w:t>Inhalte</w:t>
      </w:r>
      <w:bookmarkEnd w:id="2"/>
      <w:bookmarkEnd w:id="3"/>
      <w:bookmarkEnd w:id="4"/>
      <w:r w:rsidRPr="00FB0844">
        <w:rPr>
          <w:smallCaps/>
        </w:rPr>
        <w:fldChar w:fldCharType="begin"/>
      </w:r>
      <w:r w:rsidRPr="00FB0844">
        <w:instrText xml:space="preserve"> TOC \o "1-3" \h \z \u </w:instrText>
      </w:r>
      <w:r w:rsidRPr="00FB0844">
        <w:rPr>
          <w:smallCaps/>
        </w:rPr>
        <w:fldChar w:fldCharType="separate"/>
      </w:r>
    </w:p>
    <w:p w14:paraId="2B574B3A"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79" w:history="1">
        <w:r w:rsidR="009E6828" w:rsidRPr="00FB0844">
          <w:rPr>
            <w:rStyle w:val="Hyperlink"/>
            <w:noProof/>
          </w:rPr>
          <w:t>1</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Grundsatz</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_Toc102149979 \h </w:instrText>
        </w:r>
        <w:r w:rsidR="009E6828" w:rsidRPr="00FB0844">
          <w:rPr>
            <w:noProof/>
            <w:webHidden/>
          </w:rPr>
        </w:r>
        <w:r w:rsidR="009E6828" w:rsidRPr="00FB0844">
          <w:rPr>
            <w:noProof/>
            <w:webHidden/>
          </w:rPr>
          <w:fldChar w:fldCharType="separate"/>
        </w:r>
        <w:r w:rsidR="009E6828" w:rsidRPr="00FB0844">
          <w:rPr>
            <w:noProof/>
            <w:webHidden/>
          </w:rPr>
          <w:t>1</w:t>
        </w:r>
        <w:r w:rsidR="009E6828" w:rsidRPr="00FB0844">
          <w:rPr>
            <w:noProof/>
            <w:webHidden/>
          </w:rPr>
          <w:fldChar w:fldCharType="end"/>
        </w:r>
      </w:hyperlink>
    </w:p>
    <w:p w14:paraId="4EEDB0F5"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0" w:history="1">
        <w:r w:rsidR="009E6828" w:rsidRPr="00FB0844">
          <w:rPr>
            <w:rStyle w:val="Hyperlink"/>
            <w:noProof/>
          </w:rPr>
          <w:t>2</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Psychosoziale Beratung und Motivationsarbeit</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_Toc102149980 \h </w:instrText>
        </w:r>
        <w:r w:rsidR="009E6828" w:rsidRPr="00FB0844">
          <w:rPr>
            <w:noProof/>
            <w:webHidden/>
          </w:rPr>
        </w:r>
        <w:r w:rsidR="009E6828" w:rsidRPr="00FB0844">
          <w:rPr>
            <w:noProof/>
            <w:webHidden/>
          </w:rPr>
          <w:fldChar w:fldCharType="separate"/>
        </w:r>
        <w:r w:rsidR="009E6828" w:rsidRPr="00FB0844">
          <w:rPr>
            <w:noProof/>
            <w:webHidden/>
          </w:rPr>
          <w:t>2</w:t>
        </w:r>
        <w:r w:rsidR="009E6828" w:rsidRPr="00FB0844">
          <w:rPr>
            <w:noProof/>
            <w:webHidden/>
          </w:rPr>
          <w:fldChar w:fldCharType="end"/>
        </w:r>
      </w:hyperlink>
    </w:p>
    <w:p w14:paraId="0FAA8C63"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1" w:history="1">
        <w:r w:rsidR="009E6828" w:rsidRPr="00FB0844">
          <w:rPr>
            <w:rStyle w:val="Hyperlink"/>
            <w:noProof/>
          </w:rPr>
          <w:t>3</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Grundangebot</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_Toc102149981 \h </w:instrText>
        </w:r>
        <w:r w:rsidR="009E6828" w:rsidRPr="00FB0844">
          <w:rPr>
            <w:noProof/>
            <w:webHidden/>
          </w:rPr>
        </w:r>
        <w:r w:rsidR="009E6828" w:rsidRPr="00FB0844">
          <w:rPr>
            <w:noProof/>
            <w:webHidden/>
          </w:rPr>
          <w:fldChar w:fldCharType="separate"/>
        </w:r>
        <w:r w:rsidR="009E6828" w:rsidRPr="00FB0844">
          <w:rPr>
            <w:noProof/>
            <w:webHidden/>
          </w:rPr>
          <w:t>2</w:t>
        </w:r>
        <w:r w:rsidR="009E6828" w:rsidRPr="00FB0844">
          <w:rPr>
            <w:noProof/>
            <w:webHidden/>
          </w:rPr>
          <w:fldChar w:fldCharType="end"/>
        </w:r>
      </w:hyperlink>
    </w:p>
    <w:p w14:paraId="1CD85C3A"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2" w:history="1">
        <w:r w:rsidR="009E6828" w:rsidRPr="00FB0844">
          <w:rPr>
            <w:rStyle w:val="Hyperlink"/>
            <w:noProof/>
          </w:rPr>
          <w:t>4</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Zielgruppenspezifische Bildung in (qualifizierenden) Zusatzmodulen</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_Toc102149982 \h </w:instrText>
        </w:r>
        <w:r w:rsidR="009E6828" w:rsidRPr="00FB0844">
          <w:rPr>
            <w:noProof/>
            <w:webHidden/>
          </w:rPr>
        </w:r>
        <w:r w:rsidR="009E6828" w:rsidRPr="00FB0844">
          <w:rPr>
            <w:noProof/>
            <w:webHidden/>
          </w:rPr>
          <w:fldChar w:fldCharType="separate"/>
        </w:r>
        <w:r w:rsidR="009E6828" w:rsidRPr="00FB0844">
          <w:rPr>
            <w:noProof/>
            <w:webHidden/>
          </w:rPr>
          <w:t>3</w:t>
        </w:r>
        <w:r w:rsidR="009E6828" w:rsidRPr="00FB0844">
          <w:rPr>
            <w:noProof/>
            <w:webHidden/>
          </w:rPr>
          <w:fldChar w:fldCharType="end"/>
        </w:r>
      </w:hyperlink>
    </w:p>
    <w:p w14:paraId="3356E1A1"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3" w:history="1">
        <w:r w:rsidR="009E6828" w:rsidRPr="00FB0844">
          <w:rPr>
            <w:rStyle w:val="Hyperlink"/>
            <w:noProof/>
          </w:rPr>
          <w:t>5</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Unterstützung bei der Stellensuche</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_Toc102149983 \h </w:instrText>
        </w:r>
        <w:r w:rsidR="009E6828" w:rsidRPr="00FB0844">
          <w:rPr>
            <w:noProof/>
            <w:webHidden/>
          </w:rPr>
        </w:r>
        <w:r w:rsidR="009E6828" w:rsidRPr="00FB0844">
          <w:rPr>
            <w:noProof/>
            <w:webHidden/>
          </w:rPr>
          <w:fldChar w:fldCharType="separate"/>
        </w:r>
        <w:r w:rsidR="009E6828" w:rsidRPr="00FB0844">
          <w:rPr>
            <w:noProof/>
            <w:webHidden/>
          </w:rPr>
          <w:t>3</w:t>
        </w:r>
        <w:r w:rsidR="009E6828" w:rsidRPr="00FB0844">
          <w:rPr>
            <w:noProof/>
            <w:webHidden/>
          </w:rPr>
          <w:fldChar w:fldCharType="end"/>
        </w:r>
      </w:hyperlink>
    </w:p>
    <w:p w14:paraId="271ABF0C"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4" w:history="1">
        <w:r w:rsidR="009E6828" w:rsidRPr="00FB0844">
          <w:rPr>
            <w:rStyle w:val="Hyperlink"/>
            <w:noProof/>
          </w:rPr>
          <w:t>6</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Übersicht zielgruppenspezifische Angebotspalette</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_Toc102149984 \h </w:instrText>
        </w:r>
        <w:r w:rsidR="009E6828" w:rsidRPr="00FB0844">
          <w:rPr>
            <w:noProof/>
            <w:webHidden/>
          </w:rPr>
        </w:r>
        <w:r w:rsidR="009E6828" w:rsidRPr="00FB0844">
          <w:rPr>
            <w:noProof/>
            <w:webHidden/>
          </w:rPr>
          <w:fldChar w:fldCharType="separate"/>
        </w:r>
        <w:r w:rsidR="009E6828" w:rsidRPr="00FB0844">
          <w:rPr>
            <w:noProof/>
            <w:webHidden/>
          </w:rPr>
          <w:t>4</w:t>
        </w:r>
        <w:r w:rsidR="009E6828" w:rsidRPr="00FB0844">
          <w:rPr>
            <w:noProof/>
            <w:webHidden/>
          </w:rPr>
          <w:fldChar w:fldCharType="end"/>
        </w:r>
      </w:hyperlink>
    </w:p>
    <w:p w14:paraId="481FF5DE"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5" w:history="1">
        <w:r w:rsidR="009E6828" w:rsidRPr="00FB0844">
          <w:rPr>
            <w:rStyle w:val="Hyperlink"/>
            <w:noProof/>
          </w:rPr>
          <w:t>7</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Zielgruppenspezifische Standortgespräche</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_Toc102149985 \h </w:instrText>
        </w:r>
        <w:r w:rsidR="009E6828" w:rsidRPr="00FB0844">
          <w:rPr>
            <w:noProof/>
            <w:webHidden/>
          </w:rPr>
        </w:r>
        <w:r w:rsidR="009E6828" w:rsidRPr="00FB0844">
          <w:rPr>
            <w:noProof/>
            <w:webHidden/>
          </w:rPr>
          <w:fldChar w:fldCharType="separate"/>
        </w:r>
        <w:r w:rsidR="009E6828" w:rsidRPr="00FB0844">
          <w:rPr>
            <w:noProof/>
            <w:webHidden/>
          </w:rPr>
          <w:t>5</w:t>
        </w:r>
        <w:r w:rsidR="009E6828" w:rsidRPr="00FB0844">
          <w:rPr>
            <w:noProof/>
            <w:webHidden/>
          </w:rPr>
          <w:fldChar w:fldCharType="end"/>
        </w:r>
      </w:hyperlink>
    </w:p>
    <w:p w14:paraId="0D281C92"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6" w:history="1">
        <w:r w:rsidR="009E6828" w:rsidRPr="00FB0844">
          <w:rPr>
            <w:rStyle w:val="Hyperlink"/>
            <w:noProof/>
          </w:rPr>
          <w:t>8</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Zielgruppenwechsel</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_Toc102149986 \h </w:instrText>
        </w:r>
        <w:r w:rsidR="009E6828" w:rsidRPr="00FB0844">
          <w:rPr>
            <w:noProof/>
            <w:webHidden/>
          </w:rPr>
        </w:r>
        <w:r w:rsidR="009E6828" w:rsidRPr="00FB0844">
          <w:rPr>
            <w:noProof/>
            <w:webHidden/>
          </w:rPr>
          <w:fldChar w:fldCharType="separate"/>
        </w:r>
        <w:r w:rsidR="009E6828" w:rsidRPr="00FB0844">
          <w:rPr>
            <w:noProof/>
            <w:webHidden/>
          </w:rPr>
          <w:t>6</w:t>
        </w:r>
        <w:r w:rsidR="009E6828" w:rsidRPr="00FB0844">
          <w:rPr>
            <w:noProof/>
            <w:webHidden/>
          </w:rPr>
          <w:fldChar w:fldCharType="end"/>
        </w:r>
      </w:hyperlink>
    </w:p>
    <w:p w14:paraId="56DCB520" w14:textId="77777777" w:rsidR="009E6828" w:rsidRPr="00FB0844" w:rsidRDefault="00DF6178" w:rsidP="009E6828">
      <w:pPr>
        <w:pStyle w:val="Verzeichnis1"/>
        <w:rPr>
          <w:rFonts w:asciiTheme="minorHAnsi" w:eastAsiaTheme="minorEastAsia" w:hAnsiTheme="minorHAnsi" w:cstheme="minorBidi"/>
          <w:b w:val="0"/>
          <w:caps w:val="0"/>
          <w:noProof/>
          <w:szCs w:val="22"/>
          <w:lang w:eastAsia="de-CH"/>
        </w:rPr>
      </w:pPr>
      <w:hyperlink w:anchor="_Toc102149987" w:history="1">
        <w:r w:rsidR="009E6828" w:rsidRPr="00FB0844">
          <w:rPr>
            <w:rStyle w:val="Hyperlink"/>
            <w:noProof/>
          </w:rPr>
          <w:t>9</w:t>
        </w:r>
        <w:r w:rsidR="009E6828" w:rsidRPr="00FB0844">
          <w:rPr>
            <w:rFonts w:asciiTheme="minorHAnsi" w:eastAsiaTheme="minorEastAsia" w:hAnsiTheme="minorHAnsi" w:cstheme="minorBidi"/>
            <w:b w:val="0"/>
            <w:caps w:val="0"/>
            <w:noProof/>
            <w:szCs w:val="22"/>
            <w:lang w:eastAsia="de-CH"/>
          </w:rPr>
          <w:tab/>
        </w:r>
        <w:r w:rsidR="009E6828" w:rsidRPr="00FB0844">
          <w:rPr>
            <w:rStyle w:val="Hyperlink"/>
            <w:noProof/>
          </w:rPr>
          <w:t>Aus- und Wiedereintritt</w:t>
        </w:r>
        <w:r w:rsidR="009E6828" w:rsidRPr="00FB0844">
          <w:rPr>
            <w:noProof/>
            <w:webHidden/>
          </w:rPr>
          <w:tab/>
        </w:r>
        <w:r w:rsidR="009E6828" w:rsidRPr="00FB0844">
          <w:rPr>
            <w:noProof/>
            <w:webHidden/>
          </w:rPr>
          <w:fldChar w:fldCharType="begin"/>
        </w:r>
        <w:r w:rsidR="009E6828" w:rsidRPr="00FB0844">
          <w:rPr>
            <w:noProof/>
            <w:webHidden/>
          </w:rPr>
          <w:instrText xml:space="preserve"> PAGEREF _Toc102149987 \h </w:instrText>
        </w:r>
        <w:r w:rsidR="009E6828" w:rsidRPr="00FB0844">
          <w:rPr>
            <w:noProof/>
            <w:webHidden/>
          </w:rPr>
        </w:r>
        <w:r w:rsidR="009E6828" w:rsidRPr="00FB0844">
          <w:rPr>
            <w:noProof/>
            <w:webHidden/>
          </w:rPr>
          <w:fldChar w:fldCharType="separate"/>
        </w:r>
        <w:r w:rsidR="009E6828" w:rsidRPr="00FB0844">
          <w:rPr>
            <w:noProof/>
            <w:webHidden/>
          </w:rPr>
          <w:t>7</w:t>
        </w:r>
        <w:r w:rsidR="009E6828" w:rsidRPr="00FB0844">
          <w:rPr>
            <w:noProof/>
            <w:webHidden/>
          </w:rPr>
          <w:fldChar w:fldCharType="end"/>
        </w:r>
      </w:hyperlink>
    </w:p>
    <w:p w14:paraId="6C1D6D48" w14:textId="77777777" w:rsidR="009E6828" w:rsidRPr="00FB0844" w:rsidRDefault="009E6828" w:rsidP="009E6828">
      <w:pPr>
        <w:pStyle w:val="Absatz0"/>
      </w:pPr>
      <w:r w:rsidRPr="00FB0844">
        <w:fldChar w:fldCharType="end"/>
      </w:r>
    </w:p>
    <w:p w14:paraId="3FF64922" w14:textId="77777777" w:rsidR="009E6828" w:rsidRPr="00FB0844" w:rsidRDefault="009E6828" w:rsidP="009E6828">
      <w:pPr>
        <w:pStyle w:val="berschrift1"/>
        <w:tabs>
          <w:tab w:val="clear" w:pos="432"/>
          <w:tab w:val="clear" w:pos="709"/>
          <w:tab w:val="num" w:pos="715"/>
        </w:tabs>
        <w:spacing w:before="240" w:after="120"/>
        <w:ind w:left="432" w:hanging="432"/>
      </w:pPr>
      <w:bookmarkStart w:id="5" w:name="_Toc102149979"/>
      <w:r w:rsidRPr="00FB0844">
        <w:t>Grundsatz</w:t>
      </w:r>
      <w:bookmarkEnd w:id="5"/>
    </w:p>
    <w:p w14:paraId="66607F6E" w14:textId="076F6B6B" w:rsidR="009E6828" w:rsidRPr="00FB0844" w:rsidRDefault="009E6828" w:rsidP="009E6828">
      <w:pPr>
        <w:jc w:val="both"/>
      </w:pPr>
      <w:r w:rsidRPr="00FB0844">
        <w:t>Klient</w:t>
      </w:r>
      <w:r w:rsidR="00FB0844">
        <w:t>*</w:t>
      </w:r>
      <w:r w:rsidRPr="00FB0844">
        <w:t>innen mit Sozialhilfebezug werden erstmalig im Rahmen des obligatorischen vierwöchigen Abklärungsprogramms in der NAVI einer von vier Zielgruppen zugeor</w:t>
      </w:r>
      <w:r w:rsidR="00FB0844">
        <w:t>dnet. Die Zuteilung der Klient*</w:t>
      </w:r>
      <w:r w:rsidRPr="00FB0844">
        <w:t>innen in vier unterschiedliche Zielgruppen erfolgt nach der individuellen Ausprägung der beiden Dimensionen Arbeitsmarktfähigkeit/-chancen und Veränderungswillen/Motivation . Je nach Zielgruppe gelten unterschiedliche Wirkungsziele (siehe</w:t>
      </w:r>
      <w:r w:rsidRPr="00FB0844">
        <w:rPr>
          <w:color w:val="0070C0"/>
        </w:rPr>
        <w:t xml:space="preserve"> </w:t>
      </w:r>
      <w:hyperlink r:id="rId14" w:history="1">
        <w:r w:rsidRPr="00FB0844">
          <w:rPr>
            <w:rStyle w:val="Hyperlink"/>
          </w:rPr>
          <w:t>HAW Berufliche und Soziale Integration – Grundlagen</w:t>
        </w:r>
      </w:hyperlink>
      <w:r w:rsidRPr="00FB0844">
        <w:rPr>
          <w:rStyle w:val="Hyperlink"/>
          <w:color w:val="auto"/>
        </w:rPr>
        <w:t>).</w:t>
      </w:r>
    </w:p>
    <w:p w14:paraId="1F059640" w14:textId="77777777" w:rsidR="009E6828" w:rsidRPr="00FB0844" w:rsidRDefault="009E6828" w:rsidP="009E6828">
      <w:pPr>
        <w:jc w:val="both"/>
        <w:rPr>
          <w:rStyle w:val="Hyperlink"/>
        </w:rPr>
      </w:pPr>
    </w:p>
    <w:p w14:paraId="3461CF52" w14:textId="77777777" w:rsidR="009E6828" w:rsidRPr="00FB0844" w:rsidRDefault="009E6828" w:rsidP="009E6828">
      <w:pPr>
        <w:jc w:val="both"/>
      </w:pPr>
      <w:r w:rsidRPr="00FB0844">
        <w:rPr>
          <w:szCs w:val="22"/>
        </w:rPr>
        <w:t xml:space="preserve">Auf der Grundlage der Empfehlung aus der NAVI können Klient*innen folgende Angebote der beruflichen und sozialen Integration nutzen: </w:t>
      </w:r>
    </w:p>
    <w:p w14:paraId="275B4DDD" w14:textId="77777777" w:rsidR="009E6828" w:rsidRPr="00FB0844" w:rsidRDefault="009E6828" w:rsidP="009E6828">
      <w:pPr>
        <w:jc w:val="both"/>
        <w:rPr>
          <w:rStyle w:val="Hyperlink"/>
        </w:rPr>
      </w:pPr>
    </w:p>
    <w:p w14:paraId="74C6DF4A" w14:textId="77777777" w:rsidR="009E6828" w:rsidRPr="00FB0844" w:rsidRDefault="009E6828" w:rsidP="009E6828">
      <w:pPr>
        <w:pStyle w:val="Listenabsatz"/>
        <w:numPr>
          <w:ilvl w:val="0"/>
          <w:numId w:val="20"/>
        </w:numPr>
        <w:jc w:val="both"/>
        <w:rPr>
          <w:szCs w:val="22"/>
        </w:rPr>
      </w:pPr>
      <w:r w:rsidRPr="00FB0844">
        <w:rPr>
          <w:szCs w:val="22"/>
        </w:rPr>
        <w:t>Zielgruppenspezifisches Grundangebot an Arbeitstätigkeit (Teillohn, Gemeinnützige Arbeit und Qualifizierungsprogramm</w:t>
      </w:r>
      <w:r w:rsidRPr="00FB0844">
        <w:rPr>
          <w:rStyle w:val="Funotenzeichen"/>
          <w:szCs w:val="22"/>
        </w:rPr>
        <w:footnoteReference w:id="1"/>
      </w:r>
      <w:r w:rsidRPr="00FB0844">
        <w:rPr>
          <w:szCs w:val="22"/>
        </w:rPr>
        <w:t>)</w:t>
      </w:r>
    </w:p>
    <w:p w14:paraId="0C710914" w14:textId="77777777" w:rsidR="009E6828" w:rsidRPr="00FB0844" w:rsidRDefault="009E6828" w:rsidP="009E6828">
      <w:pPr>
        <w:pStyle w:val="Listenabsatz"/>
        <w:numPr>
          <w:ilvl w:val="0"/>
          <w:numId w:val="20"/>
        </w:numPr>
        <w:jc w:val="both"/>
        <w:rPr>
          <w:szCs w:val="22"/>
        </w:rPr>
      </w:pPr>
      <w:r w:rsidRPr="00FB0844">
        <w:rPr>
          <w:szCs w:val="22"/>
        </w:rPr>
        <w:t>Zielgruppenspezifische Bildung in (qualifizierenden) Zusatzmodulen</w:t>
      </w:r>
    </w:p>
    <w:p w14:paraId="67760D05" w14:textId="77777777" w:rsidR="009E6828" w:rsidRPr="00FB0844" w:rsidRDefault="009E6828" w:rsidP="009E6828">
      <w:pPr>
        <w:jc w:val="both"/>
        <w:rPr>
          <w:szCs w:val="22"/>
        </w:rPr>
      </w:pPr>
    </w:p>
    <w:p w14:paraId="36DE60F8" w14:textId="5346BDBF" w:rsidR="009E6828" w:rsidRPr="00FB0844" w:rsidRDefault="009E6828" w:rsidP="009E6828">
      <w:pPr>
        <w:jc w:val="both"/>
        <w:rPr>
          <w:szCs w:val="22"/>
        </w:rPr>
      </w:pPr>
      <w:r w:rsidRPr="00FB0844">
        <w:t>Der berufliche I</w:t>
      </w:r>
      <w:r w:rsidR="00A76F0C">
        <w:t>ntegrationsprozess wird von dem*</w:t>
      </w:r>
      <w:r w:rsidRPr="00FB0844">
        <w:t>de</w:t>
      </w:r>
      <w:r w:rsidR="00A76F0C">
        <w:t>r fallführenden Sozialarbeiter*</w:t>
      </w:r>
      <w:r w:rsidRPr="00FB0844">
        <w:t xml:space="preserve">in </w:t>
      </w:r>
      <w:r w:rsidR="00476DCC">
        <w:t xml:space="preserve">(Fallführung) </w:t>
      </w:r>
      <w:r w:rsidRPr="00FB0844">
        <w:t xml:space="preserve">im Rahmen der persönlichen Hilfe mittels psychosozialer Beratung und Motivationsarbeit begleitet. </w:t>
      </w:r>
      <w:r w:rsidRPr="00FB0844">
        <w:rPr>
          <w:szCs w:val="22"/>
        </w:rPr>
        <w:t xml:space="preserve">Im Verlauf des individuellen Integrationsprozesses erfolgt eine regelmässige Überprüfung (mindestens 1mal jährlich im Rahmen des Leistungsentscheids) der Zielgruppeneinteilung mit dem Ziel einer grösstmöglichen Durchlässigkeit des Systems. Ist ein Zielgruppenwechsel indiziert, soll ein solcher einfach und unkompliziert möglich sein. </w:t>
      </w:r>
    </w:p>
    <w:p w14:paraId="0C3AD001" w14:textId="77777777" w:rsidR="009E6828" w:rsidRPr="00FB0844" w:rsidRDefault="009E6828" w:rsidP="009E6828">
      <w:pPr>
        <w:rPr>
          <w:szCs w:val="22"/>
        </w:rPr>
      </w:pPr>
    </w:p>
    <w:p w14:paraId="474A7BE6" w14:textId="4726FA72" w:rsidR="009E6828" w:rsidRPr="00FB0844" w:rsidRDefault="009E6828" w:rsidP="009E6828">
      <w:pPr>
        <w:jc w:val="both"/>
        <w:rPr>
          <w:szCs w:val="22"/>
        </w:rPr>
      </w:pPr>
      <w:r w:rsidRPr="00FB0844">
        <w:rPr>
          <w:szCs w:val="22"/>
        </w:rPr>
        <w:lastRenderedPageBreak/>
        <w:t>Ein Eintritt in Angebote der beruflichen und sozialen Integration aus Angeboten der sozialen Integration (Stundenweise Beschäftigung und Förderarbeitsplät</w:t>
      </w:r>
      <w:r w:rsidR="00A76F0C">
        <w:rPr>
          <w:szCs w:val="22"/>
        </w:rPr>
        <w:t>ze) ist möglich, sobald der*die Klient*</w:t>
      </w:r>
      <w:r w:rsidRPr="00FB0844">
        <w:rPr>
          <w:szCs w:val="22"/>
        </w:rPr>
        <w:t xml:space="preserve">in die Teilnahmekriterien NAVI erfüllt. </w:t>
      </w:r>
    </w:p>
    <w:p w14:paraId="0F7FEF9D" w14:textId="77777777" w:rsidR="009E6828" w:rsidRPr="00FB0844" w:rsidRDefault="009E6828" w:rsidP="009E6828">
      <w:pPr>
        <w:jc w:val="both"/>
        <w:rPr>
          <w:szCs w:val="22"/>
        </w:rPr>
      </w:pPr>
    </w:p>
    <w:p w14:paraId="3A181155" w14:textId="77777777" w:rsidR="009E6828" w:rsidRPr="00FB0844" w:rsidRDefault="009E6828" w:rsidP="009E6828">
      <w:pPr>
        <w:jc w:val="both"/>
        <w:rPr>
          <w:lang w:eastAsia="de-CH"/>
        </w:rPr>
      </w:pPr>
      <w:r w:rsidRPr="00FB0844">
        <w:rPr>
          <w:szCs w:val="22"/>
        </w:rPr>
        <w:t>Für Jugendliche und junge Erwachsene bis 25-jährig gilt das Prinzip «Ausbildung vor Beschäftigung» (siehe</w:t>
      </w:r>
      <w:r w:rsidRPr="00FB0844">
        <w:rPr>
          <w:color w:val="0070C0"/>
          <w:szCs w:val="22"/>
        </w:rPr>
        <w:t xml:space="preserve"> </w:t>
      </w:r>
      <w:hyperlink r:id="rId15" w:history="1">
        <w:r w:rsidRPr="00FB0844">
          <w:rPr>
            <w:rStyle w:val="Hyperlink"/>
          </w:rPr>
          <w:t>HAW Berufliche und Soziale Integration – Grundlagen</w:t>
        </w:r>
      </w:hyperlink>
      <w:r w:rsidRPr="00FB0844">
        <w:rPr>
          <w:szCs w:val="22"/>
        </w:rPr>
        <w:t xml:space="preserve">). Für sie kommt die Teilnahme an einem Angebot der beruflichen und sozialen Integration nur in Ausnahmefällen in Frage (siehe </w:t>
      </w:r>
      <w:hyperlink r:id="rId16" w:history="1">
        <w:r w:rsidRPr="00FB0844">
          <w:rPr>
            <w:rStyle w:val="Hyperlink"/>
          </w:rPr>
          <w:t>HAW Berufliche und Soziale Integration – NAVI</w:t>
        </w:r>
      </w:hyperlink>
      <w:r w:rsidRPr="00FB0844">
        <w:rPr>
          <w:lang w:eastAsia="de-CH"/>
        </w:rPr>
        <w:t>).</w:t>
      </w:r>
    </w:p>
    <w:p w14:paraId="485DC5AA" w14:textId="77777777" w:rsidR="009E6828" w:rsidRPr="00FB0844" w:rsidRDefault="009E6828" w:rsidP="009E6828">
      <w:pPr>
        <w:jc w:val="both"/>
        <w:rPr>
          <w:szCs w:val="22"/>
        </w:rPr>
      </w:pPr>
    </w:p>
    <w:p w14:paraId="5074F827" w14:textId="77777777" w:rsidR="009E6828" w:rsidRPr="00FB0844" w:rsidRDefault="009E6828" w:rsidP="009E6828">
      <w:pPr>
        <w:pStyle w:val="berschrift1"/>
        <w:tabs>
          <w:tab w:val="clear" w:pos="432"/>
          <w:tab w:val="clear" w:pos="709"/>
          <w:tab w:val="num" w:pos="715"/>
        </w:tabs>
        <w:spacing w:before="240" w:after="120"/>
        <w:ind w:left="432" w:hanging="432"/>
        <w:jc w:val="both"/>
      </w:pPr>
      <w:bookmarkStart w:id="6" w:name="_Toc102149980"/>
      <w:r w:rsidRPr="00FB0844">
        <w:t>Psychosoziale Beratung und Motivationsarbeit</w:t>
      </w:r>
      <w:bookmarkEnd w:id="6"/>
    </w:p>
    <w:p w14:paraId="3260D180" w14:textId="22B36615" w:rsidR="009E6828" w:rsidRPr="00FB0844" w:rsidRDefault="00A76F0C" w:rsidP="009E6828">
      <w:pPr>
        <w:pStyle w:val="Absatz0"/>
        <w:jc w:val="both"/>
        <w:rPr>
          <w:szCs w:val="22"/>
        </w:rPr>
      </w:pPr>
      <w:r>
        <w:rPr>
          <w:szCs w:val="22"/>
        </w:rPr>
        <w:t>Die Klient*</w:t>
      </w:r>
      <w:r w:rsidR="009E6828" w:rsidRPr="00FB0844">
        <w:rPr>
          <w:szCs w:val="22"/>
        </w:rPr>
        <w:t xml:space="preserve">innen erhalten von </w:t>
      </w:r>
      <w:r w:rsidR="00476DCC">
        <w:t>der Fallführung</w:t>
      </w:r>
      <w:r w:rsidR="009E6828" w:rsidRPr="00FB0844" w:rsidDel="00916B25">
        <w:rPr>
          <w:szCs w:val="22"/>
        </w:rPr>
        <w:t xml:space="preserve"> </w:t>
      </w:r>
      <w:r w:rsidR="009E6828" w:rsidRPr="00FB0844">
        <w:rPr>
          <w:szCs w:val="22"/>
        </w:rPr>
        <w:t xml:space="preserve">Unterstützung bei ihren beruflichen Integrationsbemühungen mittels psychosozialer Beratung. Dabei kommt der Stärkung der Eigenmotivation ein </w:t>
      </w:r>
      <w:r>
        <w:rPr>
          <w:szCs w:val="22"/>
        </w:rPr>
        <w:t xml:space="preserve">hoher Stellenwert zu. </w:t>
      </w:r>
      <w:r w:rsidR="00476DCC">
        <w:rPr>
          <w:szCs w:val="22"/>
        </w:rPr>
        <w:t>Die Fallführung</w:t>
      </w:r>
      <w:r w:rsidR="009E6828" w:rsidRPr="00FB0844">
        <w:rPr>
          <w:szCs w:val="22"/>
        </w:rPr>
        <w:t xml:space="preserve"> unterstützt und fördert den beruflichen Integrationsprozess und ge</w:t>
      </w:r>
      <w:r>
        <w:rPr>
          <w:szCs w:val="22"/>
        </w:rPr>
        <w:t>staltet diesen zusammen mit dem*der Klient*</w:t>
      </w:r>
      <w:r w:rsidR="009E6828" w:rsidRPr="00FB0844">
        <w:rPr>
          <w:szCs w:val="22"/>
        </w:rPr>
        <w:t xml:space="preserve">in </w:t>
      </w:r>
      <w:r>
        <w:rPr>
          <w:szCs w:val="22"/>
        </w:rPr>
        <w:t xml:space="preserve">ziel- und lösungsorientiert. </w:t>
      </w:r>
      <w:r w:rsidR="00DB16F2">
        <w:rPr>
          <w:szCs w:val="22"/>
        </w:rPr>
        <w:t>Sie</w:t>
      </w:r>
      <w:r w:rsidR="009E6828" w:rsidRPr="00FB0844">
        <w:rPr>
          <w:szCs w:val="22"/>
        </w:rPr>
        <w:t xml:space="preserve"> arbeitet mit den persönlichen Ressourcen der Mensch</w:t>
      </w:r>
      <w:r>
        <w:rPr>
          <w:szCs w:val="22"/>
        </w:rPr>
        <w:t>en und unterstützt die Klient*</w:t>
      </w:r>
      <w:r w:rsidR="009E6828" w:rsidRPr="00FB0844">
        <w:rPr>
          <w:szCs w:val="22"/>
        </w:rPr>
        <w:t>innen bei der Nutzung der vielfältigen Angebote. Die Mitwirkung des Gegenübers wird im Rahmen seiner Möglichkeiten gefördert und erwartet.</w:t>
      </w:r>
    </w:p>
    <w:p w14:paraId="4751F377" w14:textId="77777777" w:rsidR="009E6828" w:rsidRPr="00FB0844" w:rsidRDefault="009E6828" w:rsidP="009E6828">
      <w:pPr>
        <w:pStyle w:val="Absatz0"/>
        <w:jc w:val="both"/>
        <w:rPr>
          <w:szCs w:val="22"/>
        </w:rPr>
      </w:pPr>
    </w:p>
    <w:p w14:paraId="2DF5FF83" w14:textId="2F7B4450" w:rsidR="009E6828" w:rsidRPr="00FB0844" w:rsidRDefault="00476DCC" w:rsidP="009E6828">
      <w:pPr>
        <w:jc w:val="both"/>
        <w:rPr>
          <w:szCs w:val="22"/>
        </w:rPr>
      </w:pPr>
      <w:r>
        <w:rPr>
          <w:szCs w:val="22"/>
        </w:rPr>
        <w:t>Die Fallführung</w:t>
      </w:r>
      <w:r w:rsidR="009E6828" w:rsidRPr="00FB0844">
        <w:rPr>
          <w:szCs w:val="22"/>
        </w:rPr>
        <w:t xml:space="preserve"> macht Personen ohne Schweizerpass in der Beratung auf mögliche ausländerrechtliche Konsequenzen bei ungenügenden Integrationsbemühungen aufmerksam (siehe</w:t>
      </w:r>
      <w:r w:rsidR="009E6828" w:rsidRPr="00FB0844">
        <w:rPr>
          <w:color w:val="0070C0"/>
          <w:szCs w:val="22"/>
        </w:rPr>
        <w:t xml:space="preserve"> </w:t>
      </w:r>
      <w:hyperlink r:id="rId17" w:history="1">
        <w:r w:rsidR="009E6828" w:rsidRPr="00FB0844">
          <w:rPr>
            <w:rStyle w:val="Hyperlink"/>
          </w:rPr>
          <w:t>HAW Berufliche und Soziale Integration – Grundlagen</w:t>
        </w:r>
      </w:hyperlink>
      <w:r w:rsidR="009E6828" w:rsidRPr="00FB0844">
        <w:rPr>
          <w:rStyle w:val="Hyperlink"/>
        </w:rPr>
        <w:t xml:space="preserve">, </w:t>
      </w:r>
      <w:r w:rsidR="009E6828" w:rsidRPr="00FB0844">
        <w:rPr>
          <w:szCs w:val="22"/>
        </w:rPr>
        <w:t xml:space="preserve">Kapitel 1.2). </w:t>
      </w:r>
    </w:p>
    <w:p w14:paraId="515811EA" w14:textId="77777777" w:rsidR="009E6828" w:rsidRPr="00FB0844" w:rsidRDefault="009E6828" w:rsidP="009E6828">
      <w:pPr>
        <w:jc w:val="both"/>
        <w:rPr>
          <w:szCs w:val="22"/>
        </w:rPr>
      </w:pPr>
    </w:p>
    <w:p w14:paraId="3AB4293B" w14:textId="77777777" w:rsidR="009E6828" w:rsidRPr="00FB0844" w:rsidRDefault="009E6828" w:rsidP="009E6828">
      <w:pPr>
        <w:pStyle w:val="berschrift1"/>
        <w:tabs>
          <w:tab w:val="clear" w:pos="432"/>
          <w:tab w:val="clear" w:pos="709"/>
          <w:tab w:val="num" w:pos="715"/>
        </w:tabs>
        <w:spacing w:before="240" w:after="120"/>
        <w:ind w:left="432" w:hanging="432"/>
      </w:pPr>
      <w:bookmarkStart w:id="7" w:name="_Toc102149981"/>
      <w:r w:rsidRPr="00FB0844">
        <w:t>Grundangebot</w:t>
      </w:r>
      <w:bookmarkEnd w:id="7"/>
    </w:p>
    <w:p w14:paraId="2C9E9380" w14:textId="0100D851" w:rsidR="009E6828" w:rsidRPr="00FB0844" w:rsidRDefault="009E6828" w:rsidP="009E6828">
      <w:pPr>
        <w:pStyle w:val="Absatz0"/>
        <w:jc w:val="both"/>
        <w:rPr>
          <w:szCs w:val="22"/>
        </w:rPr>
      </w:pPr>
      <w:r w:rsidRPr="00FB0844">
        <w:rPr>
          <w:szCs w:val="22"/>
        </w:rPr>
        <w:t xml:space="preserve">Das </w:t>
      </w:r>
      <w:r w:rsidRPr="00FB0844">
        <w:rPr>
          <w:b/>
          <w:szCs w:val="22"/>
        </w:rPr>
        <w:t>Teillohnangebot</w:t>
      </w:r>
      <w:r w:rsidRPr="00FB0844">
        <w:rPr>
          <w:szCs w:val="22"/>
        </w:rPr>
        <w:t xml:space="preserve"> umfasst Gruppenarbeitsplätze in unterschiedlichen Branchen. Die Teilnahme an Teillohnangeboten ist unbefristet. Alle Zielgruppen können im Teillohn arbeiten. Im Teillohn wird ein Lohn und ein Einkommensfreibetrag (EFB) ausgerichtet (siehe </w:t>
      </w:r>
      <w:hyperlink r:id="rId18" w:history="1">
        <w:r w:rsidRPr="00FB0844">
          <w:rPr>
            <w:rStyle w:val="Hyperlink"/>
            <w:szCs w:val="22"/>
          </w:rPr>
          <w:t>HAW Berufliche und Soziale Integration – Teillohn</w:t>
        </w:r>
      </w:hyperlink>
      <w:r w:rsidRPr="00FB0844">
        <w:rPr>
          <w:szCs w:val="22"/>
        </w:rPr>
        <w:t xml:space="preserve"> und </w:t>
      </w:r>
      <w:hyperlink r:id="rId19" w:history="1">
        <w:r w:rsidRPr="00FB0844">
          <w:rPr>
            <w:rStyle w:val="Hyperlink"/>
            <w:szCs w:val="22"/>
          </w:rPr>
          <w:t>HAW Ausrichtung des Einkommensfreibetrages (EFB)</w:t>
        </w:r>
      </w:hyperlink>
      <w:r w:rsidRPr="00FB0844">
        <w:rPr>
          <w:szCs w:val="22"/>
        </w:rPr>
        <w:t xml:space="preserve">. </w:t>
      </w:r>
      <w:r w:rsidR="00A76F0C">
        <w:rPr>
          <w:szCs w:val="22"/>
        </w:rPr>
        <w:t>Klient*</w:t>
      </w:r>
      <w:r w:rsidRPr="00FB0844">
        <w:rPr>
          <w:szCs w:val="22"/>
        </w:rPr>
        <w:t xml:space="preserve">innen in Zielgruppe 4 werden mittels entsprechender Auflage zur Teilnahme verpflichtet (siehe </w:t>
      </w:r>
      <w:hyperlink r:id="rId20" w:history="1">
        <w:r w:rsidRPr="00FB0844">
          <w:rPr>
            <w:rStyle w:val="Hyperlink"/>
            <w:szCs w:val="22"/>
          </w:rPr>
          <w:t>HAW Auflagen- und Kürzungsverfahren</w:t>
        </w:r>
      </w:hyperlink>
      <w:r w:rsidRPr="00FB0844">
        <w:rPr>
          <w:rStyle w:val="Hyperlink"/>
          <w:szCs w:val="22"/>
        </w:rPr>
        <w:t xml:space="preserve"> </w:t>
      </w:r>
      <w:r w:rsidRPr="00FB0844">
        <w:t>und</w:t>
      </w:r>
      <w:r w:rsidRPr="00FB0844">
        <w:rPr>
          <w:rStyle w:val="Hyperlink"/>
          <w:szCs w:val="22"/>
        </w:rPr>
        <w:t xml:space="preserve"> </w:t>
      </w:r>
      <w:hyperlink r:id="rId21" w:history="1">
        <w:r w:rsidRPr="00FB0844">
          <w:rPr>
            <w:rStyle w:val="Hyperlink"/>
            <w:szCs w:val="22"/>
          </w:rPr>
          <w:t>PRA Einsatzplätze für Klienten und Klientinnen im Auflagen- und Kürzungsverfahren (Teillohn mit Auflage)</w:t>
        </w:r>
      </w:hyperlink>
      <w:r w:rsidRPr="00FB0844">
        <w:rPr>
          <w:color w:val="0000FF"/>
          <w:szCs w:val="22"/>
        </w:rPr>
        <w:t>.</w:t>
      </w:r>
    </w:p>
    <w:p w14:paraId="5A8D71E3" w14:textId="77777777" w:rsidR="009E6828" w:rsidRPr="00FB0844" w:rsidRDefault="009E6828" w:rsidP="009E6828">
      <w:pPr>
        <w:pStyle w:val="Absatz0"/>
        <w:jc w:val="both"/>
        <w:rPr>
          <w:szCs w:val="22"/>
        </w:rPr>
      </w:pPr>
      <w:r w:rsidRPr="00FB0844">
        <w:rPr>
          <w:szCs w:val="22"/>
        </w:rPr>
        <w:t xml:space="preserve"> </w:t>
      </w:r>
    </w:p>
    <w:p w14:paraId="7F56E9E0" w14:textId="77777777" w:rsidR="009E6828" w:rsidRPr="00FB0844" w:rsidRDefault="009E6828" w:rsidP="009E6828">
      <w:pPr>
        <w:jc w:val="both"/>
        <w:rPr>
          <w:szCs w:val="22"/>
        </w:rPr>
      </w:pPr>
      <w:r w:rsidRPr="00FB0844">
        <w:rPr>
          <w:szCs w:val="22"/>
        </w:rPr>
        <w:t xml:space="preserve">Bei der </w:t>
      </w:r>
      <w:r w:rsidRPr="00FB0844">
        <w:rPr>
          <w:b/>
          <w:szCs w:val="22"/>
        </w:rPr>
        <w:t>Gemeinnützigen Arbeit</w:t>
      </w:r>
      <w:r w:rsidRPr="00FB0844">
        <w:rPr>
          <w:szCs w:val="22"/>
        </w:rPr>
        <w:t xml:space="preserve"> handelt es sich um Einzelarbeitsplätze innerhalb der öffentlichen Verwaltung bzw. von Non-Profit-Organisationen (NGO) in verschiedenen Branchen. Die Anstellungsdauer ist in der Regel unbefristet. Am Angebot Gemeinnützige Arbeit teilnehmen können Klient*innen der Zielgruppen 1, 2 und 3. Sie erhalten für ihre Arbeitstätigkeit Integrationszulagen (IZU) (siehe </w:t>
      </w:r>
      <w:hyperlink r:id="rId22" w:history="1">
        <w:r w:rsidRPr="00FB0844">
          <w:rPr>
            <w:rStyle w:val="Hyperlink"/>
            <w:szCs w:val="22"/>
          </w:rPr>
          <w:t>HAW Ausrichtung der Integrationszulage (IZU)</w:t>
        </w:r>
      </w:hyperlink>
      <w:r w:rsidRPr="00FB0844">
        <w:rPr>
          <w:szCs w:val="22"/>
        </w:rPr>
        <w:t xml:space="preserve">. </w:t>
      </w:r>
    </w:p>
    <w:p w14:paraId="44574377" w14:textId="77777777" w:rsidR="009E6828" w:rsidRPr="00FB0844" w:rsidRDefault="009E6828" w:rsidP="009E6828">
      <w:pPr>
        <w:jc w:val="both"/>
        <w:rPr>
          <w:szCs w:val="22"/>
        </w:rPr>
      </w:pPr>
    </w:p>
    <w:p w14:paraId="62C40744" w14:textId="3D1154F3" w:rsidR="009E6828" w:rsidRPr="00FB0844" w:rsidRDefault="009E6828" w:rsidP="009E6828">
      <w:pPr>
        <w:jc w:val="both"/>
        <w:rPr>
          <w:szCs w:val="22"/>
        </w:rPr>
      </w:pPr>
      <w:r w:rsidRPr="00FB0844">
        <w:rPr>
          <w:szCs w:val="22"/>
        </w:rPr>
        <w:t xml:space="preserve">Bei der </w:t>
      </w:r>
      <w:r w:rsidRPr="00FB0844">
        <w:rPr>
          <w:b/>
          <w:szCs w:val="22"/>
        </w:rPr>
        <w:t>Qualifikation</w:t>
      </w:r>
      <w:r w:rsidRPr="00FB0844">
        <w:rPr>
          <w:szCs w:val="22"/>
        </w:rPr>
        <w:t xml:space="preserve"> handelt es sich um Gruppen- oder Einzelarbeitsplätze in verschiedenen Branchen. </w:t>
      </w:r>
      <w:r w:rsidRPr="00FB0844">
        <w:t xml:space="preserve">Durch die Teilnahme an Qualifizierungsprogrammen sollen Klient*innen ihre Berufserfahrungen auffrischen und Schlüsselkompetenzen dahingehend erwerben oder erweitern, dass sie innerhalb von sechs bis maximal zwölf Monaten eine Stelle im ersten Arbeitsmarkt finden. </w:t>
      </w:r>
      <w:r w:rsidRPr="00FB0844">
        <w:rPr>
          <w:szCs w:val="22"/>
        </w:rPr>
        <w:t>Die Anstellungsdauer ist deshalb befristet auf sechs Monate mit Option auf Verlängerung auf maximal zwölf Monate. Wenn die maximale Dauer von zwölf Monat</w:t>
      </w:r>
      <w:r w:rsidR="00351FD7">
        <w:rPr>
          <w:szCs w:val="22"/>
        </w:rPr>
        <w:t>en abgelaufen ist, wechselt der*die Klient*</w:t>
      </w:r>
      <w:r w:rsidRPr="00FB0844">
        <w:rPr>
          <w:szCs w:val="22"/>
        </w:rPr>
        <w:t xml:space="preserve">in im Regelfall in den Teillohn oder die Gemeinnützige Arbeit. An Angeboten der Qualifikation </w:t>
      </w:r>
      <w:r w:rsidR="00351FD7">
        <w:rPr>
          <w:szCs w:val="22"/>
        </w:rPr>
        <w:t>nehmen ausschliesslich Klient*</w:t>
      </w:r>
      <w:r w:rsidRPr="00FB0844">
        <w:rPr>
          <w:szCs w:val="22"/>
        </w:rPr>
        <w:t>innen aus der Zielgrup</w:t>
      </w:r>
      <w:r w:rsidR="00351FD7">
        <w:rPr>
          <w:szCs w:val="22"/>
        </w:rPr>
        <w:t>pe 3 teil. Teilnehmende Klient*</w:t>
      </w:r>
      <w:r w:rsidRPr="00FB0844">
        <w:rPr>
          <w:szCs w:val="22"/>
        </w:rPr>
        <w:t xml:space="preserve">innen haben Anspruch auf IZU (siehe </w:t>
      </w:r>
      <w:hyperlink r:id="rId23" w:history="1">
        <w:r w:rsidRPr="00FB0844">
          <w:rPr>
            <w:rStyle w:val="Hyperlink"/>
            <w:szCs w:val="22"/>
          </w:rPr>
          <w:t>HAW Ausrichtung der Integrationszulage (IZU)</w:t>
        </w:r>
      </w:hyperlink>
      <w:r w:rsidRPr="00FB0844">
        <w:rPr>
          <w:szCs w:val="22"/>
        </w:rPr>
        <w:t xml:space="preserve">. </w:t>
      </w:r>
    </w:p>
    <w:p w14:paraId="1557B025" w14:textId="77777777" w:rsidR="009E6828" w:rsidRPr="00FB0844" w:rsidRDefault="009E6828" w:rsidP="009E6828">
      <w:pPr>
        <w:jc w:val="both"/>
        <w:rPr>
          <w:szCs w:val="22"/>
        </w:rPr>
      </w:pPr>
    </w:p>
    <w:p w14:paraId="600D3941" w14:textId="77777777" w:rsidR="009E6828" w:rsidRPr="00FB0844" w:rsidRDefault="009E6828" w:rsidP="009E6828">
      <w:pPr>
        <w:jc w:val="both"/>
      </w:pPr>
      <w:r w:rsidRPr="00FB0844">
        <w:rPr>
          <w:szCs w:val="22"/>
        </w:rPr>
        <w:t>Bei allen Angeboten gilt, dass bei einem Stellenantritt im 1. Arbeitsmarkt ein Austritt sofort möglich ist.</w:t>
      </w:r>
    </w:p>
    <w:p w14:paraId="765A6D31" w14:textId="77777777" w:rsidR="009E6828" w:rsidRPr="00FB0844" w:rsidRDefault="009E6828" w:rsidP="009E6828">
      <w:pPr>
        <w:jc w:val="both"/>
        <w:rPr>
          <w:bCs/>
        </w:rPr>
      </w:pPr>
    </w:p>
    <w:p w14:paraId="061BF74D" w14:textId="77777777" w:rsidR="009E6828" w:rsidRPr="00FB0844" w:rsidRDefault="009E6828" w:rsidP="009E6828">
      <w:pPr>
        <w:pStyle w:val="Absatz0"/>
      </w:pPr>
    </w:p>
    <w:p w14:paraId="79EAFA3E" w14:textId="77777777" w:rsidR="009E6828" w:rsidRPr="00FB0844" w:rsidRDefault="009E6828" w:rsidP="009E6828">
      <w:pPr>
        <w:pStyle w:val="berschrift1"/>
        <w:tabs>
          <w:tab w:val="clear" w:pos="432"/>
          <w:tab w:val="clear" w:pos="709"/>
          <w:tab w:val="num" w:pos="715"/>
        </w:tabs>
        <w:spacing w:before="240" w:after="120"/>
        <w:ind w:left="432" w:hanging="432"/>
      </w:pPr>
      <w:bookmarkStart w:id="8" w:name="_Toc508603422"/>
      <w:bookmarkStart w:id="9" w:name="_Toc102149982"/>
      <w:r w:rsidRPr="00FB0844">
        <w:lastRenderedPageBreak/>
        <w:t>Zielgruppenspezifische Bildung in (qualifizierenden) Zusatzmodulen</w:t>
      </w:r>
      <w:bookmarkEnd w:id="8"/>
      <w:bookmarkEnd w:id="9"/>
    </w:p>
    <w:p w14:paraId="468F2258" w14:textId="1C6BBF2C" w:rsidR="009E6828" w:rsidRPr="00FB0844" w:rsidRDefault="009E6828" w:rsidP="009E6828">
      <w:pPr>
        <w:jc w:val="both"/>
        <w:rPr>
          <w:szCs w:val="22"/>
        </w:rPr>
      </w:pPr>
      <w:r w:rsidRPr="00FB0844">
        <w:rPr>
          <w:szCs w:val="22"/>
        </w:rPr>
        <w:t xml:space="preserve">Ergänzend zur Arbeitstätigkeit in den Grundangeboten können (qualifizierende) Zusatzmodule gebucht werden. </w:t>
      </w:r>
      <w:r w:rsidRPr="00FB0844">
        <w:t xml:space="preserve">Zu den qualifizierenden Zusatzmodulen (Leistungsart 469) zählen Fachkurse, Kurse Grundkompetenzen, Check-in 3, </w:t>
      </w:r>
      <w:r w:rsidR="00351FD7" w:rsidRPr="00351FD7">
        <w:rPr>
          <w:highlight w:val="yellow"/>
        </w:rPr>
        <w:t xml:space="preserve">Spezialcoaching </w:t>
      </w:r>
      <w:r w:rsidR="00351FD7" w:rsidRPr="00900D08">
        <w:rPr>
          <w:highlight w:val="yellow"/>
        </w:rPr>
        <w:t>Arbeitsintegration</w:t>
      </w:r>
      <w:r w:rsidR="00900D08" w:rsidRPr="00900D08">
        <w:rPr>
          <w:highlight w:val="yellow"/>
        </w:rPr>
        <w:t xml:space="preserve"> (AI)</w:t>
      </w:r>
      <w:r w:rsidRPr="00900D08">
        <w:t>,</w:t>
      </w:r>
      <w:r w:rsidRPr="00FB0844">
        <w:t xml:space="preserve"> Jobcoaching, Laufbahnberatung und Bewerbungskurse.</w:t>
      </w:r>
    </w:p>
    <w:p w14:paraId="7C2573B0" w14:textId="6E6CE087" w:rsidR="009E6828" w:rsidRPr="00FB0844" w:rsidRDefault="009E6828" w:rsidP="009E6828">
      <w:pPr>
        <w:jc w:val="both"/>
        <w:rPr>
          <w:szCs w:val="22"/>
        </w:rPr>
      </w:pPr>
    </w:p>
    <w:p w14:paraId="43D43274" w14:textId="4BFE5100" w:rsidR="009E6828" w:rsidRPr="00FB0844" w:rsidRDefault="009E6828" w:rsidP="009E6828">
      <w:pPr>
        <w:pStyle w:val="Default"/>
        <w:jc w:val="both"/>
        <w:rPr>
          <w:sz w:val="22"/>
          <w:szCs w:val="22"/>
        </w:rPr>
      </w:pPr>
      <w:bookmarkStart w:id="10" w:name="_Toc506396632"/>
      <w:bookmarkStart w:id="11" w:name="_Toc506401716"/>
      <w:bookmarkStart w:id="12" w:name="_Toc506396633"/>
      <w:bookmarkStart w:id="13" w:name="_Toc506401717"/>
      <w:bookmarkEnd w:id="10"/>
      <w:bookmarkEnd w:id="11"/>
      <w:bookmarkEnd w:id="12"/>
      <w:bookmarkEnd w:id="13"/>
      <w:r w:rsidRPr="00FB0844">
        <w:rPr>
          <w:sz w:val="22"/>
          <w:szCs w:val="22"/>
        </w:rPr>
        <w:t xml:space="preserve">In den </w:t>
      </w:r>
      <w:r w:rsidRPr="00FB0844">
        <w:rPr>
          <w:b/>
          <w:sz w:val="22"/>
          <w:szCs w:val="22"/>
        </w:rPr>
        <w:t>Kursen Grundkompetenzen</w:t>
      </w:r>
      <w:r w:rsidRPr="00FB0844">
        <w:rPr>
          <w:sz w:val="22"/>
          <w:szCs w:val="22"/>
        </w:rPr>
        <w:t xml:space="preserve"> werden Kompetenzen in den Bereichen Zweitsprache (Deutschkurse), Lesen, Schreiben und Rechnen sowie Kenntnisse in Informations- u</w:t>
      </w:r>
      <w:r w:rsidR="00351FD7">
        <w:rPr>
          <w:sz w:val="22"/>
          <w:szCs w:val="22"/>
        </w:rPr>
        <w:t>nd Kommunikationstechnologie (IC</w:t>
      </w:r>
      <w:r w:rsidRPr="00FB0844">
        <w:rPr>
          <w:sz w:val="22"/>
          <w:szCs w:val="22"/>
        </w:rPr>
        <w:t xml:space="preserve">T; z. B. PC-Kurse, Nutzung des Internets zur Stellensuche) gefördert. </w:t>
      </w:r>
    </w:p>
    <w:p w14:paraId="3EA06E5F" w14:textId="77777777" w:rsidR="009E6828" w:rsidRPr="00FB0844" w:rsidRDefault="009E6828" w:rsidP="009E6828">
      <w:pPr>
        <w:pStyle w:val="Default"/>
        <w:jc w:val="both"/>
        <w:rPr>
          <w:sz w:val="22"/>
          <w:szCs w:val="22"/>
        </w:rPr>
      </w:pPr>
    </w:p>
    <w:p w14:paraId="2BB7115F" w14:textId="0AF53489" w:rsidR="009E6828" w:rsidRDefault="009E6828" w:rsidP="009E6828">
      <w:pPr>
        <w:pStyle w:val="Default"/>
        <w:jc w:val="both"/>
        <w:rPr>
          <w:sz w:val="22"/>
          <w:szCs w:val="22"/>
        </w:rPr>
      </w:pPr>
      <w:r w:rsidRPr="00FB0844">
        <w:rPr>
          <w:b/>
          <w:sz w:val="22"/>
          <w:szCs w:val="22"/>
        </w:rPr>
        <w:t xml:space="preserve">Fachkurse </w:t>
      </w:r>
      <w:r w:rsidRPr="00FB0844">
        <w:rPr>
          <w:sz w:val="22"/>
          <w:szCs w:val="22"/>
        </w:rPr>
        <w:t>sind weiterführende Kurse zur Vertiefung des Fachwissens und Verbesserung der Vermittlungsfähigkeit auf dem ersten Arbeitsmarkt (z.B. Staplerschein, Fahrausweis). Die Fachkurse werden entweder intern in den Betrieben oder von externen Kursanbietern durchgeführt und werden entweder mit Kursbestätigung (z.B. Zertifikat SEB für internen Logistikkurs) oder mit Branchenzertifikat (z.B. Branchenzertifikat Gastro Zürich) abgeschlossen.</w:t>
      </w:r>
    </w:p>
    <w:p w14:paraId="7BED2131" w14:textId="4E44DEEB" w:rsidR="00DB16F2" w:rsidRDefault="00DB16F2" w:rsidP="009E6828">
      <w:pPr>
        <w:pStyle w:val="Default"/>
        <w:jc w:val="both"/>
        <w:rPr>
          <w:sz w:val="22"/>
          <w:szCs w:val="22"/>
        </w:rPr>
      </w:pPr>
    </w:p>
    <w:p w14:paraId="223F6837" w14:textId="48F82B4E" w:rsidR="009E6828" w:rsidRPr="00FB0844" w:rsidRDefault="009E6828" w:rsidP="009E6828">
      <w:pPr>
        <w:jc w:val="both"/>
        <w:rPr>
          <w:szCs w:val="22"/>
        </w:rPr>
      </w:pPr>
      <w:r w:rsidRPr="00FB0844">
        <w:rPr>
          <w:szCs w:val="22"/>
        </w:rPr>
        <w:t xml:space="preserve">Die Ausgabenkompetenz für Kurse Grundkompetenzen und Fachkurse sind in der </w:t>
      </w:r>
      <w:hyperlink r:id="rId24" w:history="1">
        <w:r w:rsidRPr="00FB0844">
          <w:rPr>
            <w:rStyle w:val="Hyperlink"/>
            <w:szCs w:val="22"/>
          </w:rPr>
          <w:t>HAW Situationsbedingte Leistungen (SIL)</w:t>
        </w:r>
      </w:hyperlink>
      <w:r w:rsidRPr="00FB0844">
        <w:rPr>
          <w:szCs w:val="22"/>
        </w:rPr>
        <w:t xml:space="preserve"> Kapitel 3.3 geregelt. </w:t>
      </w:r>
    </w:p>
    <w:p w14:paraId="758DC6F1" w14:textId="77777777" w:rsidR="009E6828" w:rsidRPr="00FB0844" w:rsidRDefault="009E6828" w:rsidP="009E6828">
      <w:pPr>
        <w:jc w:val="both"/>
        <w:rPr>
          <w:color w:val="000000"/>
          <w:szCs w:val="22"/>
          <w:lang w:eastAsia="de-CH"/>
        </w:rPr>
      </w:pPr>
    </w:p>
    <w:p w14:paraId="5B15F7E5" w14:textId="20339078" w:rsidR="009E6828" w:rsidRPr="00FB0844" w:rsidRDefault="00351FD7" w:rsidP="009E6828">
      <w:pPr>
        <w:jc w:val="both"/>
        <w:rPr>
          <w:szCs w:val="22"/>
        </w:rPr>
      </w:pPr>
      <w:r>
        <w:rPr>
          <w:szCs w:val="22"/>
        </w:rPr>
        <w:t xml:space="preserve">Wenn </w:t>
      </w:r>
      <w:r w:rsidR="00476DCC">
        <w:rPr>
          <w:szCs w:val="22"/>
        </w:rPr>
        <w:t>die Fallführung</w:t>
      </w:r>
      <w:r w:rsidR="009E6828" w:rsidRPr="00FB0844">
        <w:rPr>
          <w:szCs w:val="22"/>
        </w:rPr>
        <w:t xml:space="preserve"> bei der aktiven Unterstützung und Begleitung des Integrationsprozesses einen Bildungsbedarf fest</w:t>
      </w:r>
      <w:r>
        <w:rPr>
          <w:szCs w:val="22"/>
        </w:rPr>
        <w:t>stellt oder ein solcher von dem*der Klient*</w:t>
      </w:r>
      <w:r w:rsidR="009E6828" w:rsidRPr="00FB0844">
        <w:rPr>
          <w:szCs w:val="22"/>
        </w:rPr>
        <w:t xml:space="preserve">in geäussert wird, erfolgt in gegenseitiger Absprache die Anmeldung in den passenden (Fach-)kurs. Wenn die Kosten für Kurse vor Ort (d.h. in den Betrieben) nicht im Programmtarif enthalten sind, müssen sie mittels separater Kostengutsprache von </w:t>
      </w:r>
      <w:r w:rsidR="00476DCC">
        <w:t>der Fallführung</w:t>
      </w:r>
      <w:r w:rsidR="009E6828" w:rsidRPr="00FB0844" w:rsidDel="00916B25">
        <w:rPr>
          <w:szCs w:val="22"/>
        </w:rPr>
        <w:t xml:space="preserve"> </w:t>
      </w:r>
      <w:r w:rsidR="009E6828" w:rsidRPr="00FB0844">
        <w:rPr>
          <w:szCs w:val="22"/>
        </w:rPr>
        <w:t xml:space="preserve">bewilligt werden. Das Gleiche gilt für Kosten von Bildungsangeboten ausserhalb des Grundangebots (siehe </w:t>
      </w:r>
      <w:hyperlink r:id="rId25" w:history="1">
        <w:r w:rsidR="009E6828" w:rsidRPr="00FB0844">
          <w:rPr>
            <w:rStyle w:val="Hyperlink"/>
            <w:szCs w:val="22"/>
          </w:rPr>
          <w:t>HAW Situationsbedingte Leistungen (SIL)</w:t>
        </w:r>
      </w:hyperlink>
      <w:r w:rsidR="009E6828" w:rsidRPr="00FB0844">
        <w:rPr>
          <w:rStyle w:val="Hyperlink"/>
          <w:szCs w:val="22"/>
        </w:rPr>
        <w:t>)</w:t>
      </w:r>
      <w:r w:rsidR="009E6828" w:rsidRPr="00FB0844">
        <w:rPr>
          <w:szCs w:val="22"/>
        </w:rPr>
        <w:t>.</w:t>
      </w:r>
    </w:p>
    <w:p w14:paraId="74D3FF34" w14:textId="77777777" w:rsidR="009E6828" w:rsidRPr="00FB0844" w:rsidRDefault="009E6828" w:rsidP="009E6828">
      <w:pPr>
        <w:jc w:val="both"/>
        <w:rPr>
          <w:szCs w:val="22"/>
        </w:rPr>
      </w:pPr>
    </w:p>
    <w:p w14:paraId="03F26721" w14:textId="0E6D21A0" w:rsidR="009E6828" w:rsidRPr="00FB0844" w:rsidRDefault="009E6828" w:rsidP="009E6828">
      <w:pPr>
        <w:jc w:val="both"/>
        <w:rPr>
          <w:szCs w:val="22"/>
        </w:rPr>
      </w:pPr>
      <w:r w:rsidRPr="00FB0844">
        <w:rPr>
          <w:szCs w:val="22"/>
        </w:rPr>
        <w:t>Häufig wird bereits von der NAVI der Besuch eines (qualifizierenden) Zusatzmodules empfohlen oder die Bezugsperson im Grundangebot</w:t>
      </w:r>
      <w:r w:rsidRPr="00FB0844">
        <w:rPr>
          <w:rStyle w:val="Funotenzeichen"/>
          <w:szCs w:val="22"/>
        </w:rPr>
        <w:footnoteReference w:id="2"/>
      </w:r>
      <w:r w:rsidRPr="00FB0844">
        <w:rPr>
          <w:szCs w:val="22"/>
        </w:rPr>
        <w:t xml:space="preserve"> stellt in ihrer täglichen Zusammenarbeit mi</w:t>
      </w:r>
      <w:r w:rsidR="00351FD7">
        <w:rPr>
          <w:szCs w:val="22"/>
        </w:rPr>
        <w:t>t dem*der Klient*</w:t>
      </w:r>
      <w:r w:rsidRPr="00FB0844">
        <w:rPr>
          <w:szCs w:val="22"/>
        </w:rPr>
        <w:t>in einen Bildungsbedarf fest. Ist dies der Fall, stellt die Bezugsp</w:t>
      </w:r>
      <w:r w:rsidR="00351FD7">
        <w:rPr>
          <w:szCs w:val="22"/>
        </w:rPr>
        <w:t>erson im Einverständnis mit dem*der Klient*</w:t>
      </w:r>
      <w:r w:rsidRPr="00FB0844">
        <w:rPr>
          <w:szCs w:val="22"/>
        </w:rPr>
        <w:t xml:space="preserve">in </w:t>
      </w:r>
      <w:r w:rsidR="00476DCC">
        <w:t>der Fallführung</w:t>
      </w:r>
      <w:r w:rsidRPr="00FB0844" w:rsidDel="00916B25">
        <w:rPr>
          <w:szCs w:val="22"/>
        </w:rPr>
        <w:t xml:space="preserve"> </w:t>
      </w:r>
      <w:r w:rsidRPr="00FB0844">
        <w:rPr>
          <w:szCs w:val="22"/>
        </w:rPr>
        <w:t xml:space="preserve">eine entsprechende Empfehlung für das passende Zusatzmodul per Email zu (siehe </w:t>
      </w:r>
      <w:hyperlink r:id="rId26" w:history="1">
        <w:r w:rsidRPr="00FB0844">
          <w:rPr>
            <w:rStyle w:val="Hyperlink"/>
            <w:szCs w:val="22"/>
          </w:rPr>
          <w:t>Formular Empfehlung durch Anbieter für (qualifizierende) Zusatzmodul</w:t>
        </w:r>
      </w:hyperlink>
      <w:r w:rsidRPr="00FB0844">
        <w:rPr>
          <w:szCs w:val="22"/>
        </w:rPr>
        <w:t xml:space="preserve">). </w:t>
      </w:r>
      <w:r w:rsidR="00476DCC">
        <w:t>Die Fallführung</w:t>
      </w:r>
      <w:r w:rsidRPr="00FB0844">
        <w:t xml:space="preserve"> </w:t>
      </w:r>
      <w:r w:rsidRPr="00FB0844">
        <w:rPr>
          <w:szCs w:val="22"/>
        </w:rPr>
        <w:t>entscheidet mittels Erteilung der entsprechenden Kostengutsprache, ob der Kurs besucht werden kann. In der Regel erfolgt die Kursanmeldung durch die Bezugsperson im Grundangebot.</w:t>
      </w:r>
    </w:p>
    <w:p w14:paraId="056B0C92" w14:textId="77777777" w:rsidR="009E6828" w:rsidRPr="00FB0844" w:rsidRDefault="009E6828" w:rsidP="009E6828">
      <w:pPr>
        <w:rPr>
          <w:szCs w:val="22"/>
        </w:rPr>
      </w:pPr>
    </w:p>
    <w:p w14:paraId="76CDFDA0" w14:textId="77777777" w:rsidR="009E6828" w:rsidRPr="00FB0844" w:rsidRDefault="009E6828" w:rsidP="009E6828">
      <w:pPr>
        <w:pStyle w:val="berschrift1"/>
        <w:tabs>
          <w:tab w:val="clear" w:pos="432"/>
          <w:tab w:val="clear" w:pos="709"/>
          <w:tab w:val="num" w:pos="715"/>
        </w:tabs>
        <w:spacing w:before="240" w:after="120"/>
        <w:ind w:left="432" w:hanging="432"/>
      </w:pPr>
      <w:bookmarkStart w:id="14" w:name="_Toc102149983"/>
      <w:r w:rsidRPr="00FB0844">
        <w:t>Unterstützung bei der Stellensuche</w:t>
      </w:r>
      <w:bookmarkEnd w:id="14"/>
      <w:r w:rsidRPr="00FB0844">
        <w:t xml:space="preserve"> </w:t>
      </w:r>
    </w:p>
    <w:p w14:paraId="0ABBA192" w14:textId="77777777" w:rsidR="00A23BC1" w:rsidRDefault="009E6828" w:rsidP="009E6828">
      <w:pPr>
        <w:pStyle w:val="Absatz0"/>
        <w:jc w:val="both"/>
        <w:rPr>
          <w:szCs w:val="22"/>
        </w:rPr>
      </w:pPr>
      <w:r w:rsidRPr="00FB0844">
        <w:rPr>
          <w:szCs w:val="22"/>
        </w:rPr>
        <w:t>Zur Unterstützung bei der Stel</w:t>
      </w:r>
      <w:r w:rsidR="00351FD7">
        <w:rPr>
          <w:szCs w:val="22"/>
        </w:rPr>
        <w:t>lensuche wird mit allen Klient*</w:t>
      </w:r>
      <w:r w:rsidRPr="00FB0844">
        <w:rPr>
          <w:szCs w:val="22"/>
        </w:rPr>
        <w:t>innen im Rahmen der NAVI ein Lebenslauf erstellt. Im Anschluss an die NAVI stehen für die Unterstützung bei der Stellensuche zielgruppenspezifische Angebote zur Verfügung (siehe Kap. 6).</w:t>
      </w:r>
    </w:p>
    <w:p w14:paraId="1B53E1EC" w14:textId="77777777" w:rsidR="00A23BC1" w:rsidRDefault="00A23BC1" w:rsidP="009E6828">
      <w:pPr>
        <w:pStyle w:val="Absatz0"/>
        <w:jc w:val="both"/>
        <w:rPr>
          <w:szCs w:val="22"/>
        </w:rPr>
      </w:pPr>
    </w:p>
    <w:p w14:paraId="1B5F299B" w14:textId="3E323C50" w:rsidR="00A23BC1" w:rsidRPr="00FB0844" w:rsidRDefault="00A23BC1" w:rsidP="00A23BC1">
      <w:pPr>
        <w:pStyle w:val="Default"/>
        <w:jc w:val="both"/>
        <w:rPr>
          <w:sz w:val="22"/>
          <w:szCs w:val="22"/>
        </w:rPr>
      </w:pPr>
      <w:r w:rsidRPr="00A23BC1">
        <w:rPr>
          <w:sz w:val="22"/>
          <w:szCs w:val="22"/>
          <w:highlight w:val="yellow"/>
        </w:rPr>
        <w:t xml:space="preserve">Das </w:t>
      </w:r>
      <w:r w:rsidRPr="00A23BC1">
        <w:rPr>
          <w:b/>
          <w:sz w:val="22"/>
          <w:szCs w:val="22"/>
          <w:highlight w:val="yellow"/>
        </w:rPr>
        <w:t>Spezialcoaching AI</w:t>
      </w:r>
      <w:r w:rsidRPr="00A23BC1">
        <w:rPr>
          <w:sz w:val="22"/>
          <w:szCs w:val="22"/>
          <w:highlight w:val="yellow"/>
        </w:rPr>
        <w:t xml:space="preserve"> </w:t>
      </w:r>
      <w:r w:rsidR="00821C55">
        <w:rPr>
          <w:sz w:val="22"/>
          <w:szCs w:val="22"/>
          <w:highlight w:val="yellow"/>
        </w:rPr>
        <w:t xml:space="preserve">der Stellenvermittlung SEB </w:t>
      </w:r>
      <w:r>
        <w:rPr>
          <w:sz w:val="22"/>
          <w:szCs w:val="22"/>
          <w:highlight w:val="yellow"/>
        </w:rPr>
        <w:t xml:space="preserve">steht Klient*innen aller Zielgruppen offen und </w:t>
      </w:r>
      <w:r w:rsidR="00821C55">
        <w:rPr>
          <w:sz w:val="22"/>
          <w:szCs w:val="22"/>
          <w:highlight w:val="yellow"/>
        </w:rPr>
        <w:t xml:space="preserve">richtet sich an Personen, bei welchen </w:t>
      </w:r>
      <w:r w:rsidR="00C76857">
        <w:rPr>
          <w:sz w:val="22"/>
          <w:szCs w:val="22"/>
          <w:highlight w:val="yellow"/>
        </w:rPr>
        <w:t xml:space="preserve">im bestehenden Setting keine Motivation für den Arbeitsintegrationsprozess </w:t>
      </w:r>
      <w:r w:rsidR="009A44C3">
        <w:rPr>
          <w:sz w:val="22"/>
          <w:szCs w:val="22"/>
          <w:highlight w:val="yellow"/>
        </w:rPr>
        <w:t>erkennbar ist</w:t>
      </w:r>
      <w:r w:rsidR="00821C55">
        <w:rPr>
          <w:sz w:val="22"/>
          <w:szCs w:val="22"/>
          <w:highlight w:val="yellow"/>
        </w:rPr>
        <w:t xml:space="preserve"> oder </w:t>
      </w:r>
      <w:r w:rsidR="009A44C3">
        <w:rPr>
          <w:sz w:val="22"/>
          <w:szCs w:val="22"/>
          <w:highlight w:val="yellow"/>
        </w:rPr>
        <w:t>trotz Bemühungen keine Veränderung eintritt</w:t>
      </w:r>
      <w:r w:rsidR="00821C55">
        <w:rPr>
          <w:sz w:val="22"/>
          <w:szCs w:val="22"/>
          <w:highlight w:val="yellow"/>
        </w:rPr>
        <w:t xml:space="preserve">. </w:t>
      </w:r>
      <w:r w:rsidR="00C76857">
        <w:rPr>
          <w:sz w:val="22"/>
          <w:szCs w:val="22"/>
          <w:highlight w:val="yellow"/>
        </w:rPr>
        <w:t xml:space="preserve">Es </w:t>
      </w:r>
      <w:r w:rsidRPr="00A23BC1">
        <w:rPr>
          <w:sz w:val="22"/>
          <w:szCs w:val="22"/>
          <w:highlight w:val="yellow"/>
        </w:rPr>
        <w:t>hat zum Ziel, mit den Klient*innen Ambivalenzen zu klären und die Mo</w:t>
      </w:r>
      <w:r w:rsidR="00C76857">
        <w:rPr>
          <w:sz w:val="22"/>
          <w:szCs w:val="22"/>
          <w:highlight w:val="yellow"/>
        </w:rPr>
        <w:t xml:space="preserve">tivation für die berufliche und </w:t>
      </w:r>
      <w:r w:rsidRPr="00A23BC1">
        <w:rPr>
          <w:sz w:val="22"/>
          <w:szCs w:val="22"/>
          <w:highlight w:val="yellow"/>
        </w:rPr>
        <w:t>soziale Integration aufzubauen. Nach der Klärung der aktuellen Situation werden umsetzbare Ziele definiert und passende Unterstützungsangebote au</w:t>
      </w:r>
      <w:r w:rsidR="00821C55">
        <w:rPr>
          <w:sz w:val="22"/>
          <w:szCs w:val="22"/>
          <w:highlight w:val="yellow"/>
        </w:rPr>
        <w:t>fgezeigt</w:t>
      </w:r>
      <w:r w:rsidRPr="00821C55">
        <w:rPr>
          <w:sz w:val="22"/>
          <w:szCs w:val="22"/>
          <w:highlight w:val="yellow"/>
        </w:rPr>
        <w:t>.</w:t>
      </w:r>
      <w:r w:rsidR="00821C55" w:rsidRPr="00821C55">
        <w:rPr>
          <w:sz w:val="22"/>
          <w:szCs w:val="22"/>
          <w:highlight w:val="yellow"/>
        </w:rPr>
        <w:t xml:space="preserve"> Das Spezialcoaching AI umfas</w:t>
      </w:r>
      <w:r w:rsidR="00821C55">
        <w:rPr>
          <w:sz w:val="22"/>
          <w:szCs w:val="22"/>
          <w:highlight w:val="yellow"/>
        </w:rPr>
        <w:t>st sechs</w:t>
      </w:r>
      <w:r w:rsidR="00821C55" w:rsidRPr="00821C55">
        <w:rPr>
          <w:sz w:val="22"/>
          <w:szCs w:val="22"/>
          <w:highlight w:val="yellow"/>
        </w:rPr>
        <w:t xml:space="preserve"> Beratun</w:t>
      </w:r>
      <w:r w:rsidR="00821C55">
        <w:rPr>
          <w:sz w:val="22"/>
          <w:szCs w:val="22"/>
          <w:highlight w:val="yellow"/>
        </w:rPr>
        <w:t>gsg</w:t>
      </w:r>
      <w:r w:rsidR="00C76857">
        <w:rPr>
          <w:sz w:val="22"/>
          <w:szCs w:val="22"/>
          <w:highlight w:val="yellow"/>
        </w:rPr>
        <w:t xml:space="preserve">espräche in drei Monaten und schliesst </w:t>
      </w:r>
      <w:r w:rsidR="00821C55" w:rsidRPr="00821C55">
        <w:rPr>
          <w:sz w:val="22"/>
          <w:szCs w:val="22"/>
          <w:highlight w:val="yellow"/>
        </w:rPr>
        <w:t>mit einem Förder- und Bewerbungsplan ab.</w:t>
      </w:r>
    </w:p>
    <w:p w14:paraId="10B63B75" w14:textId="77777777" w:rsidR="009E6828" w:rsidRPr="00FB0844" w:rsidRDefault="009E6828" w:rsidP="009E6828">
      <w:pPr>
        <w:pStyle w:val="Absatz0"/>
        <w:jc w:val="both"/>
        <w:rPr>
          <w:szCs w:val="22"/>
        </w:rPr>
      </w:pPr>
    </w:p>
    <w:p w14:paraId="3A13C189" w14:textId="4EBFF632" w:rsidR="009E6828" w:rsidRPr="00FB0844" w:rsidRDefault="009E6828" w:rsidP="009E6828">
      <w:pPr>
        <w:jc w:val="both"/>
        <w:rPr>
          <w:szCs w:val="22"/>
        </w:rPr>
      </w:pPr>
      <w:r w:rsidRPr="00FB0844">
        <w:rPr>
          <w:szCs w:val="22"/>
        </w:rPr>
        <w:lastRenderedPageBreak/>
        <w:t>Die grösste Palette an Angeboten zur Unterstützung bei der Stellensuche steht Personen in der Zielgruppe 3 zur Verfügung, namentlich die Stellenvermittlung von SEB und privaten Anbietern. Die Stellenvermittlung kann auch ohne Arbeitstätigkeit in einem der Grundangebote (Teillohn, Gemeinnützige Arbeit, Qualifizierungsprogramm) besucht werden und dauert sechs Monate mit Option auf Verlängerung für maximal wei</w:t>
      </w:r>
      <w:r w:rsidR="00351FD7">
        <w:rPr>
          <w:szCs w:val="22"/>
        </w:rPr>
        <w:t>tere sechs Monate. Alle Klient*</w:t>
      </w:r>
      <w:r w:rsidRPr="00FB0844">
        <w:rPr>
          <w:szCs w:val="22"/>
        </w:rPr>
        <w:t>innen in Qualifikationsprogrammen besuchen gleichzeitig auch die Stellenvermittlung. Die Stellenvermi</w:t>
      </w:r>
      <w:r w:rsidR="00351FD7">
        <w:rPr>
          <w:szCs w:val="22"/>
        </w:rPr>
        <w:t>ttlung steht auch allen Klient*</w:t>
      </w:r>
      <w:r w:rsidRPr="00FB0844">
        <w:rPr>
          <w:szCs w:val="22"/>
        </w:rPr>
        <w:t xml:space="preserve">innen offen, die bereits einer Teilzeitbeschäftigung im 1. Arbeitsmarkt nachgehen und ihr Arbeitspensum erhöhen wollen. Sie beinhaltet die Entwicklung einer Bewerbungsstrategie auf der Grundlage eines individuellen Kompetenzen- und Fähigkeitsprofils, Erstellen/Aktualisieren des Bewerbungsdossiers, individuelles Bewerbungstraining sowie Akquisition von geeigneten Stellen. Bei Bedarf begleitet die Stellenvermittlung Teilnehmende in den ersten Anstellungsmonaten im 1. Arbeitsmarkt (Supported Employment). </w:t>
      </w:r>
    </w:p>
    <w:p w14:paraId="22F469EE" w14:textId="77777777" w:rsidR="009E6828" w:rsidRPr="00FB0844" w:rsidRDefault="009E6828" w:rsidP="009E6828">
      <w:pPr>
        <w:rPr>
          <w:szCs w:val="22"/>
        </w:rPr>
      </w:pPr>
    </w:p>
    <w:p w14:paraId="15909C0A" w14:textId="77777777" w:rsidR="009E6828" w:rsidRPr="00FB0844" w:rsidRDefault="009E6828" w:rsidP="009E6828">
      <w:pPr>
        <w:pStyle w:val="berschrift1"/>
        <w:tabs>
          <w:tab w:val="clear" w:pos="432"/>
          <w:tab w:val="clear" w:pos="709"/>
          <w:tab w:val="num" w:pos="715"/>
        </w:tabs>
        <w:spacing w:before="240" w:after="120"/>
        <w:ind w:left="432" w:hanging="432"/>
      </w:pPr>
      <w:bookmarkStart w:id="15" w:name="_Toc508603424"/>
      <w:bookmarkStart w:id="16" w:name="_Toc102149984"/>
      <w:r w:rsidRPr="00FB0844">
        <w:t>Übersicht zielgruppenspezifische Angebotspalette</w:t>
      </w:r>
      <w:bookmarkEnd w:id="15"/>
      <w:bookmarkEnd w:id="16"/>
    </w:p>
    <w:p w14:paraId="67BEF788" w14:textId="77777777" w:rsidR="009E6828" w:rsidRPr="00FB0844" w:rsidRDefault="009E6828" w:rsidP="009E6828">
      <w:pPr>
        <w:pStyle w:val="Absatz0"/>
      </w:pPr>
      <w:bookmarkStart w:id="17" w:name="_Toc503525917"/>
      <w:bookmarkStart w:id="18" w:name="_Toc503525982"/>
      <w:bookmarkStart w:id="19" w:name="_Toc503525918"/>
      <w:bookmarkStart w:id="20" w:name="_Toc503525983"/>
      <w:bookmarkStart w:id="21" w:name="_Toc503525919"/>
      <w:bookmarkStart w:id="22" w:name="_Toc503525984"/>
      <w:bookmarkStart w:id="23" w:name="_Toc503525920"/>
      <w:bookmarkStart w:id="24" w:name="_Toc503525985"/>
      <w:bookmarkStart w:id="25" w:name="_Toc503525921"/>
      <w:bookmarkStart w:id="26" w:name="_Toc503525986"/>
      <w:bookmarkStart w:id="27" w:name="_Toc503525922"/>
      <w:bookmarkStart w:id="28" w:name="_Toc503525987"/>
      <w:bookmarkStart w:id="29" w:name="_Toc503525923"/>
      <w:bookmarkStart w:id="30" w:name="_Toc503525988"/>
      <w:bookmarkStart w:id="31" w:name="_Toc503525924"/>
      <w:bookmarkStart w:id="32" w:name="_Toc503525989"/>
      <w:bookmarkStart w:id="33" w:name="_Toc503525925"/>
      <w:bookmarkStart w:id="34" w:name="_Toc503525990"/>
      <w:bookmarkStart w:id="35" w:name="_Toc503525926"/>
      <w:bookmarkStart w:id="36" w:name="_Toc50352599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6322"/>
      </w:tblGrid>
      <w:tr w:rsidR="009E6828" w:rsidRPr="00FB0844" w14:paraId="213EFADA" w14:textId="77777777" w:rsidTr="0041388B">
        <w:trPr>
          <w:trHeight w:val="196"/>
        </w:trPr>
        <w:tc>
          <w:tcPr>
            <w:tcW w:w="9061" w:type="dxa"/>
            <w:gridSpan w:val="2"/>
            <w:shd w:val="clear" w:color="auto" w:fill="auto"/>
            <w:vAlign w:val="center"/>
          </w:tcPr>
          <w:p w14:paraId="242B1CAF" w14:textId="77777777" w:rsidR="009E6828" w:rsidRPr="00FB0844" w:rsidRDefault="009E6828" w:rsidP="0041388B">
            <w:pPr>
              <w:jc w:val="center"/>
              <w:rPr>
                <w:rFonts w:eastAsia="Calibri"/>
                <w:b/>
                <w:szCs w:val="22"/>
              </w:rPr>
            </w:pPr>
          </w:p>
          <w:p w14:paraId="24F83E37" w14:textId="77777777" w:rsidR="009E6828" w:rsidRPr="00FB0844" w:rsidRDefault="009E6828" w:rsidP="0041388B">
            <w:pPr>
              <w:jc w:val="center"/>
              <w:rPr>
                <w:rFonts w:eastAsia="Calibri"/>
                <w:b/>
                <w:szCs w:val="22"/>
              </w:rPr>
            </w:pPr>
            <w:r w:rsidRPr="00FB0844">
              <w:rPr>
                <w:rFonts w:eastAsia="Calibri"/>
                <w:b/>
                <w:szCs w:val="22"/>
              </w:rPr>
              <w:t>Zielgruppe 1 (Verbleib unbefristet)</w:t>
            </w:r>
          </w:p>
          <w:p w14:paraId="6277993F" w14:textId="77777777" w:rsidR="009E6828" w:rsidRPr="00FB0844" w:rsidRDefault="009E6828" w:rsidP="0041388B">
            <w:pPr>
              <w:jc w:val="center"/>
              <w:rPr>
                <w:rFonts w:eastAsia="Calibri"/>
                <w:b/>
                <w:szCs w:val="22"/>
              </w:rPr>
            </w:pPr>
          </w:p>
        </w:tc>
      </w:tr>
      <w:tr w:rsidR="009E6828" w:rsidRPr="00FB0844" w14:paraId="58B64455" w14:textId="77777777" w:rsidTr="0041388B">
        <w:tc>
          <w:tcPr>
            <w:tcW w:w="9061" w:type="dxa"/>
            <w:gridSpan w:val="2"/>
            <w:shd w:val="clear" w:color="auto" w:fill="auto"/>
            <w:vAlign w:val="center"/>
          </w:tcPr>
          <w:p w14:paraId="082A456E" w14:textId="77777777" w:rsidR="009E6828" w:rsidRPr="00FB0844" w:rsidRDefault="009E6828" w:rsidP="0041388B">
            <w:pPr>
              <w:rPr>
                <w:rFonts w:eastAsia="Calibri"/>
                <w:szCs w:val="22"/>
              </w:rPr>
            </w:pPr>
            <w:r w:rsidRPr="00FB0844">
              <w:rPr>
                <w:rFonts w:eastAsia="Calibri"/>
                <w:b/>
                <w:szCs w:val="22"/>
              </w:rPr>
              <w:t xml:space="preserve">Arbeit </w:t>
            </w:r>
          </w:p>
        </w:tc>
      </w:tr>
      <w:tr w:rsidR="009E6828" w:rsidRPr="00FB0844" w14:paraId="7FB7B952" w14:textId="77777777" w:rsidTr="0041388B">
        <w:tc>
          <w:tcPr>
            <w:tcW w:w="2739" w:type="dxa"/>
            <w:shd w:val="clear" w:color="auto" w:fill="auto"/>
            <w:vAlign w:val="center"/>
          </w:tcPr>
          <w:p w14:paraId="636853A2" w14:textId="77777777" w:rsidR="009E6828" w:rsidRPr="00FB0844" w:rsidRDefault="009E6828" w:rsidP="0041388B">
            <w:pPr>
              <w:rPr>
                <w:rFonts w:eastAsia="Calibri"/>
                <w:szCs w:val="22"/>
              </w:rPr>
            </w:pPr>
            <w:r w:rsidRPr="00FB0844">
              <w:rPr>
                <w:rFonts w:eastAsia="Calibri"/>
                <w:szCs w:val="22"/>
              </w:rPr>
              <w:t>Grundangebot</w:t>
            </w:r>
          </w:p>
        </w:tc>
        <w:tc>
          <w:tcPr>
            <w:tcW w:w="6322" w:type="dxa"/>
            <w:shd w:val="clear" w:color="auto" w:fill="auto"/>
            <w:vAlign w:val="center"/>
          </w:tcPr>
          <w:p w14:paraId="345D5720"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Teillohn</w:t>
            </w:r>
          </w:p>
          <w:p w14:paraId="7BE44854"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Gemeinnützige Arbeit</w:t>
            </w:r>
          </w:p>
        </w:tc>
      </w:tr>
      <w:tr w:rsidR="009E6828" w:rsidRPr="00FB0844" w14:paraId="5A693271" w14:textId="77777777" w:rsidTr="0041388B">
        <w:trPr>
          <w:trHeight w:val="535"/>
        </w:trPr>
        <w:tc>
          <w:tcPr>
            <w:tcW w:w="2739" w:type="dxa"/>
            <w:shd w:val="clear" w:color="auto" w:fill="auto"/>
            <w:vAlign w:val="center"/>
          </w:tcPr>
          <w:p w14:paraId="464D73E7" w14:textId="77777777" w:rsidR="009E6828" w:rsidRPr="00FB0844" w:rsidRDefault="009E6828" w:rsidP="0041388B">
            <w:pPr>
              <w:rPr>
                <w:rFonts w:eastAsia="Calibri"/>
                <w:szCs w:val="22"/>
              </w:rPr>
            </w:pPr>
            <w:r w:rsidRPr="00FB0844">
              <w:rPr>
                <w:rFonts w:eastAsia="Calibri"/>
                <w:szCs w:val="22"/>
              </w:rPr>
              <w:t>Arbeitszeugnis</w:t>
            </w:r>
          </w:p>
        </w:tc>
        <w:tc>
          <w:tcPr>
            <w:tcW w:w="6322" w:type="dxa"/>
            <w:shd w:val="clear" w:color="auto" w:fill="auto"/>
            <w:vAlign w:val="center"/>
          </w:tcPr>
          <w:p w14:paraId="24643B2A"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immer bei Austritt</w:t>
            </w:r>
          </w:p>
          <w:p w14:paraId="343E705B"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Zwischenzeugnis auf Verlangen Klient*in</w:t>
            </w:r>
          </w:p>
        </w:tc>
      </w:tr>
      <w:tr w:rsidR="009E6828" w:rsidRPr="00FB0844" w14:paraId="5683375E" w14:textId="77777777" w:rsidTr="0041388B">
        <w:tc>
          <w:tcPr>
            <w:tcW w:w="9061" w:type="dxa"/>
            <w:gridSpan w:val="2"/>
            <w:shd w:val="clear" w:color="auto" w:fill="auto"/>
            <w:vAlign w:val="center"/>
          </w:tcPr>
          <w:p w14:paraId="10C0FBA9" w14:textId="77777777" w:rsidR="009E6828" w:rsidRPr="00FB0844" w:rsidRDefault="009E6828" w:rsidP="0041388B">
            <w:pPr>
              <w:rPr>
                <w:rFonts w:eastAsia="Calibri"/>
                <w:szCs w:val="22"/>
              </w:rPr>
            </w:pPr>
            <w:r w:rsidRPr="00FB0844">
              <w:rPr>
                <w:rFonts w:eastAsia="Calibri"/>
                <w:b/>
                <w:szCs w:val="22"/>
              </w:rPr>
              <w:t xml:space="preserve">Bildung </w:t>
            </w:r>
          </w:p>
        </w:tc>
      </w:tr>
      <w:tr w:rsidR="009E6828" w:rsidRPr="00FB0844" w14:paraId="2410ED24" w14:textId="77777777" w:rsidTr="0041388B">
        <w:tc>
          <w:tcPr>
            <w:tcW w:w="2739" w:type="dxa"/>
            <w:shd w:val="clear" w:color="auto" w:fill="auto"/>
            <w:vAlign w:val="center"/>
          </w:tcPr>
          <w:p w14:paraId="02EFFB1A" w14:textId="77777777" w:rsidR="009E6828" w:rsidRPr="00FB0844" w:rsidRDefault="00DF6178" w:rsidP="0041388B">
            <w:pPr>
              <w:rPr>
                <w:rFonts w:eastAsia="Calibri"/>
                <w:szCs w:val="22"/>
              </w:rPr>
            </w:pPr>
            <w:hyperlink r:id="rId27" w:history="1">
              <w:r w:rsidR="009E6828" w:rsidRPr="00FB0844">
                <w:rPr>
                  <w:rStyle w:val="Hyperlink"/>
                  <w:rFonts w:eastAsia="Calibri"/>
                  <w:szCs w:val="22"/>
                </w:rPr>
                <w:t>Kurse Grundkompetenzen</w:t>
              </w:r>
            </w:hyperlink>
          </w:p>
        </w:tc>
        <w:tc>
          <w:tcPr>
            <w:tcW w:w="6322" w:type="dxa"/>
            <w:shd w:val="clear" w:color="auto" w:fill="auto"/>
            <w:vAlign w:val="center"/>
          </w:tcPr>
          <w:p w14:paraId="4B80C1C7"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Deutschkurse SEB und private Anbieter gemäss </w:t>
            </w:r>
            <w:hyperlink r:id="rId28" w:history="1">
              <w:r w:rsidRPr="00FB0844">
                <w:rPr>
                  <w:rStyle w:val="Hyperlink"/>
                  <w:rFonts w:eastAsia="Calibri"/>
                  <w:szCs w:val="22"/>
                </w:rPr>
                <w:t>Deutschkursübersicht</w:t>
              </w:r>
            </w:hyperlink>
          </w:p>
          <w:p w14:paraId="2596C504"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Kurse Grundkompetenzen</w:t>
            </w:r>
          </w:p>
        </w:tc>
      </w:tr>
      <w:tr w:rsidR="009E6828" w:rsidRPr="00FB0844" w14:paraId="47537A8C" w14:textId="77777777" w:rsidTr="0041388B">
        <w:tc>
          <w:tcPr>
            <w:tcW w:w="9061" w:type="dxa"/>
            <w:gridSpan w:val="2"/>
            <w:shd w:val="clear" w:color="auto" w:fill="auto"/>
            <w:vAlign w:val="center"/>
          </w:tcPr>
          <w:p w14:paraId="38664AE1" w14:textId="77777777" w:rsidR="009E6828" w:rsidRPr="00FB0844" w:rsidRDefault="009E6828" w:rsidP="0041388B">
            <w:pPr>
              <w:rPr>
                <w:rFonts w:eastAsia="Calibri"/>
                <w:szCs w:val="22"/>
              </w:rPr>
            </w:pPr>
            <w:r w:rsidRPr="00FB0844">
              <w:rPr>
                <w:rFonts w:eastAsia="Calibri"/>
                <w:b/>
                <w:szCs w:val="22"/>
              </w:rPr>
              <w:t xml:space="preserve">Unterstützung bei der Stellensuche </w:t>
            </w:r>
          </w:p>
        </w:tc>
      </w:tr>
      <w:tr w:rsidR="009E6828" w:rsidRPr="00FB0844" w14:paraId="1E3CF352" w14:textId="77777777" w:rsidTr="0041388B">
        <w:tc>
          <w:tcPr>
            <w:tcW w:w="2739" w:type="dxa"/>
            <w:shd w:val="clear" w:color="auto" w:fill="auto"/>
            <w:vAlign w:val="center"/>
          </w:tcPr>
          <w:p w14:paraId="68911A68" w14:textId="77777777" w:rsidR="009E6828" w:rsidRPr="00FB0844" w:rsidRDefault="009E6828" w:rsidP="0041388B">
            <w:pPr>
              <w:rPr>
                <w:rFonts w:eastAsia="Calibri"/>
                <w:szCs w:val="22"/>
              </w:rPr>
            </w:pPr>
            <w:r w:rsidRPr="00FB0844">
              <w:rPr>
                <w:rFonts w:eastAsia="Calibri"/>
                <w:szCs w:val="22"/>
              </w:rPr>
              <w:t>Bewerbungsunterstützung</w:t>
            </w:r>
          </w:p>
        </w:tc>
        <w:tc>
          <w:tcPr>
            <w:tcW w:w="6322" w:type="dxa"/>
            <w:shd w:val="clear" w:color="auto" w:fill="auto"/>
            <w:vAlign w:val="center"/>
          </w:tcPr>
          <w:p w14:paraId="21AF07E9"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Offene Bewerbungswerkstatt SEB</w:t>
            </w:r>
          </w:p>
          <w:p w14:paraId="52CF4059"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Bewerbungswerkstatt vor Ort (nur im Teillohn SEB) </w:t>
            </w:r>
          </w:p>
          <w:p w14:paraId="73E473D7" w14:textId="47AE48C7" w:rsidR="009E6828" w:rsidRPr="00FB0844" w:rsidRDefault="00351FD7" w:rsidP="0041388B">
            <w:pPr>
              <w:pStyle w:val="Listenabsatz"/>
              <w:numPr>
                <w:ilvl w:val="0"/>
                <w:numId w:val="16"/>
              </w:numPr>
              <w:contextualSpacing/>
              <w:rPr>
                <w:rFonts w:eastAsia="Calibri"/>
                <w:szCs w:val="22"/>
              </w:rPr>
            </w:pPr>
            <w:r>
              <w:rPr>
                <w:rFonts w:eastAsia="Calibri"/>
                <w:szCs w:val="22"/>
              </w:rPr>
              <w:t>Klient*</w:t>
            </w:r>
            <w:r w:rsidR="009E6828" w:rsidRPr="00FB0844">
              <w:rPr>
                <w:rFonts w:eastAsia="Calibri"/>
                <w:szCs w:val="22"/>
              </w:rPr>
              <w:t>in besucht vor Übertritt in die Zielgruppe 3 das Modul Check-in 3</w:t>
            </w:r>
            <w:r w:rsidR="009E6828" w:rsidRPr="00FB0844">
              <w:rPr>
                <w:rStyle w:val="Funotenzeichen"/>
                <w:rFonts w:eastAsia="Calibri"/>
                <w:color w:val="FFFFFF"/>
                <w:szCs w:val="22"/>
              </w:rPr>
              <w:footnoteReference w:id="3"/>
            </w:r>
          </w:p>
        </w:tc>
      </w:tr>
      <w:tr w:rsidR="00615862" w:rsidRPr="00900D08" w14:paraId="15AF00F2" w14:textId="77777777" w:rsidTr="00615862">
        <w:tc>
          <w:tcPr>
            <w:tcW w:w="2739" w:type="dxa"/>
            <w:tcBorders>
              <w:top w:val="single" w:sz="4" w:space="0" w:color="auto"/>
              <w:left w:val="single" w:sz="4" w:space="0" w:color="auto"/>
              <w:bottom w:val="single" w:sz="4" w:space="0" w:color="auto"/>
              <w:right w:val="single" w:sz="4" w:space="0" w:color="auto"/>
            </w:tcBorders>
            <w:shd w:val="clear" w:color="auto" w:fill="auto"/>
            <w:vAlign w:val="center"/>
          </w:tcPr>
          <w:p w14:paraId="6D1750E7" w14:textId="77777777" w:rsidR="00615862" w:rsidRPr="007F392F" w:rsidRDefault="00615862" w:rsidP="00CF734E">
            <w:pPr>
              <w:rPr>
                <w:rFonts w:eastAsia="Calibri"/>
                <w:szCs w:val="22"/>
                <w:highlight w:val="yellow"/>
              </w:rPr>
            </w:pPr>
            <w:r w:rsidRPr="007F392F">
              <w:rPr>
                <w:rFonts w:eastAsia="Calibri"/>
                <w:szCs w:val="22"/>
                <w:highlight w:val="yellow"/>
              </w:rPr>
              <w:t>Motivation</w:t>
            </w:r>
          </w:p>
        </w:tc>
        <w:tc>
          <w:tcPr>
            <w:tcW w:w="6322" w:type="dxa"/>
            <w:tcBorders>
              <w:top w:val="single" w:sz="4" w:space="0" w:color="auto"/>
              <w:left w:val="single" w:sz="4" w:space="0" w:color="auto"/>
              <w:bottom w:val="single" w:sz="4" w:space="0" w:color="auto"/>
              <w:right w:val="single" w:sz="4" w:space="0" w:color="auto"/>
            </w:tcBorders>
            <w:shd w:val="clear" w:color="auto" w:fill="auto"/>
            <w:vAlign w:val="center"/>
          </w:tcPr>
          <w:p w14:paraId="32879013" w14:textId="77777777" w:rsidR="00615862" w:rsidRPr="007F392F" w:rsidRDefault="00615862" w:rsidP="00CF734E">
            <w:pPr>
              <w:pStyle w:val="Listenabsatz"/>
              <w:numPr>
                <w:ilvl w:val="0"/>
                <w:numId w:val="16"/>
              </w:numPr>
              <w:contextualSpacing/>
              <w:rPr>
                <w:rFonts w:eastAsia="Calibri"/>
                <w:szCs w:val="22"/>
                <w:highlight w:val="yellow"/>
              </w:rPr>
            </w:pPr>
            <w:r w:rsidRPr="007F392F">
              <w:rPr>
                <w:rFonts w:eastAsia="Calibri"/>
                <w:szCs w:val="22"/>
                <w:highlight w:val="yellow"/>
              </w:rPr>
              <w:t xml:space="preserve">Spezialcoaching AI der SEB (Ziel: (Wieder-)Aufbau Motivation zur gezielten Stellensuche)  </w:t>
            </w:r>
          </w:p>
        </w:tc>
      </w:tr>
    </w:tbl>
    <w:p w14:paraId="234F6024" w14:textId="4375EE7C" w:rsidR="009E6828" w:rsidRDefault="009E6828" w:rsidP="009E6828"/>
    <w:p w14:paraId="1E4ADC46" w14:textId="77777777" w:rsidR="00821C55" w:rsidRPr="00FB0844" w:rsidRDefault="00821C55" w:rsidP="009E68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6322"/>
      </w:tblGrid>
      <w:tr w:rsidR="009E6828" w:rsidRPr="00FB0844" w14:paraId="04BB5B7C" w14:textId="77777777" w:rsidTr="0041388B">
        <w:tc>
          <w:tcPr>
            <w:tcW w:w="9061" w:type="dxa"/>
            <w:gridSpan w:val="2"/>
            <w:shd w:val="clear" w:color="auto" w:fill="auto"/>
            <w:vAlign w:val="center"/>
          </w:tcPr>
          <w:p w14:paraId="37280644" w14:textId="77777777" w:rsidR="009E6828" w:rsidRPr="00FB0844" w:rsidRDefault="009E6828" w:rsidP="0041388B">
            <w:pPr>
              <w:jc w:val="center"/>
              <w:rPr>
                <w:rFonts w:eastAsia="Calibri"/>
                <w:b/>
                <w:szCs w:val="22"/>
              </w:rPr>
            </w:pPr>
          </w:p>
          <w:p w14:paraId="15853998" w14:textId="77777777" w:rsidR="009E6828" w:rsidRPr="00FB0844" w:rsidRDefault="009E6828" w:rsidP="0041388B">
            <w:pPr>
              <w:jc w:val="center"/>
              <w:rPr>
                <w:rFonts w:eastAsia="Calibri"/>
                <w:b/>
                <w:szCs w:val="22"/>
              </w:rPr>
            </w:pPr>
            <w:r w:rsidRPr="00FB0844">
              <w:rPr>
                <w:rFonts w:eastAsia="Calibri"/>
                <w:b/>
                <w:szCs w:val="22"/>
              </w:rPr>
              <w:t>Zielgruppe 2 (Verbleib unbefristet)</w:t>
            </w:r>
          </w:p>
          <w:p w14:paraId="32FF3C5C" w14:textId="77777777" w:rsidR="009E6828" w:rsidRPr="00FB0844" w:rsidRDefault="009E6828" w:rsidP="0041388B">
            <w:pPr>
              <w:jc w:val="center"/>
              <w:rPr>
                <w:rFonts w:eastAsia="Calibri"/>
                <w:b/>
                <w:szCs w:val="22"/>
              </w:rPr>
            </w:pPr>
          </w:p>
        </w:tc>
      </w:tr>
      <w:tr w:rsidR="009E6828" w:rsidRPr="00FB0844" w14:paraId="07832C59" w14:textId="77777777" w:rsidTr="0041388B">
        <w:tc>
          <w:tcPr>
            <w:tcW w:w="9061" w:type="dxa"/>
            <w:gridSpan w:val="2"/>
            <w:shd w:val="clear" w:color="auto" w:fill="auto"/>
            <w:vAlign w:val="center"/>
          </w:tcPr>
          <w:p w14:paraId="22B15128" w14:textId="77777777" w:rsidR="009E6828" w:rsidRPr="00FB0844" w:rsidRDefault="009E6828" w:rsidP="0041388B">
            <w:pPr>
              <w:rPr>
                <w:rFonts w:eastAsia="Calibri"/>
                <w:szCs w:val="22"/>
              </w:rPr>
            </w:pPr>
            <w:r w:rsidRPr="00FB0844">
              <w:rPr>
                <w:rFonts w:eastAsia="Calibri"/>
                <w:b/>
                <w:szCs w:val="22"/>
              </w:rPr>
              <w:t xml:space="preserve">Arbeit </w:t>
            </w:r>
          </w:p>
        </w:tc>
      </w:tr>
      <w:tr w:rsidR="009E6828" w:rsidRPr="00FB0844" w14:paraId="30F02D03" w14:textId="77777777" w:rsidTr="0041388B">
        <w:tc>
          <w:tcPr>
            <w:tcW w:w="2739" w:type="dxa"/>
            <w:shd w:val="clear" w:color="auto" w:fill="auto"/>
            <w:vAlign w:val="center"/>
          </w:tcPr>
          <w:p w14:paraId="4E490A61" w14:textId="77777777" w:rsidR="009E6828" w:rsidRPr="00FB0844" w:rsidRDefault="009E6828" w:rsidP="0041388B">
            <w:pPr>
              <w:rPr>
                <w:rFonts w:eastAsia="Calibri"/>
                <w:szCs w:val="22"/>
              </w:rPr>
            </w:pPr>
            <w:r w:rsidRPr="00FB0844">
              <w:rPr>
                <w:rFonts w:eastAsia="Calibri"/>
                <w:szCs w:val="22"/>
              </w:rPr>
              <w:t>Grundangebot</w:t>
            </w:r>
          </w:p>
        </w:tc>
        <w:tc>
          <w:tcPr>
            <w:tcW w:w="6322" w:type="dxa"/>
            <w:shd w:val="clear" w:color="auto" w:fill="auto"/>
            <w:vAlign w:val="center"/>
          </w:tcPr>
          <w:p w14:paraId="631FFFFB"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Teillohn</w:t>
            </w:r>
          </w:p>
          <w:p w14:paraId="5DAC2ABB"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Gemeinnützige Arbeit</w:t>
            </w:r>
          </w:p>
        </w:tc>
      </w:tr>
      <w:tr w:rsidR="009E6828" w:rsidRPr="00FB0844" w14:paraId="2AF7D55A" w14:textId="77777777" w:rsidTr="0041388B">
        <w:tc>
          <w:tcPr>
            <w:tcW w:w="2739" w:type="dxa"/>
            <w:shd w:val="clear" w:color="auto" w:fill="auto"/>
            <w:vAlign w:val="center"/>
          </w:tcPr>
          <w:p w14:paraId="08FBA735" w14:textId="77777777" w:rsidR="009E6828" w:rsidRPr="00FB0844" w:rsidRDefault="009E6828" w:rsidP="0041388B">
            <w:pPr>
              <w:rPr>
                <w:rFonts w:eastAsia="Calibri"/>
                <w:szCs w:val="22"/>
              </w:rPr>
            </w:pPr>
            <w:r w:rsidRPr="00FB0844">
              <w:rPr>
                <w:rFonts w:eastAsia="Calibri"/>
                <w:szCs w:val="22"/>
              </w:rPr>
              <w:t>Arbeitszeugnis</w:t>
            </w:r>
          </w:p>
        </w:tc>
        <w:tc>
          <w:tcPr>
            <w:tcW w:w="6322" w:type="dxa"/>
            <w:shd w:val="clear" w:color="auto" w:fill="auto"/>
            <w:vAlign w:val="center"/>
          </w:tcPr>
          <w:p w14:paraId="394A4AEF"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immer bei Austritt</w:t>
            </w:r>
          </w:p>
          <w:p w14:paraId="722992E1" w14:textId="00C47D5D"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Zwisch</w:t>
            </w:r>
            <w:r w:rsidR="00351FD7">
              <w:rPr>
                <w:rFonts w:eastAsia="Calibri"/>
                <w:szCs w:val="22"/>
              </w:rPr>
              <w:t>enzeugnis auf Verlangen Klient*</w:t>
            </w:r>
            <w:r w:rsidRPr="00FB0844">
              <w:rPr>
                <w:rFonts w:eastAsia="Calibri"/>
                <w:szCs w:val="22"/>
              </w:rPr>
              <w:t>in</w:t>
            </w:r>
          </w:p>
          <w:p w14:paraId="3FF4BCB2"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immer bei Wechsel in Zielgruppe 3</w:t>
            </w:r>
          </w:p>
        </w:tc>
      </w:tr>
      <w:tr w:rsidR="009E6828" w:rsidRPr="00FB0844" w14:paraId="7A84C900" w14:textId="77777777" w:rsidTr="0041388B">
        <w:tc>
          <w:tcPr>
            <w:tcW w:w="9061" w:type="dxa"/>
            <w:gridSpan w:val="2"/>
            <w:shd w:val="clear" w:color="auto" w:fill="auto"/>
            <w:vAlign w:val="center"/>
          </w:tcPr>
          <w:p w14:paraId="00C0ABA0" w14:textId="77777777" w:rsidR="009E6828" w:rsidRPr="00FB0844" w:rsidRDefault="009E6828" w:rsidP="0041388B">
            <w:pPr>
              <w:rPr>
                <w:rFonts w:eastAsia="Calibri"/>
                <w:szCs w:val="22"/>
              </w:rPr>
            </w:pPr>
            <w:r w:rsidRPr="00FB0844">
              <w:rPr>
                <w:rFonts w:eastAsia="Calibri"/>
                <w:b/>
                <w:szCs w:val="22"/>
              </w:rPr>
              <w:t>Bildung</w:t>
            </w:r>
          </w:p>
        </w:tc>
      </w:tr>
      <w:tr w:rsidR="009E6828" w:rsidRPr="00FB0844" w14:paraId="7D849FDF" w14:textId="77777777" w:rsidTr="0041388B">
        <w:tc>
          <w:tcPr>
            <w:tcW w:w="2739" w:type="dxa"/>
            <w:shd w:val="clear" w:color="auto" w:fill="auto"/>
            <w:vAlign w:val="center"/>
          </w:tcPr>
          <w:p w14:paraId="532007D3" w14:textId="77777777" w:rsidR="009E6828" w:rsidRPr="00FB0844" w:rsidRDefault="00DF6178" w:rsidP="0041388B">
            <w:pPr>
              <w:rPr>
                <w:rFonts w:eastAsia="Calibri"/>
                <w:szCs w:val="22"/>
              </w:rPr>
            </w:pPr>
            <w:hyperlink r:id="rId29" w:history="1">
              <w:r w:rsidR="009E6828" w:rsidRPr="00FB0844">
                <w:rPr>
                  <w:rStyle w:val="Hyperlink"/>
                  <w:rFonts w:eastAsia="Calibri"/>
                  <w:szCs w:val="22"/>
                </w:rPr>
                <w:t>Kurse Grundkompetenzen</w:t>
              </w:r>
            </w:hyperlink>
          </w:p>
        </w:tc>
        <w:tc>
          <w:tcPr>
            <w:tcW w:w="6322" w:type="dxa"/>
            <w:shd w:val="clear" w:color="auto" w:fill="auto"/>
            <w:vAlign w:val="center"/>
          </w:tcPr>
          <w:p w14:paraId="0ED91494"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Deutschkurse SEB und private Anbieter gemäss </w:t>
            </w:r>
            <w:hyperlink r:id="rId30" w:history="1">
              <w:r w:rsidRPr="00FB0844">
                <w:rPr>
                  <w:rStyle w:val="Hyperlink"/>
                  <w:rFonts w:eastAsia="Calibri"/>
                  <w:szCs w:val="22"/>
                </w:rPr>
                <w:t>Deutschkursübersicht</w:t>
              </w:r>
            </w:hyperlink>
          </w:p>
          <w:p w14:paraId="38F72CF6"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Kurse Grundkompetenzen</w:t>
            </w:r>
          </w:p>
        </w:tc>
      </w:tr>
      <w:tr w:rsidR="009E6828" w:rsidRPr="00FB0844" w14:paraId="48CBE2EB" w14:textId="77777777" w:rsidTr="0041388B">
        <w:tc>
          <w:tcPr>
            <w:tcW w:w="2739" w:type="dxa"/>
            <w:shd w:val="clear" w:color="auto" w:fill="auto"/>
            <w:vAlign w:val="center"/>
          </w:tcPr>
          <w:p w14:paraId="63F62B4A" w14:textId="77777777" w:rsidR="009E6828" w:rsidRPr="00FB0844" w:rsidRDefault="00DF6178" w:rsidP="0041388B">
            <w:pPr>
              <w:rPr>
                <w:rFonts w:eastAsia="Calibri"/>
                <w:szCs w:val="22"/>
              </w:rPr>
            </w:pPr>
            <w:hyperlink r:id="rId31" w:history="1">
              <w:r w:rsidR="009E6828" w:rsidRPr="00FB0844">
                <w:rPr>
                  <w:rStyle w:val="Hyperlink"/>
                  <w:rFonts w:eastAsia="Calibri"/>
                  <w:szCs w:val="22"/>
                </w:rPr>
                <w:t>Fachkurse</w:t>
              </w:r>
            </w:hyperlink>
          </w:p>
        </w:tc>
        <w:tc>
          <w:tcPr>
            <w:tcW w:w="6322" w:type="dxa"/>
            <w:shd w:val="clear" w:color="auto" w:fill="auto"/>
            <w:vAlign w:val="center"/>
          </w:tcPr>
          <w:p w14:paraId="75E7AAB1" w14:textId="77777777" w:rsidR="009E6828" w:rsidRPr="00FB0844" w:rsidRDefault="009E6828" w:rsidP="0041388B">
            <w:pPr>
              <w:pStyle w:val="Listenabsatz"/>
              <w:numPr>
                <w:ilvl w:val="0"/>
                <w:numId w:val="16"/>
              </w:numPr>
              <w:contextualSpacing/>
              <w:rPr>
                <w:rFonts w:eastAsia="Calibri"/>
                <w:szCs w:val="22"/>
                <w:lang w:val="en-US"/>
              </w:rPr>
            </w:pPr>
            <w:r w:rsidRPr="00FB0844">
              <w:rPr>
                <w:rFonts w:eastAsia="Calibri"/>
                <w:szCs w:val="22"/>
                <w:lang w:val="en-US"/>
              </w:rPr>
              <w:t>Fachkurse on the job</w:t>
            </w:r>
          </w:p>
          <w:p w14:paraId="538C4F52"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Externe Fachkurse </w:t>
            </w:r>
          </w:p>
        </w:tc>
      </w:tr>
      <w:tr w:rsidR="009E6828" w:rsidRPr="00FB0844" w14:paraId="678FC45A" w14:textId="77777777" w:rsidTr="0041388B">
        <w:tc>
          <w:tcPr>
            <w:tcW w:w="9061" w:type="dxa"/>
            <w:gridSpan w:val="2"/>
            <w:shd w:val="clear" w:color="auto" w:fill="auto"/>
            <w:vAlign w:val="center"/>
          </w:tcPr>
          <w:p w14:paraId="50CD1AF3" w14:textId="77777777" w:rsidR="009E6828" w:rsidRPr="00FB0844" w:rsidRDefault="009E6828" w:rsidP="0041388B">
            <w:pPr>
              <w:rPr>
                <w:rFonts w:eastAsia="Calibri"/>
                <w:szCs w:val="22"/>
              </w:rPr>
            </w:pPr>
            <w:r w:rsidRPr="00FB0844">
              <w:rPr>
                <w:rFonts w:eastAsia="Calibri"/>
                <w:b/>
                <w:szCs w:val="22"/>
              </w:rPr>
              <w:t>Unterstützung bei der Stellensuche</w:t>
            </w:r>
          </w:p>
        </w:tc>
      </w:tr>
      <w:tr w:rsidR="009E6828" w:rsidRPr="00FB0844" w14:paraId="696F3F00" w14:textId="77777777" w:rsidTr="0041388B">
        <w:tc>
          <w:tcPr>
            <w:tcW w:w="2739" w:type="dxa"/>
            <w:shd w:val="clear" w:color="auto" w:fill="auto"/>
            <w:vAlign w:val="center"/>
          </w:tcPr>
          <w:p w14:paraId="116C9600" w14:textId="77777777" w:rsidR="009E6828" w:rsidRPr="00FB0844" w:rsidRDefault="009E6828" w:rsidP="0041388B">
            <w:pPr>
              <w:rPr>
                <w:rFonts w:eastAsia="Calibri"/>
                <w:szCs w:val="22"/>
              </w:rPr>
            </w:pPr>
            <w:r w:rsidRPr="00FB0844">
              <w:rPr>
                <w:rFonts w:eastAsia="Calibri"/>
                <w:szCs w:val="22"/>
              </w:rPr>
              <w:t>Bewerbungsunterstützung</w:t>
            </w:r>
          </w:p>
        </w:tc>
        <w:tc>
          <w:tcPr>
            <w:tcW w:w="6322" w:type="dxa"/>
            <w:shd w:val="clear" w:color="auto" w:fill="auto"/>
            <w:vAlign w:val="center"/>
          </w:tcPr>
          <w:p w14:paraId="0DC347A8"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Offene Bewerbungswerkstatt SEB</w:t>
            </w:r>
          </w:p>
          <w:p w14:paraId="17A0C0B7"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Bewerbungswerkstatt vor Ort (nur im Teillohn SEB)  </w:t>
            </w:r>
          </w:p>
          <w:p w14:paraId="0D0DE74D" w14:textId="57AD17A3" w:rsidR="009E6828" w:rsidRPr="00FB0844" w:rsidRDefault="00351FD7" w:rsidP="0041388B">
            <w:pPr>
              <w:pStyle w:val="Listenabsatz"/>
              <w:numPr>
                <w:ilvl w:val="0"/>
                <w:numId w:val="16"/>
              </w:numPr>
              <w:contextualSpacing/>
              <w:rPr>
                <w:rFonts w:eastAsia="Calibri"/>
                <w:szCs w:val="22"/>
              </w:rPr>
            </w:pPr>
            <w:r>
              <w:rPr>
                <w:rFonts w:eastAsia="Calibri"/>
                <w:szCs w:val="22"/>
              </w:rPr>
              <w:t>Klient*</w:t>
            </w:r>
            <w:r w:rsidR="009E6828" w:rsidRPr="00FB0844">
              <w:rPr>
                <w:rFonts w:eastAsia="Calibri"/>
                <w:szCs w:val="22"/>
              </w:rPr>
              <w:t>in besucht vor Übertritt in die Zielgruppe 3 das Modul Check-in 3</w:t>
            </w:r>
          </w:p>
        </w:tc>
      </w:tr>
      <w:tr w:rsidR="00900D08" w:rsidRPr="00FB0844" w14:paraId="13537A4E" w14:textId="77777777" w:rsidTr="00900D08">
        <w:tc>
          <w:tcPr>
            <w:tcW w:w="2739" w:type="dxa"/>
            <w:tcBorders>
              <w:top w:val="single" w:sz="4" w:space="0" w:color="auto"/>
              <w:left w:val="single" w:sz="4" w:space="0" w:color="auto"/>
              <w:bottom w:val="single" w:sz="4" w:space="0" w:color="auto"/>
              <w:right w:val="single" w:sz="4" w:space="0" w:color="auto"/>
            </w:tcBorders>
            <w:shd w:val="clear" w:color="auto" w:fill="auto"/>
            <w:vAlign w:val="center"/>
          </w:tcPr>
          <w:p w14:paraId="3CFE3F49" w14:textId="77777777" w:rsidR="00900D08" w:rsidRPr="00900D08" w:rsidRDefault="00900D08" w:rsidP="00CF734E">
            <w:pPr>
              <w:rPr>
                <w:rFonts w:eastAsia="Calibri"/>
                <w:szCs w:val="22"/>
                <w:highlight w:val="yellow"/>
              </w:rPr>
            </w:pPr>
            <w:r w:rsidRPr="00900D08">
              <w:rPr>
                <w:rFonts w:eastAsia="Calibri"/>
                <w:szCs w:val="22"/>
                <w:highlight w:val="yellow"/>
              </w:rPr>
              <w:t>Motivation</w:t>
            </w:r>
          </w:p>
        </w:tc>
        <w:tc>
          <w:tcPr>
            <w:tcW w:w="6322" w:type="dxa"/>
            <w:tcBorders>
              <w:top w:val="single" w:sz="4" w:space="0" w:color="auto"/>
              <w:left w:val="single" w:sz="4" w:space="0" w:color="auto"/>
              <w:bottom w:val="single" w:sz="4" w:space="0" w:color="auto"/>
              <w:right w:val="single" w:sz="4" w:space="0" w:color="auto"/>
            </w:tcBorders>
            <w:shd w:val="clear" w:color="auto" w:fill="auto"/>
            <w:vAlign w:val="center"/>
          </w:tcPr>
          <w:p w14:paraId="00CEA9C4" w14:textId="77777777" w:rsidR="00900D08" w:rsidRPr="00900D08" w:rsidRDefault="00900D08" w:rsidP="00CF734E">
            <w:pPr>
              <w:pStyle w:val="Listenabsatz"/>
              <w:numPr>
                <w:ilvl w:val="0"/>
                <w:numId w:val="16"/>
              </w:numPr>
              <w:contextualSpacing/>
              <w:rPr>
                <w:rFonts w:eastAsia="Calibri"/>
                <w:szCs w:val="22"/>
                <w:highlight w:val="yellow"/>
              </w:rPr>
            </w:pPr>
            <w:r w:rsidRPr="00900D08">
              <w:rPr>
                <w:rFonts w:eastAsia="Calibri"/>
                <w:szCs w:val="22"/>
                <w:highlight w:val="yellow"/>
              </w:rPr>
              <w:t xml:space="preserve">Spezialcoaching AI der SEB (Ziel: (Wieder-)Aufbau Motivation zur gezielten Stellensuche)  </w:t>
            </w:r>
          </w:p>
        </w:tc>
      </w:tr>
    </w:tbl>
    <w:p w14:paraId="6BD0CE85" w14:textId="77777777" w:rsidR="009E6828" w:rsidRPr="00FB0844" w:rsidRDefault="009E6828" w:rsidP="009E6828"/>
    <w:p w14:paraId="448FB742" w14:textId="77777777" w:rsidR="009E6828" w:rsidRPr="00FB0844" w:rsidRDefault="009E6828" w:rsidP="009E68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6322"/>
      </w:tblGrid>
      <w:tr w:rsidR="009E6828" w:rsidRPr="00FB0844" w14:paraId="3A15F3B5" w14:textId="77777777" w:rsidTr="0041388B">
        <w:tc>
          <w:tcPr>
            <w:tcW w:w="9061" w:type="dxa"/>
            <w:gridSpan w:val="2"/>
            <w:shd w:val="clear" w:color="auto" w:fill="auto"/>
            <w:vAlign w:val="center"/>
          </w:tcPr>
          <w:p w14:paraId="48EC5A17" w14:textId="77777777" w:rsidR="009E6828" w:rsidRPr="00FB0844" w:rsidRDefault="009E6828" w:rsidP="0041388B">
            <w:pPr>
              <w:jc w:val="center"/>
              <w:rPr>
                <w:rFonts w:eastAsia="Calibri"/>
                <w:b/>
                <w:szCs w:val="22"/>
              </w:rPr>
            </w:pPr>
          </w:p>
          <w:p w14:paraId="2E48FA60" w14:textId="77777777" w:rsidR="009E6828" w:rsidRPr="00FB0844" w:rsidRDefault="009E6828" w:rsidP="0041388B">
            <w:pPr>
              <w:jc w:val="center"/>
              <w:rPr>
                <w:rFonts w:eastAsia="Calibri"/>
                <w:b/>
                <w:szCs w:val="22"/>
              </w:rPr>
            </w:pPr>
            <w:r w:rsidRPr="00FB0844">
              <w:rPr>
                <w:rFonts w:eastAsia="Calibri"/>
                <w:b/>
                <w:szCs w:val="22"/>
              </w:rPr>
              <w:t>Zielgruppe 3 (Verbleib i.d.R. max. zwei Jahre</w:t>
            </w:r>
            <w:r w:rsidRPr="00FB0844">
              <w:rPr>
                <w:rStyle w:val="Funotenzeichen"/>
                <w:rFonts w:eastAsia="Calibri"/>
                <w:b/>
                <w:szCs w:val="22"/>
              </w:rPr>
              <w:footnoteReference w:id="4"/>
            </w:r>
            <w:r w:rsidRPr="00FB0844">
              <w:rPr>
                <w:rFonts w:eastAsia="Calibri"/>
                <w:b/>
                <w:szCs w:val="22"/>
              </w:rPr>
              <w:t>)</w:t>
            </w:r>
          </w:p>
          <w:p w14:paraId="40B9FC6F" w14:textId="77777777" w:rsidR="009E6828" w:rsidRPr="00FB0844" w:rsidRDefault="009E6828" w:rsidP="0041388B">
            <w:pPr>
              <w:jc w:val="center"/>
              <w:rPr>
                <w:rFonts w:eastAsia="Calibri"/>
                <w:b/>
                <w:szCs w:val="22"/>
              </w:rPr>
            </w:pPr>
          </w:p>
        </w:tc>
      </w:tr>
      <w:tr w:rsidR="009E6828" w:rsidRPr="00FB0844" w14:paraId="05670BB4" w14:textId="77777777" w:rsidTr="0041388B">
        <w:tc>
          <w:tcPr>
            <w:tcW w:w="9061" w:type="dxa"/>
            <w:gridSpan w:val="2"/>
            <w:shd w:val="clear" w:color="auto" w:fill="auto"/>
            <w:vAlign w:val="center"/>
          </w:tcPr>
          <w:p w14:paraId="7733483C" w14:textId="77777777" w:rsidR="009E6828" w:rsidRPr="00FB0844" w:rsidRDefault="009E6828" w:rsidP="0041388B">
            <w:pPr>
              <w:rPr>
                <w:rFonts w:eastAsia="Calibri"/>
                <w:szCs w:val="22"/>
              </w:rPr>
            </w:pPr>
            <w:r w:rsidRPr="00FB0844">
              <w:rPr>
                <w:rFonts w:eastAsia="Calibri"/>
                <w:b/>
                <w:szCs w:val="22"/>
              </w:rPr>
              <w:t xml:space="preserve">Arbeit </w:t>
            </w:r>
          </w:p>
        </w:tc>
      </w:tr>
      <w:tr w:rsidR="009E6828" w:rsidRPr="00FB0844" w14:paraId="2D8C66D8" w14:textId="77777777" w:rsidTr="0041388B">
        <w:tc>
          <w:tcPr>
            <w:tcW w:w="2739" w:type="dxa"/>
            <w:shd w:val="clear" w:color="auto" w:fill="auto"/>
            <w:vAlign w:val="center"/>
          </w:tcPr>
          <w:p w14:paraId="5D38AD10" w14:textId="77777777" w:rsidR="009E6828" w:rsidRPr="00FB0844" w:rsidRDefault="009E6828" w:rsidP="0041388B">
            <w:pPr>
              <w:rPr>
                <w:rFonts w:eastAsia="Calibri"/>
                <w:szCs w:val="22"/>
              </w:rPr>
            </w:pPr>
            <w:r w:rsidRPr="00FB0844">
              <w:rPr>
                <w:rFonts w:eastAsia="Calibri"/>
                <w:szCs w:val="22"/>
              </w:rPr>
              <w:t>Grundangebot</w:t>
            </w:r>
          </w:p>
        </w:tc>
        <w:tc>
          <w:tcPr>
            <w:tcW w:w="6322" w:type="dxa"/>
            <w:shd w:val="clear" w:color="auto" w:fill="auto"/>
            <w:vAlign w:val="center"/>
          </w:tcPr>
          <w:p w14:paraId="62543340"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Teillohn</w:t>
            </w:r>
          </w:p>
          <w:p w14:paraId="533F026E"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Gemeinnützige Arbeit</w:t>
            </w:r>
          </w:p>
          <w:p w14:paraId="334D0A2E"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 xml:space="preserve">Qualifikation </w:t>
            </w:r>
          </w:p>
        </w:tc>
      </w:tr>
      <w:tr w:rsidR="009E6828" w:rsidRPr="00FB0844" w14:paraId="3BE34192" w14:textId="77777777" w:rsidTr="0041388B">
        <w:tc>
          <w:tcPr>
            <w:tcW w:w="2739" w:type="dxa"/>
            <w:shd w:val="clear" w:color="auto" w:fill="auto"/>
            <w:vAlign w:val="center"/>
          </w:tcPr>
          <w:p w14:paraId="7E524807" w14:textId="77777777" w:rsidR="009E6828" w:rsidRPr="00FB0844" w:rsidRDefault="009E6828" w:rsidP="0041388B">
            <w:pPr>
              <w:rPr>
                <w:rFonts w:eastAsia="Calibri"/>
                <w:szCs w:val="22"/>
              </w:rPr>
            </w:pPr>
            <w:r w:rsidRPr="00FB0844">
              <w:rPr>
                <w:rFonts w:eastAsia="Calibri"/>
                <w:szCs w:val="22"/>
              </w:rPr>
              <w:t>Arbeitszeugnis</w:t>
            </w:r>
          </w:p>
        </w:tc>
        <w:tc>
          <w:tcPr>
            <w:tcW w:w="6322" w:type="dxa"/>
            <w:shd w:val="clear" w:color="auto" w:fill="auto"/>
            <w:vAlign w:val="center"/>
          </w:tcPr>
          <w:p w14:paraId="35A23366"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immer bei Austritt</w:t>
            </w:r>
          </w:p>
          <w:p w14:paraId="2A9A9777" w14:textId="36938446"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Zwisc</w:t>
            </w:r>
            <w:r w:rsidR="00351FD7">
              <w:rPr>
                <w:rFonts w:eastAsia="Calibri"/>
                <w:szCs w:val="22"/>
              </w:rPr>
              <w:t>henzeugnis auf Verlangen Klient*</w:t>
            </w:r>
            <w:r w:rsidRPr="00FB0844">
              <w:rPr>
                <w:rFonts w:eastAsia="Calibri"/>
                <w:szCs w:val="22"/>
              </w:rPr>
              <w:t>in</w:t>
            </w:r>
          </w:p>
          <w:p w14:paraId="07B167AE"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 xml:space="preserve">in der Qualifikation immer spätestens nach 6 Monaten </w:t>
            </w:r>
          </w:p>
        </w:tc>
      </w:tr>
      <w:tr w:rsidR="009E6828" w:rsidRPr="00FB0844" w14:paraId="6B8530E1" w14:textId="77777777" w:rsidTr="0041388B">
        <w:tc>
          <w:tcPr>
            <w:tcW w:w="9061" w:type="dxa"/>
            <w:gridSpan w:val="2"/>
            <w:shd w:val="clear" w:color="auto" w:fill="auto"/>
            <w:vAlign w:val="center"/>
          </w:tcPr>
          <w:p w14:paraId="18576332" w14:textId="77777777" w:rsidR="009E6828" w:rsidRPr="00FB0844" w:rsidRDefault="009E6828" w:rsidP="0041388B">
            <w:pPr>
              <w:rPr>
                <w:rFonts w:eastAsia="Calibri"/>
                <w:szCs w:val="22"/>
              </w:rPr>
            </w:pPr>
            <w:r w:rsidRPr="00FB0844">
              <w:rPr>
                <w:rFonts w:eastAsia="Calibri"/>
                <w:b/>
                <w:szCs w:val="22"/>
              </w:rPr>
              <w:t xml:space="preserve">Bildung </w:t>
            </w:r>
          </w:p>
        </w:tc>
      </w:tr>
      <w:tr w:rsidR="009E6828" w:rsidRPr="00FB0844" w14:paraId="1B03E320" w14:textId="77777777" w:rsidTr="0041388B">
        <w:tc>
          <w:tcPr>
            <w:tcW w:w="2739" w:type="dxa"/>
            <w:shd w:val="clear" w:color="auto" w:fill="auto"/>
            <w:vAlign w:val="center"/>
          </w:tcPr>
          <w:p w14:paraId="6FB11F06" w14:textId="77777777" w:rsidR="009E6828" w:rsidRPr="00FB0844" w:rsidRDefault="00DF6178" w:rsidP="0041388B">
            <w:pPr>
              <w:rPr>
                <w:rFonts w:eastAsia="Calibri"/>
                <w:szCs w:val="22"/>
              </w:rPr>
            </w:pPr>
            <w:hyperlink r:id="rId32" w:history="1">
              <w:r w:rsidR="009E6828" w:rsidRPr="00FB0844">
                <w:rPr>
                  <w:rStyle w:val="Hyperlink"/>
                  <w:rFonts w:eastAsia="Calibri"/>
                  <w:szCs w:val="22"/>
                </w:rPr>
                <w:t>Kurse Grundkompetenzen</w:t>
              </w:r>
            </w:hyperlink>
          </w:p>
        </w:tc>
        <w:tc>
          <w:tcPr>
            <w:tcW w:w="6322" w:type="dxa"/>
            <w:shd w:val="clear" w:color="auto" w:fill="auto"/>
            <w:vAlign w:val="center"/>
          </w:tcPr>
          <w:p w14:paraId="7900099C"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Deutschkurse SEB und private Anbieter gemäss </w:t>
            </w:r>
            <w:hyperlink r:id="rId33" w:history="1">
              <w:r w:rsidRPr="00FB0844">
                <w:rPr>
                  <w:rStyle w:val="Hyperlink"/>
                  <w:rFonts w:eastAsia="Calibri"/>
                  <w:szCs w:val="22"/>
                </w:rPr>
                <w:t>Deutschkursübersicht</w:t>
              </w:r>
            </w:hyperlink>
          </w:p>
          <w:p w14:paraId="117D9D30"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Kurse Grundkompetenzen</w:t>
            </w:r>
          </w:p>
        </w:tc>
      </w:tr>
      <w:tr w:rsidR="009E6828" w:rsidRPr="00FB0844" w14:paraId="2B0C6B8C" w14:textId="77777777" w:rsidTr="0041388B">
        <w:tc>
          <w:tcPr>
            <w:tcW w:w="2739" w:type="dxa"/>
            <w:shd w:val="clear" w:color="auto" w:fill="auto"/>
            <w:vAlign w:val="center"/>
          </w:tcPr>
          <w:p w14:paraId="7F2D0E4D" w14:textId="77777777" w:rsidR="009E6828" w:rsidRPr="00FB0844" w:rsidRDefault="00DF6178" w:rsidP="0041388B">
            <w:pPr>
              <w:rPr>
                <w:rFonts w:eastAsia="Calibri"/>
                <w:szCs w:val="22"/>
              </w:rPr>
            </w:pPr>
            <w:hyperlink r:id="rId34" w:history="1">
              <w:r w:rsidR="009E6828" w:rsidRPr="00FB0844">
                <w:rPr>
                  <w:rStyle w:val="Hyperlink"/>
                  <w:rFonts w:eastAsia="Calibri"/>
                  <w:szCs w:val="22"/>
                </w:rPr>
                <w:t>Fachkurse</w:t>
              </w:r>
            </w:hyperlink>
          </w:p>
        </w:tc>
        <w:tc>
          <w:tcPr>
            <w:tcW w:w="6322" w:type="dxa"/>
            <w:shd w:val="clear" w:color="auto" w:fill="auto"/>
            <w:vAlign w:val="center"/>
          </w:tcPr>
          <w:p w14:paraId="7E8A8B57" w14:textId="77777777" w:rsidR="009E6828" w:rsidRPr="00FB0844" w:rsidRDefault="009E6828" w:rsidP="0041388B">
            <w:pPr>
              <w:pStyle w:val="Listenabsatz"/>
              <w:numPr>
                <w:ilvl w:val="0"/>
                <w:numId w:val="16"/>
              </w:numPr>
              <w:contextualSpacing/>
              <w:rPr>
                <w:rFonts w:eastAsia="Calibri"/>
                <w:szCs w:val="22"/>
                <w:lang w:val="en-US"/>
              </w:rPr>
            </w:pPr>
            <w:r w:rsidRPr="00FB0844">
              <w:rPr>
                <w:rFonts w:eastAsia="Calibri"/>
                <w:szCs w:val="22"/>
                <w:lang w:val="en-US"/>
              </w:rPr>
              <w:t>Fachkurse on the job</w:t>
            </w:r>
          </w:p>
          <w:p w14:paraId="2410940D"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Externe Fachkurse</w:t>
            </w:r>
          </w:p>
        </w:tc>
      </w:tr>
      <w:tr w:rsidR="009E6828" w:rsidRPr="00FB0844" w14:paraId="48FC07F3" w14:textId="77777777" w:rsidTr="0041388B">
        <w:tc>
          <w:tcPr>
            <w:tcW w:w="9061" w:type="dxa"/>
            <w:gridSpan w:val="2"/>
            <w:shd w:val="clear" w:color="auto" w:fill="auto"/>
            <w:vAlign w:val="center"/>
          </w:tcPr>
          <w:p w14:paraId="1686B5E0" w14:textId="77777777" w:rsidR="009E6828" w:rsidRPr="00FB0844" w:rsidRDefault="009E6828" w:rsidP="0041388B">
            <w:pPr>
              <w:rPr>
                <w:rFonts w:eastAsia="Calibri"/>
                <w:szCs w:val="22"/>
              </w:rPr>
            </w:pPr>
            <w:r w:rsidRPr="00FB0844">
              <w:rPr>
                <w:rFonts w:eastAsia="Calibri"/>
                <w:b/>
                <w:szCs w:val="22"/>
              </w:rPr>
              <w:t xml:space="preserve">Unterstützung bei der Stellensuche </w:t>
            </w:r>
          </w:p>
        </w:tc>
      </w:tr>
      <w:tr w:rsidR="009E6828" w:rsidRPr="00FB0844" w14:paraId="6E475A01" w14:textId="77777777" w:rsidTr="0041388B">
        <w:tc>
          <w:tcPr>
            <w:tcW w:w="2739" w:type="dxa"/>
            <w:shd w:val="clear" w:color="auto" w:fill="auto"/>
            <w:vAlign w:val="center"/>
          </w:tcPr>
          <w:p w14:paraId="07C9CA40" w14:textId="77777777" w:rsidR="009E6828" w:rsidRPr="00FB0844" w:rsidRDefault="009E6828" w:rsidP="0041388B">
            <w:pPr>
              <w:rPr>
                <w:rFonts w:eastAsia="Calibri"/>
                <w:szCs w:val="22"/>
              </w:rPr>
            </w:pPr>
            <w:r w:rsidRPr="00FB0844">
              <w:rPr>
                <w:rFonts w:eastAsia="Calibri"/>
                <w:szCs w:val="22"/>
              </w:rPr>
              <w:t xml:space="preserve">Bewerbungsunterstützung </w:t>
            </w:r>
          </w:p>
        </w:tc>
        <w:tc>
          <w:tcPr>
            <w:tcW w:w="6322" w:type="dxa"/>
            <w:shd w:val="clear" w:color="auto" w:fill="auto"/>
            <w:vAlign w:val="center"/>
          </w:tcPr>
          <w:p w14:paraId="6360ABFA"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Offene Bewerbungswerkstatt SEB</w:t>
            </w:r>
          </w:p>
          <w:p w14:paraId="0EB26E8A"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Bewerbungswerkstatt vor Ort (nur im Teillohn SEB)</w:t>
            </w:r>
          </w:p>
        </w:tc>
      </w:tr>
      <w:tr w:rsidR="009E6828" w:rsidRPr="00FB0844" w14:paraId="292797E1" w14:textId="77777777" w:rsidTr="0041388B">
        <w:tc>
          <w:tcPr>
            <w:tcW w:w="2739" w:type="dxa"/>
            <w:shd w:val="clear" w:color="auto" w:fill="auto"/>
            <w:vAlign w:val="center"/>
          </w:tcPr>
          <w:p w14:paraId="4254C935" w14:textId="77777777" w:rsidR="009E6828" w:rsidRPr="00FB0844" w:rsidRDefault="009E6828" w:rsidP="0041388B">
            <w:pPr>
              <w:rPr>
                <w:rFonts w:eastAsia="Calibri"/>
                <w:szCs w:val="22"/>
              </w:rPr>
            </w:pPr>
            <w:r w:rsidRPr="00FB0844">
              <w:rPr>
                <w:rFonts w:eastAsia="Calibri"/>
                <w:szCs w:val="22"/>
              </w:rPr>
              <w:t xml:space="preserve">Bewerbungskurse </w:t>
            </w:r>
          </w:p>
        </w:tc>
        <w:tc>
          <w:tcPr>
            <w:tcW w:w="6322" w:type="dxa"/>
            <w:shd w:val="clear" w:color="auto" w:fill="auto"/>
            <w:vAlign w:val="center"/>
          </w:tcPr>
          <w:p w14:paraId="49B7BF02" w14:textId="77777777" w:rsidR="009E6828" w:rsidRPr="00FB0844" w:rsidRDefault="009E6828" w:rsidP="0041388B">
            <w:pPr>
              <w:pStyle w:val="Listenabsatz"/>
              <w:numPr>
                <w:ilvl w:val="0"/>
                <w:numId w:val="17"/>
              </w:numPr>
              <w:contextualSpacing/>
              <w:rPr>
                <w:rFonts w:eastAsia="Calibri"/>
                <w:szCs w:val="22"/>
              </w:rPr>
            </w:pPr>
            <w:r w:rsidRPr="00FB0844">
              <w:rPr>
                <w:rFonts w:eastAsia="Calibri"/>
                <w:szCs w:val="22"/>
              </w:rPr>
              <w:t>Bewerbungskurse SEB und private Anbieter gemäss Vertragscenter</w:t>
            </w:r>
          </w:p>
        </w:tc>
      </w:tr>
      <w:tr w:rsidR="009E6828" w:rsidRPr="00FB0844" w14:paraId="55D6B75F" w14:textId="77777777" w:rsidTr="0041388B">
        <w:tc>
          <w:tcPr>
            <w:tcW w:w="2739" w:type="dxa"/>
            <w:shd w:val="clear" w:color="auto" w:fill="auto"/>
            <w:vAlign w:val="center"/>
          </w:tcPr>
          <w:p w14:paraId="6EFA58A5" w14:textId="77777777" w:rsidR="009E6828" w:rsidRPr="00FB0844" w:rsidRDefault="009E6828" w:rsidP="0041388B">
            <w:pPr>
              <w:rPr>
                <w:rFonts w:eastAsia="Calibri"/>
                <w:szCs w:val="22"/>
              </w:rPr>
            </w:pPr>
            <w:r w:rsidRPr="00FB0844">
              <w:rPr>
                <w:rFonts w:eastAsia="Calibri"/>
                <w:szCs w:val="22"/>
              </w:rPr>
              <w:t xml:space="preserve">Stellenvermittlung </w:t>
            </w:r>
          </w:p>
        </w:tc>
        <w:tc>
          <w:tcPr>
            <w:tcW w:w="6322" w:type="dxa"/>
            <w:shd w:val="clear" w:color="auto" w:fill="auto"/>
            <w:vAlign w:val="center"/>
          </w:tcPr>
          <w:p w14:paraId="15279DD7" w14:textId="77777777" w:rsidR="009E6828" w:rsidRPr="00FB0844" w:rsidRDefault="009E6828" w:rsidP="0041388B">
            <w:pPr>
              <w:pStyle w:val="Listenabsatz"/>
              <w:numPr>
                <w:ilvl w:val="0"/>
                <w:numId w:val="17"/>
              </w:numPr>
              <w:contextualSpacing/>
              <w:rPr>
                <w:rFonts w:eastAsia="Calibri"/>
                <w:szCs w:val="22"/>
              </w:rPr>
            </w:pPr>
            <w:r w:rsidRPr="00FB0844">
              <w:rPr>
                <w:rFonts w:eastAsia="Calibri"/>
                <w:szCs w:val="22"/>
              </w:rPr>
              <w:t xml:space="preserve">Stellenvermittlung SEB und private Anbieter </w:t>
            </w:r>
          </w:p>
          <w:p w14:paraId="2BDF0A2A" w14:textId="77777777" w:rsidR="009E6828" w:rsidRPr="00FB0844" w:rsidRDefault="009E6828" w:rsidP="0041388B">
            <w:pPr>
              <w:pStyle w:val="Listenabsatz"/>
              <w:numPr>
                <w:ilvl w:val="0"/>
                <w:numId w:val="17"/>
              </w:numPr>
              <w:contextualSpacing/>
              <w:rPr>
                <w:rFonts w:eastAsia="Calibri"/>
                <w:szCs w:val="22"/>
              </w:rPr>
            </w:pPr>
            <w:r w:rsidRPr="00FB0844">
              <w:rPr>
                <w:rFonts w:eastAsia="Calibri"/>
                <w:szCs w:val="22"/>
              </w:rPr>
              <w:t>Arbeitsmarktliche Integrationsberatung (AMI) der RAV</w:t>
            </w:r>
          </w:p>
          <w:p w14:paraId="2695A48F" w14:textId="77777777" w:rsidR="009E6828" w:rsidRPr="00FB0844" w:rsidRDefault="009E6828" w:rsidP="0041388B">
            <w:pPr>
              <w:pStyle w:val="Listenabsatz"/>
              <w:numPr>
                <w:ilvl w:val="0"/>
                <w:numId w:val="17"/>
              </w:numPr>
              <w:contextualSpacing/>
              <w:rPr>
                <w:rFonts w:eastAsia="Calibri"/>
                <w:szCs w:val="22"/>
              </w:rPr>
            </w:pPr>
            <w:r w:rsidRPr="00FB0844">
              <w:rPr>
                <w:rFonts w:eastAsia="Calibri"/>
                <w:szCs w:val="22"/>
              </w:rPr>
              <w:t>Supported Employment</w:t>
            </w:r>
            <w:r w:rsidRPr="00FB0844">
              <w:rPr>
                <w:rStyle w:val="Funotenzeichen"/>
                <w:rFonts w:eastAsia="Calibri"/>
                <w:szCs w:val="22"/>
              </w:rPr>
              <w:footnoteReference w:id="5"/>
            </w:r>
            <w:r w:rsidRPr="00FB0844">
              <w:rPr>
                <w:rFonts w:eastAsia="Calibri"/>
                <w:szCs w:val="22"/>
              </w:rPr>
              <w:t xml:space="preserve"> </w:t>
            </w:r>
          </w:p>
        </w:tc>
      </w:tr>
      <w:tr w:rsidR="009E6828" w:rsidRPr="00FB0844" w14:paraId="6013276E" w14:textId="77777777" w:rsidTr="0041388B">
        <w:tc>
          <w:tcPr>
            <w:tcW w:w="2739" w:type="dxa"/>
            <w:shd w:val="clear" w:color="auto" w:fill="auto"/>
            <w:vAlign w:val="center"/>
          </w:tcPr>
          <w:p w14:paraId="2945A4E9" w14:textId="77777777" w:rsidR="009E6828" w:rsidRPr="00FB0844" w:rsidRDefault="009E6828" w:rsidP="0041388B">
            <w:pPr>
              <w:rPr>
                <w:rFonts w:eastAsia="Calibri"/>
                <w:szCs w:val="22"/>
              </w:rPr>
            </w:pPr>
            <w:r w:rsidRPr="00FB0844">
              <w:rPr>
                <w:rFonts w:eastAsia="Calibri"/>
                <w:szCs w:val="22"/>
              </w:rPr>
              <w:t>Motivation und Perspektive</w:t>
            </w:r>
          </w:p>
        </w:tc>
        <w:tc>
          <w:tcPr>
            <w:tcW w:w="6322" w:type="dxa"/>
            <w:shd w:val="clear" w:color="auto" w:fill="auto"/>
            <w:vAlign w:val="center"/>
          </w:tcPr>
          <w:p w14:paraId="6FD4399C" w14:textId="15926CEF" w:rsidR="009E6828" w:rsidRPr="00FB0844" w:rsidRDefault="00351FD7" w:rsidP="0041388B">
            <w:pPr>
              <w:pStyle w:val="Listenabsatz"/>
              <w:numPr>
                <w:ilvl w:val="0"/>
                <w:numId w:val="17"/>
              </w:numPr>
              <w:contextualSpacing/>
              <w:rPr>
                <w:rFonts w:eastAsia="Calibri"/>
                <w:szCs w:val="22"/>
              </w:rPr>
            </w:pPr>
            <w:r w:rsidRPr="00351FD7">
              <w:rPr>
                <w:rFonts w:eastAsia="Calibri"/>
                <w:szCs w:val="22"/>
                <w:highlight w:val="yellow"/>
              </w:rPr>
              <w:t>Sp</w:t>
            </w:r>
            <w:r>
              <w:rPr>
                <w:rFonts w:eastAsia="Calibri"/>
                <w:szCs w:val="22"/>
                <w:highlight w:val="yellow"/>
              </w:rPr>
              <w:t>ezialcoaching AI</w:t>
            </w:r>
            <w:r w:rsidR="009E6828" w:rsidRPr="00FB0844">
              <w:rPr>
                <w:rFonts w:eastAsia="Calibri"/>
                <w:szCs w:val="22"/>
              </w:rPr>
              <w:t xml:space="preserve"> </w:t>
            </w:r>
            <w:r>
              <w:rPr>
                <w:rFonts w:eastAsia="Calibri"/>
                <w:szCs w:val="22"/>
              </w:rPr>
              <w:t xml:space="preserve">der </w:t>
            </w:r>
            <w:r w:rsidR="009E6828" w:rsidRPr="00FB0844">
              <w:rPr>
                <w:rFonts w:eastAsia="Calibri"/>
                <w:szCs w:val="22"/>
              </w:rPr>
              <w:t xml:space="preserve">SEB (Ziel: (Wieder-)Aufbau Motivation zur gezielten Stellensuche) </w:t>
            </w:r>
          </w:p>
          <w:p w14:paraId="3BB31400" w14:textId="77777777" w:rsidR="009E6828" w:rsidRPr="00FB0844" w:rsidRDefault="009E6828" w:rsidP="0041388B">
            <w:pPr>
              <w:pStyle w:val="Listenabsatz"/>
              <w:numPr>
                <w:ilvl w:val="0"/>
                <w:numId w:val="17"/>
              </w:numPr>
              <w:contextualSpacing/>
              <w:rPr>
                <w:rFonts w:eastAsia="Calibri"/>
                <w:szCs w:val="22"/>
              </w:rPr>
            </w:pPr>
            <w:r w:rsidRPr="00FB0844">
              <w:rPr>
                <w:rFonts w:eastAsia="Calibri"/>
                <w:szCs w:val="22"/>
              </w:rPr>
              <w:t>Laufbahnberatung LBZ</w:t>
            </w:r>
            <w:r w:rsidRPr="00FB0844">
              <w:rPr>
                <w:rStyle w:val="Funotenzeichen"/>
                <w:rFonts w:eastAsia="Calibri"/>
                <w:szCs w:val="22"/>
              </w:rPr>
              <w:footnoteReference w:id="6"/>
            </w:r>
            <w:r w:rsidRPr="00FB0844">
              <w:rPr>
                <w:rFonts w:eastAsia="Calibri"/>
                <w:szCs w:val="22"/>
              </w:rPr>
              <w:t xml:space="preserve">  </w:t>
            </w:r>
          </w:p>
        </w:tc>
      </w:tr>
    </w:tbl>
    <w:p w14:paraId="59DC8239" w14:textId="51932883" w:rsidR="009E6828" w:rsidRDefault="009E6828" w:rsidP="009E6828"/>
    <w:p w14:paraId="15861C75" w14:textId="77777777" w:rsidR="0008647A" w:rsidRPr="00FB0844" w:rsidRDefault="0008647A" w:rsidP="009E68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6344"/>
      </w:tblGrid>
      <w:tr w:rsidR="009E6828" w:rsidRPr="00FB0844" w14:paraId="6B3BED25" w14:textId="77777777" w:rsidTr="0041388B">
        <w:tc>
          <w:tcPr>
            <w:tcW w:w="9061" w:type="dxa"/>
            <w:gridSpan w:val="2"/>
            <w:shd w:val="clear" w:color="auto" w:fill="auto"/>
            <w:vAlign w:val="center"/>
          </w:tcPr>
          <w:p w14:paraId="7B7CA7AF" w14:textId="77777777" w:rsidR="009E6828" w:rsidRPr="00FB0844" w:rsidRDefault="009E6828" w:rsidP="0041388B">
            <w:pPr>
              <w:jc w:val="center"/>
              <w:rPr>
                <w:rFonts w:eastAsia="Calibri"/>
                <w:b/>
                <w:szCs w:val="22"/>
              </w:rPr>
            </w:pPr>
          </w:p>
          <w:p w14:paraId="7839E2C0" w14:textId="77777777" w:rsidR="009E6828" w:rsidRPr="00FB0844" w:rsidRDefault="009E6828" w:rsidP="0041388B">
            <w:pPr>
              <w:jc w:val="center"/>
              <w:rPr>
                <w:rFonts w:eastAsia="Calibri"/>
                <w:b/>
                <w:szCs w:val="22"/>
              </w:rPr>
            </w:pPr>
            <w:r w:rsidRPr="00FB0844">
              <w:rPr>
                <w:rFonts w:eastAsia="Calibri"/>
                <w:b/>
                <w:szCs w:val="22"/>
              </w:rPr>
              <w:t>Zielgruppe 4 (Verbleib bis zur Aufhebung der Auflage)</w:t>
            </w:r>
          </w:p>
          <w:p w14:paraId="5FBCDB74" w14:textId="77777777" w:rsidR="009E6828" w:rsidRPr="00FB0844" w:rsidRDefault="009E6828" w:rsidP="0041388B">
            <w:pPr>
              <w:jc w:val="center"/>
              <w:rPr>
                <w:rFonts w:eastAsia="Calibri"/>
                <w:szCs w:val="22"/>
              </w:rPr>
            </w:pPr>
          </w:p>
        </w:tc>
      </w:tr>
      <w:tr w:rsidR="009E6828" w:rsidRPr="00FB0844" w14:paraId="7253D93D" w14:textId="77777777" w:rsidTr="0041388B">
        <w:tc>
          <w:tcPr>
            <w:tcW w:w="9061" w:type="dxa"/>
            <w:gridSpan w:val="2"/>
            <w:shd w:val="clear" w:color="auto" w:fill="auto"/>
            <w:vAlign w:val="center"/>
          </w:tcPr>
          <w:p w14:paraId="750595E1" w14:textId="77777777" w:rsidR="009E6828" w:rsidRPr="00FB0844" w:rsidRDefault="009E6828" w:rsidP="0041388B">
            <w:pPr>
              <w:rPr>
                <w:rFonts w:eastAsia="Calibri"/>
                <w:szCs w:val="22"/>
              </w:rPr>
            </w:pPr>
            <w:r w:rsidRPr="00FB0844">
              <w:rPr>
                <w:rFonts w:eastAsia="Calibri"/>
                <w:b/>
                <w:szCs w:val="22"/>
              </w:rPr>
              <w:t xml:space="preserve">Arbeit </w:t>
            </w:r>
          </w:p>
        </w:tc>
      </w:tr>
      <w:tr w:rsidR="009E6828" w:rsidRPr="00FB0844" w14:paraId="296A4AE2" w14:textId="77777777" w:rsidTr="0041388B">
        <w:tc>
          <w:tcPr>
            <w:tcW w:w="2717" w:type="dxa"/>
            <w:shd w:val="clear" w:color="auto" w:fill="auto"/>
            <w:vAlign w:val="center"/>
          </w:tcPr>
          <w:p w14:paraId="15C1E6C8" w14:textId="77777777" w:rsidR="009E6828" w:rsidRPr="00FB0844" w:rsidRDefault="009E6828" w:rsidP="0041388B">
            <w:pPr>
              <w:rPr>
                <w:rFonts w:eastAsia="Calibri"/>
                <w:szCs w:val="22"/>
              </w:rPr>
            </w:pPr>
            <w:r w:rsidRPr="00FB0844">
              <w:rPr>
                <w:rFonts w:eastAsia="Calibri"/>
                <w:szCs w:val="22"/>
              </w:rPr>
              <w:t>Grundangebot</w:t>
            </w:r>
          </w:p>
        </w:tc>
        <w:tc>
          <w:tcPr>
            <w:tcW w:w="6344" w:type="dxa"/>
            <w:shd w:val="clear" w:color="auto" w:fill="auto"/>
            <w:vAlign w:val="center"/>
          </w:tcPr>
          <w:p w14:paraId="4ABF569B"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Teillohn mit Auflage</w:t>
            </w:r>
          </w:p>
        </w:tc>
      </w:tr>
      <w:tr w:rsidR="009E6828" w:rsidRPr="00FB0844" w14:paraId="56329069" w14:textId="77777777" w:rsidTr="0041388B">
        <w:tc>
          <w:tcPr>
            <w:tcW w:w="2717" w:type="dxa"/>
            <w:shd w:val="clear" w:color="auto" w:fill="auto"/>
            <w:vAlign w:val="center"/>
          </w:tcPr>
          <w:p w14:paraId="6DC77A05" w14:textId="77777777" w:rsidR="009E6828" w:rsidRPr="00FB0844" w:rsidRDefault="009E6828" w:rsidP="0041388B">
            <w:pPr>
              <w:rPr>
                <w:rFonts w:eastAsia="Calibri"/>
                <w:szCs w:val="22"/>
              </w:rPr>
            </w:pPr>
            <w:r w:rsidRPr="00FB0844">
              <w:rPr>
                <w:rFonts w:eastAsia="Calibri"/>
                <w:szCs w:val="22"/>
              </w:rPr>
              <w:t>Arbeitszeugnis</w:t>
            </w:r>
          </w:p>
          <w:p w14:paraId="18A0FB51" w14:textId="77777777" w:rsidR="009E6828" w:rsidRPr="00FB0844" w:rsidRDefault="009E6828" w:rsidP="0041388B">
            <w:pPr>
              <w:rPr>
                <w:rFonts w:eastAsia="Calibri"/>
                <w:szCs w:val="22"/>
              </w:rPr>
            </w:pPr>
          </w:p>
        </w:tc>
        <w:tc>
          <w:tcPr>
            <w:tcW w:w="6344" w:type="dxa"/>
            <w:shd w:val="clear" w:color="auto" w:fill="auto"/>
            <w:vAlign w:val="center"/>
          </w:tcPr>
          <w:p w14:paraId="72D622AC" w14:textId="77777777" w:rsidR="009E6828" w:rsidRPr="00FB0844" w:rsidRDefault="009E6828" w:rsidP="0041388B">
            <w:pPr>
              <w:pStyle w:val="Listenabsatz"/>
              <w:numPr>
                <w:ilvl w:val="0"/>
                <w:numId w:val="15"/>
              </w:numPr>
              <w:contextualSpacing/>
              <w:rPr>
                <w:rFonts w:eastAsia="Calibri"/>
                <w:szCs w:val="22"/>
              </w:rPr>
            </w:pPr>
            <w:r w:rsidRPr="00FB0844">
              <w:rPr>
                <w:rFonts w:eastAsia="Calibri"/>
                <w:szCs w:val="22"/>
              </w:rPr>
              <w:t>immer bei Austritt</w:t>
            </w:r>
          </w:p>
          <w:p w14:paraId="1BFD0EEE" w14:textId="4FD9F4CC" w:rsidR="009E6828" w:rsidRPr="00FB0844" w:rsidRDefault="009E6828" w:rsidP="00351FD7">
            <w:pPr>
              <w:pStyle w:val="Listenabsatz"/>
              <w:numPr>
                <w:ilvl w:val="0"/>
                <w:numId w:val="15"/>
              </w:numPr>
              <w:contextualSpacing/>
              <w:rPr>
                <w:rFonts w:eastAsia="Calibri"/>
                <w:szCs w:val="22"/>
              </w:rPr>
            </w:pPr>
            <w:r w:rsidRPr="00FB0844">
              <w:rPr>
                <w:rFonts w:eastAsia="Calibri"/>
                <w:szCs w:val="22"/>
              </w:rPr>
              <w:t>Zwisc</w:t>
            </w:r>
            <w:r w:rsidR="00351FD7">
              <w:rPr>
                <w:rFonts w:eastAsia="Calibri"/>
                <w:szCs w:val="22"/>
              </w:rPr>
              <w:t>henzeugnis auf Verlangen Klient*</w:t>
            </w:r>
            <w:r w:rsidRPr="00FB0844">
              <w:rPr>
                <w:rFonts w:eastAsia="Calibri"/>
                <w:szCs w:val="22"/>
              </w:rPr>
              <w:t>in</w:t>
            </w:r>
          </w:p>
        </w:tc>
      </w:tr>
      <w:tr w:rsidR="009E6828" w:rsidRPr="00FB0844" w14:paraId="239EF2C4" w14:textId="77777777" w:rsidTr="0041388B">
        <w:tc>
          <w:tcPr>
            <w:tcW w:w="9061" w:type="dxa"/>
            <w:gridSpan w:val="2"/>
            <w:shd w:val="clear" w:color="auto" w:fill="auto"/>
            <w:vAlign w:val="center"/>
          </w:tcPr>
          <w:p w14:paraId="6CDADEB7" w14:textId="77777777" w:rsidR="009E6828" w:rsidRPr="00FB0844" w:rsidRDefault="009E6828" w:rsidP="0041388B">
            <w:pPr>
              <w:rPr>
                <w:rFonts w:eastAsia="Calibri"/>
                <w:szCs w:val="22"/>
              </w:rPr>
            </w:pPr>
            <w:r w:rsidRPr="00FB0844">
              <w:rPr>
                <w:rFonts w:eastAsia="Calibri"/>
                <w:b/>
                <w:szCs w:val="22"/>
              </w:rPr>
              <w:t xml:space="preserve">Bildung </w:t>
            </w:r>
          </w:p>
        </w:tc>
      </w:tr>
      <w:tr w:rsidR="009E6828" w:rsidRPr="00FB0844" w14:paraId="5A674487" w14:textId="77777777" w:rsidTr="0041388B">
        <w:tc>
          <w:tcPr>
            <w:tcW w:w="2717" w:type="dxa"/>
            <w:shd w:val="clear" w:color="auto" w:fill="auto"/>
            <w:vAlign w:val="center"/>
          </w:tcPr>
          <w:p w14:paraId="23D40C6A" w14:textId="77777777" w:rsidR="009E6828" w:rsidRPr="00FB0844" w:rsidRDefault="009E6828" w:rsidP="0041388B">
            <w:pPr>
              <w:rPr>
                <w:rFonts w:eastAsia="Calibri"/>
                <w:szCs w:val="22"/>
              </w:rPr>
            </w:pPr>
          </w:p>
        </w:tc>
        <w:tc>
          <w:tcPr>
            <w:tcW w:w="6344" w:type="dxa"/>
            <w:shd w:val="clear" w:color="auto" w:fill="auto"/>
            <w:vAlign w:val="center"/>
          </w:tcPr>
          <w:p w14:paraId="18ED15BA" w14:textId="77777777" w:rsidR="009E6828" w:rsidRPr="00FB0844" w:rsidRDefault="009E6828" w:rsidP="0041388B">
            <w:pPr>
              <w:pStyle w:val="Listenabsatz"/>
              <w:numPr>
                <w:ilvl w:val="0"/>
                <w:numId w:val="16"/>
              </w:numPr>
              <w:contextualSpacing/>
              <w:rPr>
                <w:rFonts w:eastAsia="Calibri"/>
                <w:szCs w:val="22"/>
              </w:rPr>
            </w:pPr>
            <w:r w:rsidRPr="00FB0844">
              <w:rPr>
                <w:rFonts w:eastAsia="Calibri"/>
                <w:szCs w:val="22"/>
              </w:rPr>
              <w:t xml:space="preserve">keine Angebote </w:t>
            </w:r>
          </w:p>
        </w:tc>
      </w:tr>
      <w:tr w:rsidR="009E6828" w:rsidRPr="00FB0844" w14:paraId="57C0463E" w14:textId="77777777" w:rsidTr="0041388B">
        <w:tc>
          <w:tcPr>
            <w:tcW w:w="9061" w:type="dxa"/>
            <w:gridSpan w:val="2"/>
            <w:shd w:val="clear" w:color="auto" w:fill="auto"/>
            <w:vAlign w:val="center"/>
          </w:tcPr>
          <w:p w14:paraId="46BCE594" w14:textId="77777777" w:rsidR="009E6828" w:rsidRPr="00FB0844" w:rsidRDefault="009E6828" w:rsidP="0041388B">
            <w:pPr>
              <w:rPr>
                <w:rFonts w:eastAsia="Calibri"/>
                <w:szCs w:val="22"/>
              </w:rPr>
            </w:pPr>
            <w:r w:rsidRPr="00FB0844">
              <w:rPr>
                <w:rFonts w:eastAsia="Calibri"/>
                <w:b/>
                <w:szCs w:val="22"/>
              </w:rPr>
              <w:t xml:space="preserve">Unterstützung bei der Stellensuche </w:t>
            </w:r>
          </w:p>
        </w:tc>
      </w:tr>
      <w:tr w:rsidR="009E6828" w:rsidRPr="00FB0844" w14:paraId="7D297387" w14:textId="77777777" w:rsidTr="0041388B">
        <w:tc>
          <w:tcPr>
            <w:tcW w:w="2717" w:type="dxa"/>
            <w:shd w:val="clear" w:color="auto" w:fill="auto"/>
            <w:vAlign w:val="center"/>
          </w:tcPr>
          <w:p w14:paraId="06538C72" w14:textId="77777777" w:rsidR="009E6828" w:rsidRPr="00FB0844" w:rsidRDefault="009E6828" w:rsidP="0041388B">
            <w:pPr>
              <w:rPr>
                <w:rFonts w:eastAsia="Calibri"/>
                <w:szCs w:val="22"/>
              </w:rPr>
            </w:pPr>
            <w:r w:rsidRPr="00FB0844">
              <w:rPr>
                <w:rFonts w:eastAsia="Calibri"/>
                <w:szCs w:val="22"/>
              </w:rPr>
              <w:t>Motivation</w:t>
            </w:r>
          </w:p>
        </w:tc>
        <w:tc>
          <w:tcPr>
            <w:tcW w:w="6344" w:type="dxa"/>
            <w:shd w:val="clear" w:color="auto" w:fill="auto"/>
            <w:vAlign w:val="center"/>
          </w:tcPr>
          <w:p w14:paraId="4E3FB5AC" w14:textId="0C0477F6" w:rsidR="009E6828" w:rsidRPr="00FB0844" w:rsidRDefault="00351FD7" w:rsidP="0041388B">
            <w:pPr>
              <w:pStyle w:val="Listenabsatz"/>
              <w:numPr>
                <w:ilvl w:val="0"/>
                <w:numId w:val="16"/>
              </w:numPr>
              <w:contextualSpacing/>
              <w:rPr>
                <w:rFonts w:eastAsia="Calibri"/>
                <w:szCs w:val="22"/>
              </w:rPr>
            </w:pPr>
            <w:r w:rsidRPr="00351FD7">
              <w:rPr>
                <w:rFonts w:eastAsia="Calibri"/>
                <w:szCs w:val="22"/>
                <w:highlight w:val="yellow"/>
              </w:rPr>
              <w:t>Spezialcoaching AI</w:t>
            </w:r>
            <w:r w:rsidR="009E6828" w:rsidRPr="00FB0844">
              <w:rPr>
                <w:rFonts w:eastAsia="Calibri"/>
                <w:szCs w:val="22"/>
              </w:rPr>
              <w:t xml:space="preserve"> der SEB (Ziel: (Wieder-)Aufbau Motivation zur gezielten Stellensuche)  </w:t>
            </w:r>
          </w:p>
        </w:tc>
      </w:tr>
    </w:tbl>
    <w:p w14:paraId="3A41FF66" w14:textId="77777777" w:rsidR="009E6828" w:rsidRPr="00FB0844" w:rsidRDefault="009E6828" w:rsidP="009E6828">
      <w:pPr>
        <w:pStyle w:val="Absatz0"/>
      </w:pPr>
    </w:p>
    <w:p w14:paraId="10EFC18D" w14:textId="77777777" w:rsidR="009E6828" w:rsidRPr="00FB0844" w:rsidRDefault="009E6828" w:rsidP="009E6828">
      <w:pPr>
        <w:pStyle w:val="berschrift1"/>
        <w:tabs>
          <w:tab w:val="clear" w:pos="432"/>
          <w:tab w:val="clear" w:pos="709"/>
          <w:tab w:val="num" w:pos="715"/>
        </w:tabs>
        <w:spacing w:before="240" w:after="120"/>
        <w:ind w:left="432" w:hanging="574"/>
      </w:pPr>
      <w:bookmarkStart w:id="37" w:name="_Toc102149985"/>
      <w:r w:rsidRPr="00FB0844">
        <w:t>Zielgruppenspezifische Standortgespräche</w:t>
      </w:r>
      <w:bookmarkEnd w:id="37"/>
      <w:r w:rsidRPr="00FB0844">
        <w:t xml:space="preserve"> </w:t>
      </w:r>
    </w:p>
    <w:p w14:paraId="58E0FB5D" w14:textId="17EFF584" w:rsidR="009E6828" w:rsidRPr="00FB0844" w:rsidRDefault="009E6828" w:rsidP="009E6828">
      <w:pPr>
        <w:pStyle w:val="Absatz0"/>
        <w:ind w:left="-142"/>
        <w:jc w:val="both"/>
        <w:rPr>
          <w:szCs w:val="22"/>
        </w:rPr>
      </w:pPr>
      <w:r w:rsidRPr="00FB0844">
        <w:rPr>
          <w:szCs w:val="22"/>
        </w:rPr>
        <w:t xml:space="preserve">Das Standortgespräch (Stao) dient der gegenseitigen Information zwischen Klient*innen, </w:t>
      </w:r>
      <w:r w:rsidRPr="00FB0844">
        <w:t xml:space="preserve">den </w:t>
      </w:r>
      <w:r w:rsidR="00476DCC">
        <w:t>Fallführenden</w:t>
      </w:r>
      <w:r w:rsidRPr="00FB0844" w:rsidDel="00916B25">
        <w:rPr>
          <w:szCs w:val="22"/>
        </w:rPr>
        <w:t xml:space="preserve"> </w:t>
      </w:r>
      <w:r w:rsidRPr="00FB0844">
        <w:rPr>
          <w:szCs w:val="22"/>
        </w:rPr>
        <w:t>und Bezugspersonen im Grundang</w:t>
      </w:r>
      <w:r w:rsidR="00351FD7">
        <w:rPr>
          <w:szCs w:val="22"/>
        </w:rPr>
        <w:t>ebot. Die Bezugsperson lädt den*die Klient*</w:t>
      </w:r>
      <w:r w:rsidRPr="00FB0844">
        <w:rPr>
          <w:szCs w:val="22"/>
        </w:rPr>
        <w:t xml:space="preserve">in und </w:t>
      </w:r>
      <w:r w:rsidR="00476DCC">
        <w:t>die Fallführung</w:t>
      </w:r>
      <w:r w:rsidRPr="00FB0844">
        <w:t xml:space="preserve"> </w:t>
      </w:r>
      <w:r w:rsidRPr="00FB0844">
        <w:rPr>
          <w:szCs w:val="22"/>
        </w:rPr>
        <w:t>zum Stao ein; dieses findet in der Regel im Betrieb statt. Im Gespräch wird der aktuelle Stand in Bezug auf die berufliche und soziale Integration, die Zielgruppeneinteilung sowie Perspektiven erörtert. Ziele und mögliche Massnahmen werden von der Bezugsperson Grundangeb</w:t>
      </w:r>
      <w:r w:rsidR="00094AC8">
        <w:rPr>
          <w:szCs w:val="22"/>
        </w:rPr>
        <w:t>ot schriftlich zuhanden Klient*</w:t>
      </w:r>
      <w:r w:rsidRPr="00FB0844">
        <w:rPr>
          <w:szCs w:val="22"/>
        </w:rPr>
        <w:t xml:space="preserve">in und </w:t>
      </w:r>
      <w:r w:rsidR="00476DCC">
        <w:t>der Fallführung</w:t>
      </w:r>
      <w:r w:rsidRPr="00FB0844" w:rsidDel="00916B25">
        <w:rPr>
          <w:szCs w:val="22"/>
        </w:rPr>
        <w:t xml:space="preserve"> </w:t>
      </w:r>
      <w:r w:rsidRPr="00FB0844">
        <w:rPr>
          <w:szCs w:val="22"/>
        </w:rPr>
        <w:t xml:space="preserve">festgehalten. Die Zielgruppeneinteilung wird zudem im Rahmen des Leistungsentscheids von den </w:t>
      </w:r>
      <w:r w:rsidR="00476DCC">
        <w:rPr>
          <w:szCs w:val="22"/>
        </w:rPr>
        <w:t>Fallführenden</w:t>
      </w:r>
      <w:r w:rsidRPr="00FB0844">
        <w:rPr>
          <w:szCs w:val="22"/>
        </w:rPr>
        <w:t xml:space="preserve"> überprüft und bei Bedarf und nach Rücksprache mit der Bezugsperson des Grundangebotes angepasst.</w:t>
      </w:r>
    </w:p>
    <w:p w14:paraId="4A180104" w14:textId="77777777" w:rsidR="009E6828" w:rsidRPr="00FB0844" w:rsidRDefault="009E6828" w:rsidP="009E6828">
      <w:pPr>
        <w:pStyle w:val="Absatz0"/>
        <w:jc w:val="both"/>
        <w:rPr>
          <w:szCs w:val="22"/>
        </w:rPr>
      </w:pPr>
    </w:p>
    <w:p w14:paraId="15EBD551" w14:textId="77777777" w:rsidR="009E6828" w:rsidRPr="00FB0844" w:rsidRDefault="009E6828" w:rsidP="009E6828">
      <w:pPr>
        <w:ind w:left="-142"/>
        <w:jc w:val="both"/>
        <w:rPr>
          <w:szCs w:val="22"/>
        </w:rPr>
      </w:pPr>
      <w:r w:rsidRPr="00FB0844">
        <w:rPr>
          <w:szCs w:val="22"/>
        </w:rPr>
        <w:t xml:space="preserve">Unabhängig von den Standortgesprächen finden in den Grundangeboten in der Regel jährliche Zielvereinbarungsgespräche zwischen vorgesetzter Person und Klient*in statt, um die Bedingungen des Arbeitsmarkts möglichst realitätsnah abzubilden. </w:t>
      </w:r>
    </w:p>
    <w:p w14:paraId="13633642" w14:textId="77777777" w:rsidR="009E6828" w:rsidRPr="00FB0844" w:rsidRDefault="009E6828" w:rsidP="009E6828">
      <w:pPr>
        <w:jc w:val="both"/>
        <w:rPr>
          <w:szCs w:val="22"/>
        </w:rPr>
      </w:pPr>
    </w:p>
    <w:p w14:paraId="60252D6F" w14:textId="77777777" w:rsidR="009E6828" w:rsidRPr="00FB0844" w:rsidRDefault="009E6828" w:rsidP="009E6828">
      <w:pPr>
        <w:ind w:left="-142"/>
        <w:jc w:val="both"/>
        <w:rPr>
          <w:szCs w:val="22"/>
        </w:rPr>
      </w:pPr>
      <w:r w:rsidRPr="00FB0844">
        <w:rPr>
          <w:szCs w:val="22"/>
        </w:rPr>
        <w:t xml:space="preserve">Die Häufigkeit der Standortgespräche ist in der folgenden Tabelle dargestellt. </w:t>
      </w:r>
    </w:p>
    <w:p w14:paraId="0D4CE2A7" w14:textId="77777777" w:rsidR="009E6828" w:rsidRPr="00FB0844" w:rsidRDefault="009E6828" w:rsidP="009E68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531"/>
      </w:tblGrid>
      <w:tr w:rsidR="009E6828" w:rsidRPr="00FB0844" w14:paraId="11190D46" w14:textId="77777777" w:rsidTr="0041388B">
        <w:tc>
          <w:tcPr>
            <w:tcW w:w="4530" w:type="dxa"/>
            <w:shd w:val="clear" w:color="auto" w:fill="auto"/>
          </w:tcPr>
          <w:p w14:paraId="599FE6A6" w14:textId="77777777" w:rsidR="009E6828" w:rsidRPr="00FB0844" w:rsidRDefault="009E6828" w:rsidP="0041388B">
            <w:pPr>
              <w:jc w:val="both"/>
              <w:rPr>
                <w:rFonts w:eastAsia="Calibri"/>
                <w:b/>
                <w:sz w:val="20"/>
              </w:rPr>
            </w:pPr>
            <w:r w:rsidRPr="00FB0844">
              <w:rPr>
                <w:sz w:val="20"/>
              </w:rPr>
              <w:br w:type="page"/>
            </w:r>
            <w:r w:rsidRPr="00FB0844">
              <w:rPr>
                <w:rFonts w:eastAsia="Calibri"/>
                <w:b/>
                <w:sz w:val="20"/>
              </w:rPr>
              <w:t>Stao Zielgruppe 2</w:t>
            </w:r>
          </w:p>
          <w:p w14:paraId="3929AA68" w14:textId="77777777" w:rsidR="009E6828" w:rsidRPr="00FB0844" w:rsidRDefault="009E6828" w:rsidP="0041388B">
            <w:pPr>
              <w:pStyle w:val="Listenabsatz"/>
              <w:numPr>
                <w:ilvl w:val="0"/>
                <w:numId w:val="19"/>
              </w:numPr>
              <w:contextualSpacing/>
              <w:jc w:val="both"/>
              <w:rPr>
                <w:rFonts w:eastAsia="Calibri"/>
                <w:color w:val="808080"/>
                <w:sz w:val="20"/>
              </w:rPr>
            </w:pPr>
            <w:r w:rsidRPr="00FB0844">
              <w:rPr>
                <w:rFonts w:eastAsia="Calibri"/>
                <w:i/>
                <w:sz w:val="20"/>
              </w:rPr>
              <w:t>Im 1. und 2. Jahr:</w:t>
            </w:r>
            <w:r w:rsidRPr="00FB0844">
              <w:rPr>
                <w:rFonts w:eastAsia="Calibri"/>
                <w:sz w:val="20"/>
              </w:rPr>
              <w:t xml:space="preserve"> 1x pro Jahr</w:t>
            </w:r>
          </w:p>
          <w:p w14:paraId="0E7B300D" w14:textId="531AF289" w:rsidR="009E6828" w:rsidRPr="00FB0844" w:rsidRDefault="009E6828" w:rsidP="00476DCC">
            <w:pPr>
              <w:pStyle w:val="Listenabsatz"/>
              <w:numPr>
                <w:ilvl w:val="0"/>
                <w:numId w:val="18"/>
              </w:numPr>
              <w:contextualSpacing/>
              <w:jc w:val="both"/>
              <w:rPr>
                <w:rFonts w:eastAsia="Calibri"/>
                <w:color w:val="808080"/>
                <w:sz w:val="20"/>
              </w:rPr>
            </w:pPr>
            <w:r w:rsidRPr="00FB0844">
              <w:rPr>
                <w:rFonts w:eastAsia="Calibri"/>
                <w:i/>
                <w:sz w:val="20"/>
              </w:rPr>
              <w:t>Ab dem 3. Jahr:</w:t>
            </w:r>
            <w:r w:rsidR="00094AC8">
              <w:rPr>
                <w:rFonts w:eastAsia="Calibri"/>
                <w:sz w:val="20"/>
              </w:rPr>
              <w:t xml:space="preserve"> Nur auf Verlangen des*der Klienten*Klientin, der Bezugs</w:t>
            </w:r>
            <w:r w:rsidRPr="00FB0844">
              <w:rPr>
                <w:rFonts w:eastAsia="Calibri"/>
                <w:sz w:val="20"/>
              </w:rPr>
              <w:t xml:space="preserve">person im Grundangebot oder </w:t>
            </w:r>
            <w:r w:rsidR="00476DCC">
              <w:rPr>
                <w:sz w:val="20"/>
              </w:rPr>
              <w:t>der Fallführung</w:t>
            </w:r>
            <w:r w:rsidRPr="00FB0844">
              <w:rPr>
                <w:rFonts w:eastAsia="Calibri"/>
                <w:sz w:val="20"/>
              </w:rPr>
              <w:t>, max. jedoch 1x pro Jahr.</w:t>
            </w:r>
          </w:p>
        </w:tc>
        <w:tc>
          <w:tcPr>
            <w:tcW w:w="4531" w:type="dxa"/>
            <w:shd w:val="clear" w:color="auto" w:fill="auto"/>
          </w:tcPr>
          <w:p w14:paraId="26EF1527" w14:textId="77777777" w:rsidR="009E6828" w:rsidRPr="00FB0844" w:rsidRDefault="009E6828" w:rsidP="0041388B">
            <w:pPr>
              <w:jc w:val="both"/>
              <w:rPr>
                <w:rFonts w:eastAsia="Calibri"/>
                <w:b/>
                <w:sz w:val="20"/>
              </w:rPr>
            </w:pPr>
            <w:r w:rsidRPr="00FB0844">
              <w:rPr>
                <w:rFonts w:eastAsia="Calibri"/>
                <w:b/>
                <w:sz w:val="20"/>
              </w:rPr>
              <w:t xml:space="preserve">Stao Zielgruppe 3 </w:t>
            </w:r>
          </w:p>
          <w:p w14:paraId="3D0B3603" w14:textId="77777777" w:rsidR="009E6828" w:rsidRPr="00FB0844" w:rsidRDefault="009E6828" w:rsidP="0041388B">
            <w:pPr>
              <w:jc w:val="both"/>
              <w:rPr>
                <w:rFonts w:eastAsia="Calibri"/>
                <w:b/>
                <w:sz w:val="20"/>
              </w:rPr>
            </w:pPr>
            <w:r w:rsidRPr="00FB0844">
              <w:rPr>
                <w:rFonts w:eastAsia="Calibri"/>
                <w:sz w:val="20"/>
              </w:rPr>
              <w:t>(</w:t>
            </w:r>
            <w:r w:rsidRPr="00FB0844">
              <w:rPr>
                <w:rFonts w:eastAsia="Calibri"/>
                <w:i/>
                <w:sz w:val="20"/>
              </w:rPr>
              <w:t>Während der Dauer von max. 2 Jahren)</w:t>
            </w:r>
          </w:p>
          <w:p w14:paraId="640D1FC1" w14:textId="6BBCAE69" w:rsidR="009E6828" w:rsidRPr="00FB0844" w:rsidRDefault="00094AC8" w:rsidP="0041388B">
            <w:pPr>
              <w:pStyle w:val="Listenabsatz"/>
              <w:numPr>
                <w:ilvl w:val="0"/>
                <w:numId w:val="19"/>
              </w:numPr>
              <w:contextualSpacing/>
              <w:jc w:val="both"/>
              <w:rPr>
                <w:rFonts w:eastAsia="Calibri"/>
                <w:sz w:val="20"/>
              </w:rPr>
            </w:pPr>
            <w:r>
              <w:rPr>
                <w:rFonts w:eastAsia="Calibri"/>
                <w:i/>
                <w:sz w:val="20"/>
              </w:rPr>
              <w:t>Klient*</w:t>
            </w:r>
            <w:r w:rsidR="009E6828" w:rsidRPr="00FB0844">
              <w:rPr>
                <w:rFonts w:eastAsia="Calibri"/>
                <w:i/>
                <w:sz w:val="20"/>
              </w:rPr>
              <w:t>innen mit Stellenvermittlung</w:t>
            </w:r>
            <w:r w:rsidR="009E6828" w:rsidRPr="00FB0844">
              <w:rPr>
                <w:rStyle w:val="Funotenzeichen"/>
                <w:rFonts w:eastAsia="Calibri"/>
                <w:i/>
                <w:sz w:val="20"/>
              </w:rPr>
              <w:footnoteReference w:id="7"/>
            </w:r>
            <w:r w:rsidR="009E6828" w:rsidRPr="00FB0844">
              <w:rPr>
                <w:rFonts w:eastAsia="Calibri"/>
                <w:i/>
                <w:sz w:val="20"/>
              </w:rPr>
              <w:t>:</w:t>
            </w:r>
            <w:r w:rsidR="009E6828" w:rsidRPr="00FB0844">
              <w:rPr>
                <w:rFonts w:eastAsia="Calibri"/>
                <w:sz w:val="20"/>
              </w:rPr>
              <w:t xml:space="preserve"> Kein Stao, jedoch telefonisc</w:t>
            </w:r>
            <w:r>
              <w:rPr>
                <w:rFonts w:eastAsia="Calibri"/>
                <w:sz w:val="20"/>
              </w:rPr>
              <w:t>he Rücksprache zwischen Stellen</w:t>
            </w:r>
            <w:r w:rsidR="009E6828" w:rsidRPr="00FB0844">
              <w:rPr>
                <w:rFonts w:eastAsia="Calibri"/>
                <w:sz w:val="20"/>
              </w:rPr>
              <w:t xml:space="preserve">vermittlung und </w:t>
            </w:r>
            <w:r w:rsidR="00476DCC">
              <w:rPr>
                <w:sz w:val="20"/>
              </w:rPr>
              <w:t>der Fallführung</w:t>
            </w:r>
            <w:r w:rsidR="009E6828" w:rsidRPr="00FB0844" w:rsidDel="00916B25">
              <w:rPr>
                <w:rFonts w:eastAsia="Calibri"/>
                <w:sz w:val="20"/>
              </w:rPr>
              <w:t xml:space="preserve"> </w:t>
            </w:r>
            <w:r w:rsidR="009E6828" w:rsidRPr="00FB0844">
              <w:rPr>
                <w:rFonts w:eastAsia="Calibri"/>
                <w:sz w:val="20"/>
              </w:rPr>
              <w:t>(mindestens 2x pro Jahr).</w:t>
            </w:r>
          </w:p>
          <w:p w14:paraId="66882C51" w14:textId="42D2963E" w:rsidR="009E6828" w:rsidRPr="00FB0844" w:rsidRDefault="00094AC8" w:rsidP="0041388B">
            <w:pPr>
              <w:pStyle w:val="Listenabsatz"/>
              <w:numPr>
                <w:ilvl w:val="0"/>
                <w:numId w:val="19"/>
              </w:numPr>
              <w:contextualSpacing/>
              <w:jc w:val="both"/>
              <w:rPr>
                <w:rFonts w:eastAsia="Calibri"/>
                <w:i/>
                <w:sz w:val="20"/>
              </w:rPr>
            </w:pPr>
            <w:r>
              <w:rPr>
                <w:rFonts w:eastAsia="Calibri"/>
                <w:i/>
                <w:sz w:val="20"/>
              </w:rPr>
              <w:t>Klient*</w:t>
            </w:r>
            <w:r w:rsidR="009E6828" w:rsidRPr="00FB0844">
              <w:rPr>
                <w:rFonts w:eastAsia="Calibri"/>
                <w:i/>
                <w:sz w:val="20"/>
              </w:rPr>
              <w:t xml:space="preserve">innen ohne Stellenvermittlung: </w:t>
            </w:r>
            <w:r w:rsidR="009E6828" w:rsidRPr="00FB0844">
              <w:rPr>
                <w:rFonts w:eastAsia="Calibri"/>
                <w:sz w:val="20"/>
              </w:rPr>
              <w:t>2x pro Jahr</w:t>
            </w:r>
          </w:p>
        </w:tc>
      </w:tr>
      <w:tr w:rsidR="009E6828" w:rsidRPr="00FB0844" w14:paraId="4541F674" w14:textId="77777777" w:rsidTr="0041388B">
        <w:tc>
          <w:tcPr>
            <w:tcW w:w="4530" w:type="dxa"/>
            <w:shd w:val="clear" w:color="auto" w:fill="auto"/>
          </w:tcPr>
          <w:p w14:paraId="091EF4D9" w14:textId="77777777" w:rsidR="009E6828" w:rsidRPr="00FB0844" w:rsidRDefault="009E6828" w:rsidP="0041388B">
            <w:pPr>
              <w:jc w:val="both"/>
              <w:rPr>
                <w:rFonts w:eastAsia="Calibri"/>
                <w:b/>
                <w:sz w:val="20"/>
              </w:rPr>
            </w:pPr>
            <w:r w:rsidRPr="00FB0844">
              <w:rPr>
                <w:rFonts w:eastAsia="Calibri"/>
                <w:b/>
                <w:sz w:val="20"/>
              </w:rPr>
              <w:t>Stao Zielgruppe 1</w:t>
            </w:r>
          </w:p>
          <w:p w14:paraId="420AE011" w14:textId="0B831D42" w:rsidR="009E6828" w:rsidRPr="00FB0844" w:rsidRDefault="009E6828" w:rsidP="00094AC8">
            <w:pPr>
              <w:pStyle w:val="Listenabsatz"/>
              <w:numPr>
                <w:ilvl w:val="0"/>
                <w:numId w:val="18"/>
              </w:numPr>
              <w:contextualSpacing/>
              <w:jc w:val="both"/>
              <w:rPr>
                <w:rFonts w:eastAsia="Calibri"/>
                <w:color w:val="808080"/>
                <w:sz w:val="20"/>
              </w:rPr>
            </w:pPr>
            <w:r w:rsidRPr="00FB0844">
              <w:rPr>
                <w:rFonts w:eastAsia="Calibri"/>
                <w:i/>
                <w:sz w:val="20"/>
              </w:rPr>
              <w:t>Ab Beginn:</w:t>
            </w:r>
            <w:r w:rsidR="00094AC8">
              <w:rPr>
                <w:rFonts w:eastAsia="Calibri"/>
                <w:sz w:val="20"/>
              </w:rPr>
              <w:t xml:space="preserve"> Nur auf Verlangen des*der Klient*</w:t>
            </w:r>
            <w:r w:rsidRPr="00FB0844">
              <w:rPr>
                <w:rFonts w:eastAsia="Calibri"/>
                <w:sz w:val="20"/>
              </w:rPr>
              <w:t xml:space="preserve">in, der Bezugsperson im Grundangebot oder </w:t>
            </w:r>
            <w:r w:rsidR="00094AC8">
              <w:rPr>
                <w:sz w:val="20"/>
              </w:rPr>
              <w:t>der Fallführung</w:t>
            </w:r>
            <w:r w:rsidRPr="00FB0844">
              <w:rPr>
                <w:rFonts w:eastAsia="Calibri"/>
                <w:sz w:val="20"/>
              </w:rPr>
              <w:t>, max. jedoch 1x pro Jahr.</w:t>
            </w:r>
          </w:p>
        </w:tc>
        <w:tc>
          <w:tcPr>
            <w:tcW w:w="4531" w:type="dxa"/>
            <w:shd w:val="clear" w:color="auto" w:fill="auto"/>
          </w:tcPr>
          <w:p w14:paraId="3642CABC" w14:textId="77777777" w:rsidR="009E6828" w:rsidRPr="00FB0844" w:rsidRDefault="009E6828" w:rsidP="0041388B">
            <w:pPr>
              <w:jc w:val="both"/>
              <w:rPr>
                <w:rFonts w:eastAsia="Calibri"/>
                <w:b/>
                <w:sz w:val="20"/>
              </w:rPr>
            </w:pPr>
            <w:r w:rsidRPr="00FB0844">
              <w:rPr>
                <w:rFonts w:eastAsia="Calibri"/>
                <w:b/>
                <w:sz w:val="20"/>
              </w:rPr>
              <w:t>Stao Zielgruppe 4</w:t>
            </w:r>
          </w:p>
          <w:p w14:paraId="30C30921" w14:textId="451F7437" w:rsidR="009E6828" w:rsidRPr="00FB0844" w:rsidRDefault="009E6828" w:rsidP="00094AC8">
            <w:pPr>
              <w:pStyle w:val="Listenabsatz"/>
              <w:numPr>
                <w:ilvl w:val="0"/>
                <w:numId w:val="18"/>
              </w:numPr>
              <w:contextualSpacing/>
              <w:jc w:val="both"/>
              <w:rPr>
                <w:rFonts w:eastAsia="Calibri"/>
                <w:color w:val="808080"/>
                <w:sz w:val="20"/>
              </w:rPr>
            </w:pPr>
            <w:r w:rsidRPr="00FB0844">
              <w:rPr>
                <w:rFonts w:eastAsia="Calibri"/>
                <w:i/>
                <w:sz w:val="20"/>
              </w:rPr>
              <w:t>Ab Beginn:</w:t>
            </w:r>
            <w:r w:rsidR="00094AC8">
              <w:rPr>
                <w:rFonts w:eastAsia="Calibri"/>
                <w:sz w:val="20"/>
              </w:rPr>
              <w:t xml:space="preserve"> Nur auf Verlangen des*der Klient*</w:t>
            </w:r>
            <w:r w:rsidRPr="00FB0844">
              <w:rPr>
                <w:rFonts w:eastAsia="Calibri"/>
                <w:sz w:val="20"/>
              </w:rPr>
              <w:t xml:space="preserve">in, der Bezugsperson im Grundangebot oder </w:t>
            </w:r>
            <w:r w:rsidRPr="00FB0844">
              <w:rPr>
                <w:sz w:val="20"/>
              </w:rPr>
              <w:t>de</w:t>
            </w:r>
            <w:r w:rsidR="00094AC8">
              <w:rPr>
                <w:sz w:val="20"/>
              </w:rPr>
              <w:t>r Fallführung</w:t>
            </w:r>
            <w:r w:rsidRPr="00FB0844">
              <w:rPr>
                <w:rFonts w:eastAsia="Calibri"/>
                <w:sz w:val="20"/>
              </w:rPr>
              <w:t>, max. jedoch 1x pro Jahr.</w:t>
            </w:r>
          </w:p>
        </w:tc>
      </w:tr>
    </w:tbl>
    <w:p w14:paraId="0E989437" w14:textId="77777777" w:rsidR="009E6828" w:rsidRPr="00FB0844" w:rsidRDefault="009E6828" w:rsidP="009E6828">
      <w:pPr>
        <w:pStyle w:val="Absatz0"/>
      </w:pPr>
    </w:p>
    <w:p w14:paraId="0E7AADD1" w14:textId="77777777" w:rsidR="009E6828" w:rsidRPr="00FB0844" w:rsidRDefault="009E6828" w:rsidP="009E6828">
      <w:pPr>
        <w:pStyle w:val="berschrift1"/>
        <w:tabs>
          <w:tab w:val="clear" w:pos="432"/>
          <w:tab w:val="clear" w:pos="709"/>
          <w:tab w:val="num" w:pos="715"/>
        </w:tabs>
        <w:spacing w:before="240" w:after="120"/>
        <w:ind w:left="432" w:hanging="432"/>
      </w:pPr>
      <w:bookmarkStart w:id="38" w:name="_Toc102149986"/>
      <w:r w:rsidRPr="00FB0844">
        <w:t>Zielgruppenwechsel</w:t>
      </w:r>
      <w:bookmarkEnd w:id="38"/>
    </w:p>
    <w:p w14:paraId="136AE85F" w14:textId="583E54FF" w:rsidR="009E6828" w:rsidRPr="00FB0844" w:rsidRDefault="009E6828" w:rsidP="009E6828">
      <w:pPr>
        <w:jc w:val="both"/>
        <w:rPr>
          <w:szCs w:val="22"/>
        </w:rPr>
      </w:pPr>
      <w:r w:rsidRPr="00FB0844">
        <w:rPr>
          <w:szCs w:val="22"/>
        </w:rPr>
        <w:t xml:space="preserve">Die Klient*innen werden erstmalig im Rahmen der NAVI einer der vier Zielgruppen zugeordnet (siehe </w:t>
      </w:r>
      <w:hyperlink r:id="rId35" w:history="1">
        <w:r w:rsidRPr="00FB0844">
          <w:rPr>
            <w:rStyle w:val="Hyperlink"/>
            <w:szCs w:val="22"/>
          </w:rPr>
          <w:t>HAW Berufliche und Soziale Integration - NAVI</w:t>
        </w:r>
      </w:hyperlink>
      <w:r w:rsidRPr="00FB0844">
        <w:rPr>
          <w:szCs w:val="22"/>
        </w:rPr>
        <w:t>)</w:t>
      </w:r>
      <w:r w:rsidRPr="00FB0844">
        <w:rPr>
          <w:color w:val="0000FF"/>
          <w:szCs w:val="22"/>
        </w:rPr>
        <w:t>.</w:t>
      </w:r>
      <w:r w:rsidRPr="00FB0844" w:rsidDel="00946B96">
        <w:rPr>
          <w:szCs w:val="22"/>
        </w:rPr>
        <w:t xml:space="preserve"> Im weiteren Verlauf des individuellen Integrationsprozesses ist ein Zielgruppenwechsel einfach und unkompliziert möglich. Er basiert </w:t>
      </w:r>
      <w:r w:rsidRPr="00FB0844">
        <w:rPr>
          <w:szCs w:val="22"/>
        </w:rPr>
        <w:t xml:space="preserve">in der Regel </w:t>
      </w:r>
      <w:r w:rsidRPr="00FB0844" w:rsidDel="00946B96">
        <w:rPr>
          <w:szCs w:val="22"/>
        </w:rPr>
        <w:t xml:space="preserve">auf der Einschätzung, welche </w:t>
      </w:r>
      <w:r w:rsidRPr="00FB0844">
        <w:rPr>
          <w:szCs w:val="22"/>
        </w:rPr>
        <w:t xml:space="preserve">die Bezugsperson im Betrieb </w:t>
      </w:r>
      <w:r w:rsidRPr="00FB0844" w:rsidDel="00946B96">
        <w:rPr>
          <w:szCs w:val="22"/>
        </w:rPr>
        <w:t xml:space="preserve">bezüglich der sich verändernden Motivation und Arbeitsmarktfähigkeit </w:t>
      </w:r>
      <w:r w:rsidR="00094AC8">
        <w:rPr>
          <w:szCs w:val="22"/>
        </w:rPr>
        <w:t xml:space="preserve">des*der Klienten*Klientin </w:t>
      </w:r>
      <w:r w:rsidRPr="00FB0844" w:rsidDel="00946B96">
        <w:rPr>
          <w:szCs w:val="22"/>
        </w:rPr>
        <w:t>macht</w:t>
      </w:r>
      <w:r w:rsidRPr="00FB0844">
        <w:rPr>
          <w:szCs w:val="22"/>
        </w:rPr>
        <w:t>. Ist letzteres der Fall, teilt die Bez</w:t>
      </w:r>
      <w:r w:rsidR="00094AC8">
        <w:rPr>
          <w:szCs w:val="22"/>
        </w:rPr>
        <w:t xml:space="preserve">ugsperson ihre Einschätzung </w:t>
      </w:r>
      <w:r w:rsidR="00476DCC">
        <w:rPr>
          <w:szCs w:val="22"/>
        </w:rPr>
        <w:t>der Fallführung</w:t>
      </w:r>
      <w:r w:rsidRPr="00FB0844">
        <w:rPr>
          <w:szCs w:val="22"/>
        </w:rPr>
        <w:t xml:space="preserve"> mit und stellt bei Bedarf Antrag auf Kostengutsprache. Der abschliessende Entscheid bezüglich Teilnahme an (anderen) Grundangeboten, (qualifizierenden) Zusatzmodulen und Unterstützung bei der S</w:t>
      </w:r>
      <w:r w:rsidR="00094AC8">
        <w:rPr>
          <w:szCs w:val="22"/>
        </w:rPr>
        <w:t xml:space="preserve">tellensuche liegt immer bei </w:t>
      </w:r>
      <w:r w:rsidR="00476DCC">
        <w:rPr>
          <w:szCs w:val="22"/>
        </w:rPr>
        <w:t>der Fallführung</w:t>
      </w:r>
      <w:r w:rsidRPr="00FB0844">
        <w:rPr>
          <w:szCs w:val="22"/>
        </w:rPr>
        <w:t xml:space="preserve">. </w:t>
      </w:r>
    </w:p>
    <w:p w14:paraId="076135E5" w14:textId="77777777" w:rsidR="009E6828" w:rsidRPr="00FB0844" w:rsidRDefault="009E6828" w:rsidP="009E6828">
      <w:pPr>
        <w:jc w:val="both"/>
        <w:rPr>
          <w:szCs w:val="22"/>
        </w:rPr>
      </w:pPr>
    </w:p>
    <w:p w14:paraId="375D3A34" w14:textId="77777777" w:rsidR="009E6828" w:rsidRPr="00FB0844" w:rsidRDefault="009E6828" w:rsidP="009E6828">
      <w:pPr>
        <w:jc w:val="both"/>
        <w:rPr>
          <w:szCs w:val="22"/>
        </w:rPr>
      </w:pPr>
      <w:r w:rsidRPr="00FB0844">
        <w:rPr>
          <w:szCs w:val="22"/>
        </w:rPr>
        <w:t>Grundsätzlich ist ein Wechsel aus allen Zielgruppen in jede andere möglich. Im Folgenden sind die Regelfälle beschrieben:</w:t>
      </w:r>
    </w:p>
    <w:p w14:paraId="0E8EB695" w14:textId="77777777" w:rsidR="009E6828" w:rsidRPr="00FB0844" w:rsidRDefault="009E6828" w:rsidP="009E6828">
      <w:pPr>
        <w:jc w:val="both"/>
        <w:rPr>
          <w:szCs w:val="22"/>
        </w:rPr>
      </w:pPr>
    </w:p>
    <w:p w14:paraId="13FF35DE" w14:textId="77777777" w:rsidR="009E6828" w:rsidRPr="00FB0844" w:rsidRDefault="009E6828" w:rsidP="009E6828">
      <w:pPr>
        <w:jc w:val="both"/>
        <w:rPr>
          <w:szCs w:val="22"/>
        </w:rPr>
      </w:pPr>
      <w:r w:rsidRPr="00FB0844">
        <w:rPr>
          <w:szCs w:val="22"/>
        </w:rPr>
        <w:t xml:space="preserve">Ein Wechsel von Zielgruppe 1 in Zielgruppe 2 erfolgt in der Regel mittels Erteilen der Kostengutsprache für ein (qualifizierendes) Zusatzmodul. </w:t>
      </w:r>
    </w:p>
    <w:p w14:paraId="40C240EB" w14:textId="77777777" w:rsidR="009E6828" w:rsidRPr="00FB0844" w:rsidRDefault="009E6828" w:rsidP="009E6828">
      <w:pPr>
        <w:jc w:val="both"/>
        <w:rPr>
          <w:szCs w:val="22"/>
        </w:rPr>
      </w:pPr>
    </w:p>
    <w:p w14:paraId="774144D8" w14:textId="0CCB192A" w:rsidR="009E6828" w:rsidRPr="00FB0844" w:rsidRDefault="009E6828" w:rsidP="009E6828">
      <w:pPr>
        <w:pStyle w:val="Funotentext"/>
        <w:jc w:val="both"/>
        <w:rPr>
          <w:sz w:val="22"/>
          <w:szCs w:val="22"/>
        </w:rPr>
      </w:pPr>
      <w:r w:rsidRPr="00FB0844">
        <w:rPr>
          <w:sz w:val="22"/>
          <w:szCs w:val="22"/>
        </w:rPr>
        <w:t>Der Wechsel aus den Zielgruppen 1 und 2 in Zielgruppe 3 setzt den Besuch des Moduls Check-in 3 SEB voraus. Im Rahmen des zweimonatigen Moduls Check-in 3 wird die Arbeitsmarktfähigkeit und Motivation zur Stellensu</w:t>
      </w:r>
      <w:r w:rsidR="00094AC8">
        <w:rPr>
          <w:sz w:val="22"/>
          <w:szCs w:val="22"/>
        </w:rPr>
        <w:t>che vertieft überprüft, mit dem*</w:t>
      </w:r>
      <w:r w:rsidR="00004886">
        <w:rPr>
          <w:sz w:val="22"/>
          <w:szCs w:val="22"/>
        </w:rPr>
        <w:t>der Klient*</w:t>
      </w:r>
      <w:r w:rsidRPr="00FB0844">
        <w:rPr>
          <w:sz w:val="22"/>
          <w:szCs w:val="22"/>
        </w:rPr>
        <w:t>in eine Bewerbungsstrategie erarbeitet und schliesslich in einem Förder- und Bewerbungsplan schri</w:t>
      </w:r>
      <w:r w:rsidR="00004886">
        <w:rPr>
          <w:sz w:val="22"/>
          <w:szCs w:val="22"/>
        </w:rPr>
        <w:t>ftlich vereinbart. Das Modul</w:t>
      </w:r>
      <w:r w:rsidRPr="00FB0844">
        <w:rPr>
          <w:sz w:val="22"/>
          <w:szCs w:val="22"/>
        </w:rPr>
        <w:t xml:space="preserve"> Check-in 3 schickt den Fö</w:t>
      </w:r>
      <w:r w:rsidR="00004886">
        <w:rPr>
          <w:sz w:val="22"/>
          <w:szCs w:val="22"/>
        </w:rPr>
        <w:t xml:space="preserve">rder- und Bewerbungsplan an </w:t>
      </w:r>
      <w:r w:rsidR="00476DCC">
        <w:rPr>
          <w:sz w:val="22"/>
          <w:szCs w:val="22"/>
        </w:rPr>
        <w:t>die Fallführung</w:t>
      </w:r>
      <w:r w:rsidRPr="00FB0844">
        <w:rPr>
          <w:sz w:val="22"/>
          <w:szCs w:val="22"/>
        </w:rPr>
        <w:t xml:space="preserve"> und stellt Antrag auf Kostengutsprache für Angebote der Zielgruppe 3. Der Förder- und Bewerbungsplan wird anschliessend im Rahmen der Angebote für Zielgruppe 3 umgesetzt. </w:t>
      </w:r>
    </w:p>
    <w:p w14:paraId="1DFB0BA1" w14:textId="77777777" w:rsidR="009E6828" w:rsidRPr="00FB0844" w:rsidRDefault="009E6828" w:rsidP="009E6828">
      <w:pPr>
        <w:pStyle w:val="Funotentext"/>
        <w:jc w:val="both"/>
        <w:rPr>
          <w:sz w:val="22"/>
          <w:szCs w:val="22"/>
        </w:rPr>
      </w:pPr>
    </w:p>
    <w:p w14:paraId="42F9EE63" w14:textId="56861BE3" w:rsidR="009E6828" w:rsidRPr="00FB0844" w:rsidRDefault="00004886" w:rsidP="009E6828">
      <w:pPr>
        <w:pStyle w:val="Funotentext"/>
        <w:jc w:val="both"/>
        <w:rPr>
          <w:sz w:val="22"/>
          <w:szCs w:val="22"/>
        </w:rPr>
      </w:pPr>
      <w:r>
        <w:rPr>
          <w:sz w:val="22"/>
          <w:szCs w:val="22"/>
        </w:rPr>
        <w:t>Wenn der*die Klient*</w:t>
      </w:r>
      <w:r w:rsidR="009E6828" w:rsidRPr="00FB0844">
        <w:rPr>
          <w:sz w:val="22"/>
          <w:szCs w:val="22"/>
        </w:rPr>
        <w:t xml:space="preserve">in eine Arbeitsstelle im 1. Arbeitsmarkt vor weniger als 6 Monaten verloren hat und bereits ein Bericht der NAVI vorliegt, kann eine Direktanmeldung in das Check-in 3 sinnvoll sein. Die Direktanmeldung in das Check-in 3 ist nur in Einzelfällen und in Absprache mit den SEB vorgesehen.   </w:t>
      </w:r>
    </w:p>
    <w:p w14:paraId="093B3013" w14:textId="77777777" w:rsidR="009E6828" w:rsidRPr="00FB0844" w:rsidRDefault="009E6828" w:rsidP="009E6828">
      <w:pPr>
        <w:pStyle w:val="Funotentext"/>
        <w:jc w:val="both"/>
        <w:rPr>
          <w:sz w:val="22"/>
          <w:szCs w:val="22"/>
        </w:rPr>
      </w:pPr>
    </w:p>
    <w:p w14:paraId="3EAFEFCA" w14:textId="080103FD" w:rsidR="009E6828" w:rsidRPr="00FB0844" w:rsidRDefault="009E6828" w:rsidP="009E6828">
      <w:pPr>
        <w:jc w:val="both"/>
        <w:rPr>
          <w:szCs w:val="22"/>
        </w:rPr>
      </w:pPr>
      <w:r w:rsidRPr="00FB0844">
        <w:rPr>
          <w:szCs w:val="22"/>
        </w:rPr>
        <w:t xml:space="preserve">Ein Wechsel in die Zielgruppe 4 erfolgt im Rahmen des Auflage- und Kürzungsverfahrens und wird von </w:t>
      </w:r>
      <w:r w:rsidR="00476DCC">
        <w:t>der Fallführung</w:t>
      </w:r>
      <w:r w:rsidRPr="00FB0844" w:rsidDel="00916B25">
        <w:rPr>
          <w:szCs w:val="22"/>
        </w:rPr>
        <w:t xml:space="preserve"> </w:t>
      </w:r>
      <w:r w:rsidRPr="00FB0844">
        <w:rPr>
          <w:szCs w:val="22"/>
        </w:rPr>
        <w:t xml:space="preserve">mittels einsprachefähiger Verfügung vollzogen, siehe </w:t>
      </w:r>
      <w:hyperlink r:id="rId36" w:history="1">
        <w:r w:rsidRPr="00FB0844">
          <w:rPr>
            <w:rStyle w:val="Hyperlink"/>
            <w:szCs w:val="22"/>
          </w:rPr>
          <w:t>HAW Auflagen- und Kürzungsverfahren</w:t>
        </w:r>
      </w:hyperlink>
      <w:r w:rsidRPr="00FB0844">
        <w:rPr>
          <w:color w:val="0000FF"/>
          <w:szCs w:val="22"/>
        </w:rPr>
        <w:t>.</w:t>
      </w:r>
      <w:r w:rsidRPr="00FB0844">
        <w:rPr>
          <w:szCs w:val="22"/>
        </w:rPr>
        <w:t xml:space="preserve"> Der Austritt aus der Zielgruppe 4 erfolgt ebenfalls im Rahmen des Auflage- und Kürzungsverfahrens und erfordert die Aufhebung der Verfügung. Vor dem Wechsel in die Zielgruppe 4 oder zur Unterstützung eines Austritts aus der Zielgruppe 4 kann bei Bedarf das </w:t>
      </w:r>
      <w:r w:rsidRPr="00004886">
        <w:rPr>
          <w:i/>
          <w:szCs w:val="22"/>
          <w:highlight w:val="yellow"/>
        </w:rPr>
        <w:t xml:space="preserve">Modul </w:t>
      </w:r>
      <w:r w:rsidR="00004886" w:rsidRPr="00004886">
        <w:rPr>
          <w:i/>
          <w:szCs w:val="22"/>
          <w:highlight w:val="yellow"/>
        </w:rPr>
        <w:t>Spezialcoaching AI</w:t>
      </w:r>
      <w:r w:rsidR="00004886" w:rsidRPr="00004886">
        <w:rPr>
          <w:szCs w:val="22"/>
        </w:rPr>
        <w:t xml:space="preserve"> </w:t>
      </w:r>
      <w:r w:rsidR="00004886">
        <w:rPr>
          <w:szCs w:val="22"/>
        </w:rPr>
        <w:t xml:space="preserve">der </w:t>
      </w:r>
      <w:r w:rsidR="00004886" w:rsidRPr="00004886">
        <w:rPr>
          <w:szCs w:val="22"/>
        </w:rPr>
        <w:t>SEB</w:t>
      </w:r>
      <w:r w:rsidRPr="00FB0844">
        <w:rPr>
          <w:szCs w:val="22"/>
        </w:rPr>
        <w:t xml:space="preserve"> besucht werden mit dem Ziel, die Motivation zur gezielten Stellensuche (wieder) aufzubauen. Der Entscheid zum Modulbesuch liegt bei </w:t>
      </w:r>
      <w:r w:rsidR="00476DCC">
        <w:t>der Fallführung</w:t>
      </w:r>
      <w:r w:rsidRPr="00FB0844" w:rsidDel="00916B25">
        <w:rPr>
          <w:szCs w:val="22"/>
        </w:rPr>
        <w:t xml:space="preserve"> </w:t>
      </w:r>
      <w:r w:rsidRPr="00FB0844">
        <w:rPr>
          <w:szCs w:val="22"/>
        </w:rPr>
        <w:t xml:space="preserve">mittels Erteilung der Kostengutsprache.  </w:t>
      </w:r>
    </w:p>
    <w:p w14:paraId="7E8EFCA2" w14:textId="77777777" w:rsidR="009E6828" w:rsidRPr="00FB0844" w:rsidRDefault="009E6828" w:rsidP="009E6828">
      <w:pPr>
        <w:jc w:val="both"/>
        <w:rPr>
          <w:szCs w:val="22"/>
        </w:rPr>
      </w:pPr>
    </w:p>
    <w:p w14:paraId="4E7ED467" w14:textId="21214E68" w:rsidR="009E6828" w:rsidRPr="00FB0844" w:rsidRDefault="009E6828" w:rsidP="009E6828">
      <w:pPr>
        <w:jc w:val="both"/>
        <w:rPr>
          <w:rStyle w:val="Hyperlink"/>
          <w:szCs w:val="22"/>
        </w:rPr>
      </w:pPr>
      <w:r w:rsidRPr="00FB0844">
        <w:rPr>
          <w:szCs w:val="22"/>
        </w:rPr>
        <w:t xml:space="preserve">Die Anmeldung für Check-in 3 und </w:t>
      </w:r>
      <w:r w:rsidR="00004886" w:rsidRPr="00004886">
        <w:rPr>
          <w:szCs w:val="22"/>
          <w:highlight w:val="yellow"/>
        </w:rPr>
        <w:t>Spezialcoaching AI</w:t>
      </w:r>
      <w:r w:rsidRPr="00FB0844">
        <w:rPr>
          <w:szCs w:val="22"/>
        </w:rPr>
        <w:t xml:space="preserve"> erfolgt an die Stellenvermittlung der SEB mittels </w:t>
      </w:r>
      <w:hyperlink r:id="rId37" w:history="1">
        <w:r w:rsidRPr="00FB0844">
          <w:rPr>
            <w:rStyle w:val="Hyperlink"/>
            <w:szCs w:val="22"/>
          </w:rPr>
          <w:t>KiSS-Formul</w:t>
        </w:r>
        <w:r w:rsidR="00004886">
          <w:rPr>
            <w:rStyle w:val="Hyperlink"/>
            <w:szCs w:val="22"/>
          </w:rPr>
          <w:t>ar «</w:t>
        </w:r>
        <w:r w:rsidRPr="00FB0844">
          <w:rPr>
            <w:rStyle w:val="Hyperlink"/>
            <w:szCs w:val="22"/>
          </w:rPr>
          <w:t>Arbeit – Anmeldung Programme Berufliche und Soziale Integration</w:t>
        </w:r>
      </w:hyperlink>
      <w:r w:rsidR="00004886">
        <w:rPr>
          <w:rStyle w:val="Hyperlink"/>
          <w:szCs w:val="22"/>
        </w:rPr>
        <w:t>»</w:t>
      </w:r>
      <w:r w:rsidRPr="00FB0844">
        <w:rPr>
          <w:szCs w:val="22"/>
        </w:rPr>
        <w:t xml:space="preserve"> an folgende E-Mail Adresse: </w:t>
      </w:r>
      <w:hyperlink r:id="rId38" w:history="1">
        <w:r w:rsidRPr="00FB0844">
          <w:rPr>
            <w:rStyle w:val="Hyperlink"/>
            <w:szCs w:val="22"/>
          </w:rPr>
          <w:t>seb-stellenvermittlung@zuerich.ch</w:t>
        </w:r>
      </w:hyperlink>
    </w:p>
    <w:p w14:paraId="72A74F81" w14:textId="77777777" w:rsidR="009E6828" w:rsidRPr="00FB0844" w:rsidRDefault="009E6828" w:rsidP="009E6828">
      <w:pPr>
        <w:jc w:val="both"/>
        <w:rPr>
          <w:szCs w:val="22"/>
        </w:rPr>
      </w:pPr>
    </w:p>
    <w:p w14:paraId="17A1EAC5" w14:textId="77777777" w:rsidR="009E6828" w:rsidRPr="00FB0844" w:rsidRDefault="009E6828" w:rsidP="009E6828">
      <w:pPr>
        <w:pStyle w:val="berschrift1"/>
        <w:tabs>
          <w:tab w:val="clear" w:pos="432"/>
          <w:tab w:val="clear" w:pos="709"/>
          <w:tab w:val="num" w:pos="715"/>
        </w:tabs>
        <w:spacing w:before="240" w:after="120"/>
        <w:ind w:left="432" w:hanging="432"/>
      </w:pPr>
      <w:bookmarkStart w:id="39" w:name="_Toc506915418"/>
      <w:bookmarkStart w:id="40" w:name="_Toc102149987"/>
      <w:r w:rsidRPr="00FB0844">
        <w:t>Aus- und Wiedereintritt</w:t>
      </w:r>
      <w:bookmarkEnd w:id="39"/>
      <w:bookmarkEnd w:id="40"/>
    </w:p>
    <w:p w14:paraId="39B8586A" w14:textId="788F8608" w:rsidR="009E6828" w:rsidRPr="00FB0844" w:rsidRDefault="00004886" w:rsidP="009E6828">
      <w:pPr>
        <w:pStyle w:val="Absatz0"/>
        <w:jc w:val="both"/>
        <w:rPr>
          <w:szCs w:val="22"/>
        </w:rPr>
      </w:pPr>
      <w:r>
        <w:rPr>
          <w:szCs w:val="22"/>
        </w:rPr>
        <w:t>Wenn ein*e Klient*</w:t>
      </w:r>
      <w:r w:rsidR="009E6828" w:rsidRPr="00FB0844">
        <w:rPr>
          <w:szCs w:val="22"/>
        </w:rPr>
        <w:t xml:space="preserve">in in der NAVI oder im Betrieb nicht (mehr) erscheint, informiert der Betrieb </w:t>
      </w:r>
      <w:r w:rsidR="00476DCC">
        <w:t>die Fallführung</w:t>
      </w:r>
      <w:r w:rsidR="009E6828" w:rsidRPr="00FB0844" w:rsidDel="002C1F36">
        <w:rPr>
          <w:szCs w:val="22"/>
        </w:rPr>
        <w:t xml:space="preserve"> </w:t>
      </w:r>
      <w:r w:rsidR="009E6828" w:rsidRPr="00FB0844">
        <w:rPr>
          <w:szCs w:val="22"/>
        </w:rPr>
        <w:t xml:space="preserve">per Email darüber. </w:t>
      </w:r>
      <w:r w:rsidR="00476DCC">
        <w:t>Die Fallführung</w:t>
      </w:r>
      <w:r w:rsidR="009E6828" w:rsidRPr="00FB0844">
        <w:rPr>
          <w:szCs w:val="22"/>
        </w:rPr>
        <w:t xml:space="preserve"> kann die Teilnahme des</w:t>
      </w:r>
      <w:r>
        <w:rPr>
          <w:szCs w:val="22"/>
        </w:rPr>
        <w:t>*der Klienten*</w:t>
      </w:r>
      <w:r w:rsidR="009E6828" w:rsidRPr="00FB0844">
        <w:rPr>
          <w:szCs w:val="22"/>
        </w:rPr>
        <w:t>Klientin am Grundangebot im Einzelfall und sofern angemessen mittels Entzug der Ko</w:t>
      </w:r>
      <w:r>
        <w:rPr>
          <w:szCs w:val="22"/>
        </w:rPr>
        <w:t>stengutsprache auflösen. Klient*innen aus den Zielgruppen 1-</w:t>
      </w:r>
      <w:r w:rsidR="009E6828" w:rsidRPr="00FB0844">
        <w:rPr>
          <w:szCs w:val="22"/>
        </w:rPr>
        <w:t>3 können ihre Arbeitstätigkeit unter Einhaltung der (vertraglich) vereinbarten Fristen kündigen.</w:t>
      </w:r>
    </w:p>
    <w:p w14:paraId="7024B3F8" w14:textId="77777777" w:rsidR="009E6828" w:rsidRPr="00FB0844" w:rsidRDefault="009E6828" w:rsidP="009E6828">
      <w:pPr>
        <w:pStyle w:val="Absatz0"/>
        <w:jc w:val="both"/>
        <w:rPr>
          <w:szCs w:val="22"/>
        </w:rPr>
      </w:pPr>
    </w:p>
    <w:p w14:paraId="4B192CA6" w14:textId="1B3C7E7F" w:rsidR="009E6828" w:rsidRPr="00FB0844" w:rsidRDefault="009E6828" w:rsidP="009E6828">
      <w:pPr>
        <w:pStyle w:val="Absatz0"/>
        <w:jc w:val="both"/>
        <w:rPr>
          <w:szCs w:val="22"/>
        </w:rPr>
      </w:pPr>
      <w:r w:rsidRPr="00FB0844">
        <w:rPr>
          <w:szCs w:val="22"/>
        </w:rPr>
        <w:t>Bei Austritt erstellt das Grundangebot ein Arbeitszeugnis</w:t>
      </w:r>
      <w:r w:rsidRPr="00FB0844">
        <w:rPr>
          <w:rStyle w:val="Funotenzeichen"/>
          <w:szCs w:val="22"/>
        </w:rPr>
        <w:footnoteReference w:id="8"/>
      </w:r>
      <w:r w:rsidRPr="00FB0844">
        <w:rPr>
          <w:szCs w:val="22"/>
        </w:rPr>
        <w:t xml:space="preserve"> sowie den </w:t>
      </w:r>
      <w:hyperlink r:id="rId39" w:history="1">
        <w:r w:rsidR="00004886">
          <w:rPr>
            <w:rStyle w:val="Hyperlink"/>
            <w:szCs w:val="22"/>
          </w:rPr>
          <w:t>«</w:t>
        </w:r>
        <w:r w:rsidRPr="00FB0844">
          <w:rPr>
            <w:rStyle w:val="Hyperlink"/>
            <w:szCs w:val="22"/>
          </w:rPr>
          <w:t>Bericht durch den Anbieter</w:t>
        </w:r>
      </w:hyperlink>
      <w:r w:rsidR="00004886">
        <w:rPr>
          <w:rStyle w:val="Hyperlink"/>
          <w:szCs w:val="22"/>
        </w:rPr>
        <w:t>»</w:t>
      </w:r>
      <w:r w:rsidRPr="00FB0844">
        <w:rPr>
          <w:szCs w:val="22"/>
        </w:rPr>
        <w:t xml:space="preserve">, welcher die (künftige) Zielgruppeneinteilung sowie eine Empfehlung für mögliche Anschlusslösungen enthält. Kopie Arbeitszeugnis und Bericht gehen an </w:t>
      </w:r>
      <w:r w:rsidR="00476DCC">
        <w:t>die Fallführung</w:t>
      </w:r>
      <w:r w:rsidRPr="00FB0844">
        <w:rPr>
          <w:szCs w:val="22"/>
        </w:rPr>
        <w:t xml:space="preserve">.  </w:t>
      </w:r>
    </w:p>
    <w:p w14:paraId="1FD2CA60" w14:textId="77777777" w:rsidR="009E6828" w:rsidRPr="00FB0844" w:rsidRDefault="009E6828" w:rsidP="009E6828">
      <w:pPr>
        <w:pStyle w:val="Absatz0"/>
        <w:jc w:val="both"/>
        <w:rPr>
          <w:szCs w:val="22"/>
        </w:rPr>
      </w:pPr>
    </w:p>
    <w:p w14:paraId="74AA9831" w14:textId="4171F911" w:rsidR="009E6828" w:rsidRPr="00FB0844" w:rsidRDefault="00476DCC" w:rsidP="009E6828">
      <w:pPr>
        <w:pStyle w:val="Absatz0"/>
        <w:jc w:val="both"/>
        <w:rPr>
          <w:szCs w:val="22"/>
        </w:rPr>
      </w:pPr>
      <w:r>
        <w:t>Die Fallführung</w:t>
      </w:r>
      <w:r w:rsidR="009E6828" w:rsidRPr="00FB0844">
        <w:t xml:space="preserve"> </w:t>
      </w:r>
      <w:r w:rsidR="009E6828" w:rsidRPr="00FB0844">
        <w:rPr>
          <w:szCs w:val="22"/>
        </w:rPr>
        <w:t xml:space="preserve">führt auf der Grundlage des </w:t>
      </w:r>
      <w:hyperlink r:id="rId40" w:history="1">
        <w:r w:rsidR="00004886">
          <w:rPr>
            <w:rStyle w:val="Hyperlink"/>
            <w:szCs w:val="22"/>
          </w:rPr>
          <w:t>«</w:t>
        </w:r>
        <w:r w:rsidR="009E6828" w:rsidRPr="00FB0844">
          <w:rPr>
            <w:rStyle w:val="Hyperlink"/>
            <w:szCs w:val="22"/>
          </w:rPr>
          <w:t>Berichts durch den Anbieter</w:t>
        </w:r>
      </w:hyperlink>
      <w:r w:rsidR="00004886">
        <w:rPr>
          <w:rStyle w:val="Hyperlink"/>
          <w:szCs w:val="22"/>
        </w:rPr>
        <w:t>»</w:t>
      </w:r>
      <w:r w:rsidR="00004886">
        <w:rPr>
          <w:szCs w:val="22"/>
        </w:rPr>
        <w:t xml:space="preserve"> ein Gespräch mit dem*der Klient*</w:t>
      </w:r>
      <w:r w:rsidR="009E6828" w:rsidRPr="00FB0844">
        <w:rPr>
          <w:szCs w:val="22"/>
        </w:rPr>
        <w:t>in über die Gründe, welche zum Austritt führten sowie mögliche Anschlusslösungen. Der Motivationsarbeit kommt dabei ein hoher Stellenwert zu. Personen ohne Schweizerpass werden auf mögliche ausländerrechtliche Konsequenzen ungenügender Integrationsbemühungen aufmerksam gemacht (siehe</w:t>
      </w:r>
      <w:r w:rsidR="009E6828" w:rsidRPr="00FB0844">
        <w:rPr>
          <w:color w:val="0070C0"/>
          <w:szCs w:val="22"/>
        </w:rPr>
        <w:t xml:space="preserve"> </w:t>
      </w:r>
      <w:hyperlink r:id="rId41" w:history="1">
        <w:r w:rsidR="009E6828" w:rsidRPr="00FB0844">
          <w:rPr>
            <w:rStyle w:val="Hyperlink"/>
          </w:rPr>
          <w:t>HAW  Berufliche und Soziale Integration – Grundlagen</w:t>
        </w:r>
      </w:hyperlink>
      <w:r w:rsidR="009E6828" w:rsidRPr="00FB0844">
        <w:rPr>
          <w:rStyle w:val="Hyperlink"/>
        </w:rPr>
        <w:t xml:space="preserve">, </w:t>
      </w:r>
      <w:r w:rsidR="009E6828" w:rsidRPr="00FB0844">
        <w:rPr>
          <w:szCs w:val="22"/>
        </w:rPr>
        <w:t xml:space="preserve">Kapitel 1.2). Bestätigt der </w:t>
      </w:r>
      <w:hyperlink r:id="rId42" w:history="1">
        <w:r w:rsidR="00004886">
          <w:rPr>
            <w:rStyle w:val="Hyperlink"/>
            <w:szCs w:val="22"/>
          </w:rPr>
          <w:t>«</w:t>
        </w:r>
        <w:r w:rsidR="009E6828" w:rsidRPr="00FB0844">
          <w:rPr>
            <w:rStyle w:val="Hyperlink"/>
            <w:szCs w:val="22"/>
          </w:rPr>
          <w:t>Bericht durch den Anbieter</w:t>
        </w:r>
      </w:hyperlink>
      <w:r w:rsidR="00004886">
        <w:rPr>
          <w:rStyle w:val="Hyperlink"/>
          <w:szCs w:val="22"/>
        </w:rPr>
        <w:t>»</w:t>
      </w:r>
      <w:r w:rsidR="009E6828" w:rsidRPr="00FB0844">
        <w:rPr>
          <w:szCs w:val="22"/>
        </w:rPr>
        <w:t xml:space="preserve"> (weiterhin) die Arbeitsmarktnähe des</w:t>
      </w:r>
      <w:r w:rsidR="00004886">
        <w:rPr>
          <w:szCs w:val="22"/>
        </w:rPr>
        <w:t>*der Klienten*</w:t>
      </w:r>
      <w:r w:rsidR="009E6828" w:rsidRPr="00FB0844">
        <w:rPr>
          <w:szCs w:val="22"/>
        </w:rPr>
        <w:t xml:space="preserve">Klientin, prüft </w:t>
      </w:r>
      <w:r>
        <w:t>die Fallführung</w:t>
      </w:r>
      <w:r w:rsidR="009E6828" w:rsidRPr="00FB0844">
        <w:t xml:space="preserve"> </w:t>
      </w:r>
      <w:r w:rsidR="009E6828" w:rsidRPr="00FB0844">
        <w:rPr>
          <w:szCs w:val="22"/>
        </w:rPr>
        <w:t xml:space="preserve">die Einleitung des Auflagen- und Kürzungsverfahrens. </w:t>
      </w:r>
    </w:p>
    <w:p w14:paraId="4F9D8F67" w14:textId="77777777" w:rsidR="009E6828" w:rsidRPr="00FB0844" w:rsidRDefault="009E6828" w:rsidP="009E6828">
      <w:pPr>
        <w:pStyle w:val="Absatz0"/>
        <w:jc w:val="both"/>
        <w:rPr>
          <w:szCs w:val="22"/>
        </w:rPr>
      </w:pPr>
    </w:p>
    <w:p w14:paraId="6A934924" w14:textId="68EEE111" w:rsidR="009E6828" w:rsidRPr="00FB0844" w:rsidRDefault="009E6828" w:rsidP="009E6828">
      <w:pPr>
        <w:pStyle w:val="Absatz0"/>
        <w:jc w:val="both"/>
        <w:rPr>
          <w:szCs w:val="22"/>
        </w:rPr>
      </w:pPr>
      <w:r w:rsidRPr="00FB0844">
        <w:rPr>
          <w:szCs w:val="22"/>
        </w:rPr>
        <w:t xml:space="preserve">Der Wiedereintritt in die Grundangebote ist auf der Grundlage der Empfehlung aus dem </w:t>
      </w:r>
      <w:hyperlink r:id="rId43" w:history="1">
        <w:r w:rsidR="00900D08">
          <w:rPr>
            <w:rStyle w:val="Hyperlink"/>
            <w:szCs w:val="22"/>
          </w:rPr>
          <w:t>«</w:t>
        </w:r>
        <w:r w:rsidRPr="00FB0844">
          <w:rPr>
            <w:rStyle w:val="Hyperlink"/>
            <w:szCs w:val="22"/>
          </w:rPr>
          <w:t>Bericht durch den Anbieter</w:t>
        </w:r>
      </w:hyperlink>
      <w:r w:rsidR="00900D08">
        <w:rPr>
          <w:rStyle w:val="Hyperlink"/>
          <w:szCs w:val="22"/>
        </w:rPr>
        <w:t>»</w:t>
      </w:r>
      <w:r w:rsidRPr="00FB0844">
        <w:rPr>
          <w:szCs w:val="22"/>
        </w:rPr>
        <w:t xml:space="preserve"> jederzeit möglich</w:t>
      </w:r>
      <w:r w:rsidRPr="00FB0844">
        <w:rPr>
          <w:rStyle w:val="Funotenzeichen"/>
          <w:szCs w:val="22"/>
        </w:rPr>
        <w:footnoteReference w:id="9"/>
      </w:r>
      <w:r w:rsidRPr="00FB0844">
        <w:rPr>
          <w:szCs w:val="22"/>
        </w:rPr>
        <w:t xml:space="preserve">. Es liegt im Ermessen </w:t>
      </w:r>
      <w:r w:rsidR="00476DCC">
        <w:t>der Fallführung</w:t>
      </w:r>
      <w:r w:rsidRPr="00FB0844" w:rsidDel="002C1F36">
        <w:rPr>
          <w:szCs w:val="22"/>
        </w:rPr>
        <w:t xml:space="preserve"> </w:t>
      </w:r>
      <w:r w:rsidRPr="00FB0844">
        <w:rPr>
          <w:szCs w:val="22"/>
        </w:rPr>
        <w:t xml:space="preserve">zu beurteilen, ob eine erneute Abklärung im Rahmen der NAVI angemessen ist. </w:t>
      </w:r>
    </w:p>
    <w:p w14:paraId="2F69EB68" w14:textId="77777777" w:rsidR="009E6828" w:rsidRPr="00FB0844" w:rsidRDefault="009E6828" w:rsidP="009E6828">
      <w:pPr>
        <w:pStyle w:val="Absatz0"/>
        <w:jc w:val="both"/>
        <w:rPr>
          <w:szCs w:val="22"/>
        </w:rPr>
      </w:pPr>
    </w:p>
    <w:p w14:paraId="0D78BBE4" w14:textId="73800852" w:rsidR="009E6828" w:rsidRPr="009903A3" w:rsidRDefault="00900D08" w:rsidP="009E6828">
      <w:pPr>
        <w:pStyle w:val="Absatz0"/>
        <w:jc w:val="both"/>
        <w:rPr>
          <w:szCs w:val="22"/>
        </w:rPr>
      </w:pPr>
      <w:r>
        <w:rPr>
          <w:szCs w:val="22"/>
        </w:rPr>
        <w:t>Von Klient*</w:t>
      </w:r>
      <w:r w:rsidR="009E6828" w:rsidRPr="00FB0844">
        <w:rPr>
          <w:szCs w:val="22"/>
        </w:rPr>
        <w:t xml:space="preserve">innen in der Zielgruppe 3 wird erwartet, dass sie mindestens die Stellensuche fortsetzen, sofern die Arbeitsmarktnähe weiterhin gegeben ist. Der Verbleib in der Zielgruppe 3 ist auf zwei Jahre beschränkt; mit gezielter Unterstützung sollte es diesen Personen gelingen, innerhalb der zweijährigen Dauer eine Stelle im 1. Arbeitsmarkt zu finden. </w:t>
      </w:r>
      <w:r w:rsidR="00476DCC">
        <w:t>Die Fallführung</w:t>
      </w:r>
      <w:r w:rsidR="009E6828" w:rsidRPr="009903A3">
        <w:rPr>
          <w:szCs w:val="22"/>
        </w:rPr>
        <w:t xml:space="preserve"> kann bei Austritt aus Zielgruppe 3 eine Auflage zur Stellensuche und/oder zur Teilnahme am Teillohn machen. Bei Ertei</w:t>
      </w:r>
      <w:r>
        <w:rPr>
          <w:szCs w:val="22"/>
        </w:rPr>
        <w:t>lung einer Auflage wechselt der*die Klient*</w:t>
      </w:r>
      <w:r w:rsidR="009E6828" w:rsidRPr="009903A3">
        <w:rPr>
          <w:szCs w:val="22"/>
        </w:rPr>
        <w:t>in in Zielgruppe 4.</w:t>
      </w:r>
    </w:p>
    <w:p w14:paraId="6BCCDBC3" w14:textId="77777777" w:rsidR="009E6828" w:rsidRPr="009903A3" w:rsidRDefault="009E6828" w:rsidP="009E6828">
      <w:pPr>
        <w:pStyle w:val="Absatz0"/>
        <w:jc w:val="both"/>
        <w:rPr>
          <w:szCs w:val="22"/>
        </w:rPr>
      </w:pPr>
    </w:p>
    <w:p w14:paraId="2D17C20D" w14:textId="5F7FD19C" w:rsidR="009E6828" w:rsidRPr="009903A3" w:rsidRDefault="00900D08" w:rsidP="009E6828">
      <w:pPr>
        <w:pStyle w:val="Absatz0"/>
        <w:jc w:val="both"/>
        <w:rPr>
          <w:szCs w:val="22"/>
        </w:rPr>
      </w:pPr>
      <w:r>
        <w:rPr>
          <w:szCs w:val="22"/>
        </w:rPr>
        <w:t>Klient*</w:t>
      </w:r>
      <w:r w:rsidR="009E6828" w:rsidRPr="009903A3">
        <w:rPr>
          <w:szCs w:val="22"/>
        </w:rPr>
        <w:t xml:space="preserve">innen in Zielgruppe 4 werden im Rahmen des Auflagen- und Kürzungsverfahrens verpflichtet, am Teillohn teilzunehmen (sogenannter Teillohn mit Auflage) und/oder ihre Stellensuchbemühungen gegenüber </w:t>
      </w:r>
      <w:r w:rsidR="00476DCC">
        <w:t>der Fallführung</w:t>
      </w:r>
      <w:r w:rsidR="009E6828" w:rsidRPr="009903A3" w:rsidDel="002C1F36">
        <w:rPr>
          <w:szCs w:val="22"/>
        </w:rPr>
        <w:t xml:space="preserve"> </w:t>
      </w:r>
      <w:r w:rsidR="009E6828" w:rsidRPr="009903A3">
        <w:rPr>
          <w:szCs w:val="22"/>
        </w:rPr>
        <w:t xml:space="preserve">zu dokumentieren. Werden die Auflagen nicht erfüllt, erfolgt eine Leistungskürzung und gegebenenfalls eine (Teil-)Leistungseinstellung. </w:t>
      </w:r>
    </w:p>
    <w:p w14:paraId="037C2A18" w14:textId="77777777" w:rsidR="009E6828" w:rsidRPr="009903A3" w:rsidRDefault="009E6828" w:rsidP="009E6828">
      <w:pPr>
        <w:pStyle w:val="Absatz0"/>
        <w:jc w:val="both"/>
        <w:rPr>
          <w:szCs w:val="22"/>
        </w:rPr>
      </w:pPr>
    </w:p>
    <w:p w14:paraId="4D678521" w14:textId="77777777" w:rsidR="009E6828" w:rsidRDefault="009E6828" w:rsidP="009E6828">
      <w:pPr>
        <w:pStyle w:val="Absatz0"/>
        <w:jc w:val="both"/>
        <w:rPr>
          <w:color w:val="0000FF"/>
          <w:szCs w:val="22"/>
        </w:rPr>
      </w:pPr>
      <w:r w:rsidRPr="009903A3">
        <w:rPr>
          <w:szCs w:val="22"/>
        </w:rPr>
        <w:t>Details zu Auflagen und Kürzungen sind im Auflagen- und Kürzungsverfahren zu finden</w:t>
      </w:r>
      <w:r>
        <w:rPr>
          <w:szCs w:val="22"/>
        </w:rPr>
        <w:t xml:space="preserve"> (s</w:t>
      </w:r>
      <w:r w:rsidRPr="009903A3">
        <w:rPr>
          <w:szCs w:val="22"/>
        </w:rPr>
        <w:t xml:space="preserve">iehe </w:t>
      </w:r>
      <w:hyperlink r:id="rId44" w:history="1">
        <w:r w:rsidRPr="00BE5072">
          <w:rPr>
            <w:rStyle w:val="Hyperlink"/>
            <w:szCs w:val="22"/>
          </w:rPr>
          <w:t>HAW Auflagen- und Kürzungsverfahren</w:t>
        </w:r>
      </w:hyperlink>
      <w:r>
        <w:rPr>
          <w:rStyle w:val="Hyperlink"/>
          <w:szCs w:val="22"/>
        </w:rPr>
        <w:t>)</w:t>
      </w:r>
      <w:r w:rsidRPr="009903A3">
        <w:rPr>
          <w:color w:val="0000FF"/>
          <w:szCs w:val="22"/>
        </w:rPr>
        <w:t>.</w:t>
      </w:r>
    </w:p>
    <w:p w14:paraId="176B157D" w14:textId="77777777" w:rsidR="009E6828" w:rsidRDefault="009E6828" w:rsidP="009E6828">
      <w:pPr>
        <w:pStyle w:val="Absatz0"/>
        <w:rPr>
          <w:szCs w:val="22"/>
        </w:rPr>
      </w:pPr>
    </w:p>
    <w:p w14:paraId="02240F5E" w14:textId="77777777" w:rsidR="009E6828" w:rsidRDefault="009E6828" w:rsidP="009E6828">
      <w:pPr>
        <w:pStyle w:val="Absatz0"/>
        <w:rPr>
          <w:szCs w:val="22"/>
        </w:rPr>
      </w:pPr>
    </w:p>
    <w:p w14:paraId="3C6E2A0B" w14:textId="77777777" w:rsidR="009E6828" w:rsidRDefault="009E6828" w:rsidP="009E6828">
      <w:pPr>
        <w:pStyle w:val="Absatz0"/>
        <w:rPr>
          <w:szCs w:val="22"/>
        </w:rPr>
      </w:pPr>
    </w:p>
    <w:p w14:paraId="694FB7DF" w14:textId="77777777" w:rsidR="009E6828" w:rsidRPr="003022FD" w:rsidRDefault="009E6828" w:rsidP="009E6828">
      <w:pPr>
        <w:pStyle w:val="Absatz0"/>
        <w:rPr>
          <w:szCs w:val="22"/>
        </w:rPr>
      </w:pPr>
    </w:p>
    <w:p w14:paraId="252CC344" w14:textId="77777777" w:rsidR="00F97CC8" w:rsidRPr="009E6828" w:rsidRDefault="00F97CC8" w:rsidP="009E6828"/>
    <w:sectPr w:rsidR="00F97CC8" w:rsidRPr="009E6828" w:rsidSect="00321BCB">
      <w:headerReference w:type="default" r:id="rId45"/>
      <w:footerReference w:type="default" r:id="rId46"/>
      <w:headerReference w:type="first" r:id="rId47"/>
      <w:footerReference w:type="first" r:id="rId48"/>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08D3" w14:textId="77777777" w:rsidR="00B15AF0" w:rsidRDefault="00B15AF0">
      <w:r>
        <w:separator/>
      </w:r>
    </w:p>
  </w:endnote>
  <w:endnote w:type="continuationSeparator" w:id="0">
    <w:p w14:paraId="748C11D5" w14:textId="77777777" w:rsidR="00B15AF0" w:rsidRDefault="00B1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9"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9209"/>
    </w:tblGrid>
    <w:tr w:rsidR="000A5A2E" w14:paraId="44EF6F4B" w14:textId="77777777" w:rsidTr="00F36173">
      <w:trPr>
        <w:trHeight w:val="284"/>
      </w:trPr>
      <w:tc>
        <w:tcPr>
          <w:tcW w:w="9209" w:type="dxa"/>
        </w:tcPr>
        <w:p w14:paraId="3C81ACBF" w14:textId="7B4BF4DE" w:rsidR="000A5A2E" w:rsidRDefault="00F36173" w:rsidP="000A5A2E">
          <w:pPr>
            <w:pStyle w:val="Fuzeile"/>
            <w:tabs>
              <w:tab w:val="clear" w:pos="4536"/>
              <w:tab w:val="clear" w:pos="9072"/>
              <w:tab w:val="right" w:pos="8504"/>
            </w:tabs>
            <w:rPr>
              <w:sz w:val="17"/>
            </w:rPr>
          </w:pPr>
          <w:r>
            <w:rPr>
              <w:sz w:val="17"/>
            </w:rPr>
            <w:t>HAW Berufliche und Soziale Integration- Zielgruppenspezifische Angebote und Zielgruppenwechsel</w:t>
          </w:r>
        </w:p>
      </w:tc>
    </w:tr>
  </w:tbl>
  <w:p w14:paraId="252CC355" w14:textId="77777777" w:rsidR="008C3F9E" w:rsidRDefault="008C3F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935"/>
      <w:gridCol w:w="1555"/>
      <w:gridCol w:w="1417"/>
      <w:gridCol w:w="2126"/>
      <w:gridCol w:w="179"/>
    </w:tblGrid>
    <w:tr w:rsidR="004A5161" w14:paraId="252CC360" w14:textId="77777777" w:rsidTr="000A63A8">
      <w:trPr>
        <w:gridAfter w:val="1"/>
        <w:wAfter w:w="179" w:type="dxa"/>
        <w:trHeight w:val="284"/>
      </w:trPr>
      <w:tc>
        <w:tcPr>
          <w:tcW w:w="3964" w:type="dxa"/>
          <w:gridSpan w:val="2"/>
        </w:tcPr>
        <w:p w14:paraId="252CC35D" w14:textId="37F5F78F" w:rsidR="004A5161" w:rsidRDefault="004A5161" w:rsidP="00D56896">
          <w:pPr>
            <w:pStyle w:val="Fuzeile"/>
            <w:tabs>
              <w:tab w:val="clear" w:pos="4536"/>
              <w:tab w:val="clear" w:pos="9072"/>
              <w:tab w:val="right" w:pos="8504"/>
            </w:tabs>
            <w:rPr>
              <w:sz w:val="17"/>
            </w:rPr>
          </w:pPr>
          <w:r>
            <w:rPr>
              <w:sz w:val="17"/>
            </w:rPr>
            <w:t xml:space="preserve">HAW </w:t>
          </w:r>
          <w:r w:rsidR="00953EAE">
            <w:rPr>
              <w:sz w:val="17"/>
            </w:rPr>
            <w:t>Berufli</w:t>
          </w:r>
          <w:r w:rsidR="00F649CB">
            <w:rPr>
              <w:sz w:val="17"/>
            </w:rPr>
            <w:t xml:space="preserve">che und Soziale Integration- </w:t>
          </w:r>
          <w:r w:rsidR="00D56896">
            <w:rPr>
              <w:sz w:val="17"/>
            </w:rPr>
            <w:t>Zielgruppenspezifische Angebote und Zielgruppenwechsel</w:t>
          </w:r>
          <w:r>
            <w:rPr>
              <w:sz w:val="17"/>
            </w:rPr>
            <w:t xml:space="preserve"> </w:t>
          </w:r>
        </w:p>
      </w:tc>
      <w:tc>
        <w:tcPr>
          <w:tcW w:w="1555" w:type="dxa"/>
        </w:tcPr>
        <w:p w14:paraId="46FD50BC" w14:textId="6E0983E6" w:rsidR="004A5161" w:rsidRDefault="004A5161">
          <w:pPr>
            <w:pStyle w:val="Fuzeile"/>
            <w:tabs>
              <w:tab w:val="clear" w:pos="4536"/>
              <w:tab w:val="clear" w:pos="9072"/>
              <w:tab w:val="right" w:pos="8504"/>
            </w:tabs>
            <w:jc w:val="center"/>
            <w:rPr>
              <w:sz w:val="17"/>
            </w:rPr>
          </w:pPr>
          <w:r>
            <w:rPr>
              <w:sz w:val="17"/>
            </w:rPr>
            <w:t>öffentlich</w:t>
          </w:r>
        </w:p>
      </w:tc>
      <w:tc>
        <w:tcPr>
          <w:tcW w:w="1417" w:type="dxa"/>
        </w:tcPr>
        <w:p w14:paraId="252CC35E" w14:textId="33F4E770" w:rsidR="004A5161" w:rsidRDefault="00D56896">
          <w:pPr>
            <w:pStyle w:val="Fuzeile"/>
            <w:tabs>
              <w:tab w:val="clear" w:pos="4536"/>
              <w:tab w:val="clear" w:pos="9072"/>
              <w:tab w:val="right" w:pos="8504"/>
            </w:tabs>
            <w:jc w:val="center"/>
            <w:rPr>
              <w:sz w:val="17"/>
            </w:rPr>
          </w:pPr>
          <w:r>
            <w:rPr>
              <w:sz w:val="17"/>
            </w:rPr>
            <w:t>Version 1</w:t>
          </w:r>
          <w:r w:rsidR="00953EAE">
            <w:rPr>
              <w:sz w:val="17"/>
            </w:rPr>
            <w:t>.</w:t>
          </w:r>
          <w:r w:rsidR="00D06D48">
            <w:rPr>
              <w:sz w:val="17"/>
            </w:rPr>
            <w:t>1</w:t>
          </w:r>
        </w:p>
      </w:tc>
      <w:tc>
        <w:tcPr>
          <w:tcW w:w="2126" w:type="dxa"/>
        </w:tcPr>
        <w:p w14:paraId="252CC35F" w14:textId="4FFA08E8" w:rsidR="004A5161" w:rsidRDefault="004A5161" w:rsidP="00A002B3">
          <w:pPr>
            <w:pStyle w:val="Fuzeile"/>
            <w:tabs>
              <w:tab w:val="clear" w:pos="4536"/>
              <w:tab w:val="clear" w:pos="9072"/>
              <w:tab w:val="right" w:pos="8504"/>
            </w:tabs>
            <w:ind w:left="-119"/>
            <w:jc w:val="right"/>
            <w:rPr>
              <w:sz w:val="17"/>
              <w:lang w:val="de-DE"/>
            </w:rPr>
          </w:pPr>
          <w:r>
            <w:rPr>
              <w:sz w:val="17"/>
              <w:lang w:val="de-DE"/>
            </w:rPr>
            <w:t>VerfasserIn: F</w:t>
          </w:r>
          <w:r w:rsidR="004156FA">
            <w:rPr>
              <w:sz w:val="17"/>
              <w:lang w:val="de-DE"/>
            </w:rPr>
            <w:t>achstab</w:t>
          </w:r>
          <w:r>
            <w:rPr>
              <w:sz w:val="17"/>
              <w:lang w:val="de-DE"/>
            </w:rPr>
            <w:t xml:space="preserve"> </w:t>
          </w:r>
          <w:r w:rsidR="00953EAE">
            <w:rPr>
              <w:sz w:val="17"/>
              <w:lang w:val="de-DE"/>
            </w:rPr>
            <w:t>SI</w:t>
          </w:r>
        </w:p>
      </w:tc>
    </w:tr>
    <w:tr w:rsidR="004A5161" w14:paraId="317A9AE4" w14:textId="77777777" w:rsidTr="000A63A8">
      <w:trPr>
        <w:trHeight w:val="284"/>
      </w:trPr>
      <w:tc>
        <w:tcPr>
          <w:tcW w:w="29" w:type="dxa"/>
        </w:tcPr>
        <w:p w14:paraId="02FBD56E" w14:textId="77777777" w:rsidR="004A5161" w:rsidRDefault="004A5161" w:rsidP="00C86D3E">
          <w:pPr>
            <w:pStyle w:val="Fuzeile"/>
            <w:tabs>
              <w:tab w:val="clear" w:pos="4536"/>
              <w:tab w:val="clear" w:pos="9072"/>
              <w:tab w:val="right" w:pos="8504"/>
            </w:tabs>
            <w:ind w:left="-119"/>
            <w:rPr>
              <w:sz w:val="17"/>
              <w:lang w:val="de-DE"/>
            </w:rPr>
          </w:pPr>
        </w:p>
      </w:tc>
      <w:tc>
        <w:tcPr>
          <w:tcW w:w="9212" w:type="dxa"/>
          <w:gridSpan w:val="5"/>
        </w:tcPr>
        <w:p w14:paraId="0652CC77" w14:textId="6EE28C99" w:rsidR="004A5161" w:rsidRPr="00D06D48" w:rsidRDefault="00D06D48" w:rsidP="00D06D48">
          <w:pPr>
            <w:pStyle w:val="Fuzeile"/>
            <w:rPr>
              <w:rFonts w:cstheme="minorBidi"/>
              <w:lang w:eastAsia="en-US"/>
            </w:rPr>
          </w:pPr>
          <w:r>
            <w:rPr>
              <w:sz w:val="17"/>
              <w:lang w:val="de-DE"/>
            </w:rPr>
            <w:t>© Copyright: Soziale Dienste. Eine Weiterverwendung ist nur mit dem Zusatz «Soziale Dienste Stadt Zürich» erlaubt.</w:t>
          </w:r>
        </w:p>
      </w:tc>
    </w:tr>
  </w:tbl>
  <w:p w14:paraId="252CC361" w14:textId="77777777" w:rsidR="008C3F9E" w:rsidRDefault="008C3F9E"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6D31" w14:textId="77777777" w:rsidR="00B15AF0" w:rsidRDefault="00B15AF0">
      <w:r>
        <w:separator/>
      </w:r>
    </w:p>
  </w:footnote>
  <w:footnote w:type="continuationSeparator" w:id="0">
    <w:p w14:paraId="086D64E9" w14:textId="77777777" w:rsidR="00B15AF0" w:rsidRDefault="00B15AF0">
      <w:r>
        <w:continuationSeparator/>
      </w:r>
    </w:p>
  </w:footnote>
  <w:footnote w:id="1">
    <w:p w14:paraId="324DC89E" w14:textId="2242270A" w:rsidR="009E6828" w:rsidRPr="002B0A5A" w:rsidRDefault="009E6828" w:rsidP="009E6828">
      <w:pPr>
        <w:pStyle w:val="Funotentext"/>
      </w:pPr>
      <w:r>
        <w:rPr>
          <w:rStyle w:val="Funotenzeichen"/>
        </w:rPr>
        <w:footnoteRef/>
      </w:r>
      <w:r>
        <w:t xml:space="preserve"> </w:t>
      </w:r>
      <w:r w:rsidR="00A76F0C">
        <w:rPr>
          <w:szCs w:val="22"/>
        </w:rPr>
        <w:t>Klient*</w:t>
      </w:r>
      <w:r>
        <w:rPr>
          <w:szCs w:val="22"/>
        </w:rPr>
        <w:t>innen, die ein Qualifizierungsprogramm besuchen, sind immer gleichzeitig bei der Stellenvermittlung angemeldet.</w:t>
      </w:r>
    </w:p>
  </w:footnote>
  <w:footnote w:id="2">
    <w:p w14:paraId="6D1630BC" w14:textId="05A3CD61" w:rsidR="009E6828" w:rsidRPr="00D33DA9" w:rsidRDefault="009E6828" w:rsidP="009E6828">
      <w:pPr>
        <w:pStyle w:val="Funotentext"/>
        <w:jc w:val="both"/>
        <w:rPr>
          <w:sz w:val="18"/>
          <w:szCs w:val="18"/>
        </w:rPr>
      </w:pPr>
      <w:r w:rsidRPr="00D33DA9">
        <w:rPr>
          <w:rStyle w:val="Funotenzeichen"/>
          <w:sz w:val="18"/>
          <w:szCs w:val="18"/>
        </w:rPr>
        <w:footnoteRef/>
      </w:r>
      <w:r w:rsidR="00351FD7">
        <w:rPr>
          <w:sz w:val="18"/>
          <w:szCs w:val="18"/>
        </w:rPr>
        <w:t xml:space="preserve"> «</w:t>
      </w:r>
      <w:r w:rsidRPr="00D33DA9">
        <w:rPr>
          <w:sz w:val="18"/>
          <w:szCs w:val="18"/>
        </w:rPr>
        <w:t>Bezugsperson im Grundangebot</w:t>
      </w:r>
      <w:r w:rsidR="00351FD7">
        <w:rPr>
          <w:sz w:val="18"/>
          <w:szCs w:val="18"/>
        </w:rPr>
        <w:t>» bezeichnet den*die zuständige</w:t>
      </w:r>
      <w:r w:rsidR="00821C55">
        <w:rPr>
          <w:sz w:val="18"/>
          <w:szCs w:val="18"/>
        </w:rPr>
        <w:t>*n</w:t>
      </w:r>
      <w:r w:rsidR="00351FD7">
        <w:rPr>
          <w:sz w:val="18"/>
          <w:szCs w:val="18"/>
        </w:rPr>
        <w:t xml:space="preserve"> Arbeitsagog*in bzw. den*die Vorgesetzte*</w:t>
      </w:r>
      <w:r w:rsidRPr="00D33DA9">
        <w:rPr>
          <w:sz w:val="18"/>
          <w:szCs w:val="18"/>
        </w:rPr>
        <w:t>n im Betrieb, wo der</w:t>
      </w:r>
      <w:r w:rsidR="00351FD7">
        <w:rPr>
          <w:sz w:val="18"/>
          <w:szCs w:val="18"/>
        </w:rPr>
        <w:t>*die Klient*</w:t>
      </w:r>
      <w:r w:rsidRPr="00D33DA9">
        <w:rPr>
          <w:sz w:val="18"/>
          <w:szCs w:val="18"/>
        </w:rPr>
        <w:t xml:space="preserve">in arbeitet. </w:t>
      </w:r>
    </w:p>
  </w:footnote>
  <w:footnote w:id="3">
    <w:p w14:paraId="07588640" w14:textId="77777777" w:rsidR="009E6828" w:rsidRPr="00456A70" w:rsidRDefault="009E6828" w:rsidP="009E6828">
      <w:pPr>
        <w:pStyle w:val="Default"/>
        <w:jc w:val="both"/>
        <w:rPr>
          <w:sz w:val="18"/>
          <w:szCs w:val="18"/>
        </w:rPr>
      </w:pPr>
    </w:p>
  </w:footnote>
  <w:footnote w:id="4">
    <w:p w14:paraId="6A22F2BB" w14:textId="77777777" w:rsidR="009E6828" w:rsidRDefault="009E6828" w:rsidP="009E6828">
      <w:pPr>
        <w:pStyle w:val="Absatz0"/>
        <w:jc w:val="both"/>
      </w:pPr>
      <w:r w:rsidRPr="00FB0844">
        <w:rPr>
          <w:rStyle w:val="Funotenzeichen"/>
        </w:rPr>
        <w:footnoteRef/>
      </w:r>
      <w:r w:rsidRPr="00FB0844">
        <w:t xml:space="preserve"> </w:t>
      </w:r>
      <w:r w:rsidRPr="00FB0844">
        <w:rPr>
          <w:sz w:val="18"/>
          <w:szCs w:val="18"/>
        </w:rPr>
        <w:t>Kann innerhalb der zweijährigen Dauer keine Stelle im 1. Arbeitsmarkt gefunden werden, ist eine erneute Abklärung durch die NAVI und/oder ein Zielgruppenwechsel angezeigt. Wenn gut begründbar und wenn eine Empfehlung von Seiten Anbieter*in vorliegt, ist in Ausnahmefällen eine Verlängerung der Verweildauer von zwei Jahren möglich, um eine nachhaltige (Re)Integration in den Arbeitsmarkt zu ermöglichen.</w:t>
      </w:r>
    </w:p>
  </w:footnote>
  <w:footnote w:id="5">
    <w:p w14:paraId="59C6D396" w14:textId="77777777" w:rsidR="009E6828" w:rsidRPr="00D71751" w:rsidRDefault="009E6828" w:rsidP="009E6828">
      <w:pPr>
        <w:jc w:val="both"/>
      </w:pPr>
      <w:r w:rsidRPr="00D71751">
        <w:rPr>
          <w:rStyle w:val="Funotenzeichen"/>
          <w:sz w:val="18"/>
          <w:szCs w:val="18"/>
        </w:rPr>
        <w:footnoteRef/>
      </w:r>
      <w:r>
        <w:rPr>
          <w:sz w:val="18"/>
          <w:szCs w:val="18"/>
        </w:rPr>
        <w:t xml:space="preserve"> </w:t>
      </w:r>
      <w:r w:rsidRPr="00D71751">
        <w:rPr>
          <w:sz w:val="18"/>
          <w:szCs w:val="18"/>
        </w:rPr>
        <w:t>Bei Bedarf begleitet die Stellenvermittlung Teilnehmende in den ersten Anstellungsmonaten im 1. Arbeitsmarkt</w:t>
      </w:r>
    </w:p>
  </w:footnote>
  <w:footnote w:id="6">
    <w:p w14:paraId="3BB011A9" w14:textId="27EBF4C4" w:rsidR="009E6828" w:rsidRPr="00430742" w:rsidRDefault="009E6828" w:rsidP="009E6828">
      <w:pPr>
        <w:jc w:val="both"/>
        <w:rPr>
          <w:szCs w:val="22"/>
        </w:rPr>
      </w:pPr>
      <w:r>
        <w:rPr>
          <w:rStyle w:val="Funotenzeichen"/>
        </w:rPr>
        <w:footnoteRef/>
      </w:r>
      <w:r>
        <w:t xml:space="preserve"> </w:t>
      </w:r>
      <w:r w:rsidRPr="00DB5D35">
        <w:rPr>
          <w:sz w:val="18"/>
          <w:szCs w:val="18"/>
        </w:rPr>
        <w:t xml:space="preserve">Die Anmeldung für </w:t>
      </w:r>
      <w:r>
        <w:rPr>
          <w:sz w:val="18"/>
          <w:szCs w:val="18"/>
        </w:rPr>
        <w:t xml:space="preserve">die Laufbahnberatung (BdA oder LEAF) </w:t>
      </w:r>
      <w:r w:rsidRPr="00DB5D35">
        <w:rPr>
          <w:sz w:val="18"/>
          <w:szCs w:val="18"/>
        </w:rPr>
        <w:t xml:space="preserve">erfolgt </w:t>
      </w:r>
      <w:r>
        <w:rPr>
          <w:sz w:val="18"/>
          <w:szCs w:val="18"/>
        </w:rPr>
        <w:t xml:space="preserve">vis </w:t>
      </w:r>
      <w:hyperlink r:id="rId1" w:history="1">
        <w:r w:rsidR="00094AC8">
          <w:rPr>
            <w:rStyle w:val="Hyperlink"/>
            <w:sz w:val="18"/>
            <w:szCs w:val="18"/>
          </w:rPr>
          <w:t>KiSS-Formular «</w:t>
        </w:r>
        <w:r w:rsidRPr="00DB5D35">
          <w:rPr>
            <w:rStyle w:val="Hyperlink"/>
            <w:sz w:val="18"/>
            <w:szCs w:val="18"/>
          </w:rPr>
          <w:t>Arbeit – Anmeldung Laufbahnzentrum BdA-LEAF</w:t>
        </w:r>
      </w:hyperlink>
      <w:r w:rsidR="00094AC8">
        <w:rPr>
          <w:rStyle w:val="Hyperlink"/>
          <w:sz w:val="18"/>
          <w:szCs w:val="18"/>
        </w:rPr>
        <w:t>»</w:t>
      </w:r>
      <w:r>
        <w:rPr>
          <w:sz w:val="18"/>
          <w:szCs w:val="18"/>
        </w:rPr>
        <w:t xml:space="preserve">. </w:t>
      </w:r>
    </w:p>
  </w:footnote>
  <w:footnote w:id="7">
    <w:p w14:paraId="6CA25702" w14:textId="5F15B69B" w:rsidR="009E6828" w:rsidRPr="009C5063" w:rsidRDefault="009E6828" w:rsidP="009E6828">
      <w:pPr>
        <w:pStyle w:val="Funotentext"/>
        <w:jc w:val="both"/>
        <w:rPr>
          <w:sz w:val="18"/>
          <w:szCs w:val="18"/>
        </w:rPr>
      </w:pPr>
      <w:r w:rsidRPr="009C5063">
        <w:rPr>
          <w:rStyle w:val="Funotenzeichen"/>
          <w:sz w:val="18"/>
          <w:szCs w:val="18"/>
        </w:rPr>
        <w:footnoteRef/>
      </w:r>
      <w:r w:rsidRPr="009C5063">
        <w:rPr>
          <w:sz w:val="18"/>
          <w:szCs w:val="18"/>
        </w:rPr>
        <w:t xml:space="preserve"> In der Stellenvermittlung wird der Stand der beruflichen Integration laufend und in regelmässigen Gesprächen mit dem</w:t>
      </w:r>
      <w:r w:rsidR="00004886">
        <w:rPr>
          <w:sz w:val="18"/>
          <w:szCs w:val="18"/>
        </w:rPr>
        <w:t>*der Klient*</w:t>
      </w:r>
      <w:r w:rsidRPr="009C5063">
        <w:rPr>
          <w:sz w:val="18"/>
          <w:szCs w:val="18"/>
        </w:rPr>
        <w:t xml:space="preserve">in überprüft, weshalb sich Standortgespräche erübrigen. </w:t>
      </w:r>
    </w:p>
  </w:footnote>
  <w:footnote w:id="8">
    <w:p w14:paraId="2AF0E708" w14:textId="77777777" w:rsidR="009E6828" w:rsidRPr="00F63159" w:rsidRDefault="009E6828" w:rsidP="009E6828">
      <w:pPr>
        <w:pStyle w:val="Funotentext"/>
        <w:jc w:val="both"/>
        <w:rPr>
          <w:sz w:val="18"/>
          <w:szCs w:val="18"/>
        </w:rPr>
      </w:pPr>
      <w:r w:rsidRPr="00F63159">
        <w:rPr>
          <w:rStyle w:val="Funotenzeichen"/>
          <w:sz w:val="18"/>
          <w:szCs w:val="18"/>
        </w:rPr>
        <w:footnoteRef/>
      </w:r>
      <w:r w:rsidRPr="00F63159">
        <w:rPr>
          <w:sz w:val="18"/>
          <w:szCs w:val="18"/>
        </w:rPr>
        <w:t xml:space="preserve"> Bei einem kurzen Einsatz oder häufigen Absenzen kann auch eine Arbeitsbestätigung ausgestellt werden. </w:t>
      </w:r>
    </w:p>
  </w:footnote>
  <w:footnote w:id="9">
    <w:p w14:paraId="76DBE8C2" w14:textId="77777777" w:rsidR="009E6828" w:rsidRPr="00886F02" w:rsidRDefault="009E6828" w:rsidP="009E6828">
      <w:pPr>
        <w:pStyle w:val="Funotentext"/>
        <w:jc w:val="both"/>
        <w:rPr>
          <w:sz w:val="18"/>
          <w:szCs w:val="18"/>
        </w:rPr>
      </w:pPr>
      <w:r w:rsidRPr="00886F02">
        <w:rPr>
          <w:rStyle w:val="Funotenzeichen"/>
          <w:sz w:val="18"/>
          <w:szCs w:val="18"/>
        </w:rPr>
        <w:footnoteRef/>
      </w:r>
      <w:r w:rsidRPr="00886F02">
        <w:rPr>
          <w:sz w:val="18"/>
          <w:szCs w:val="18"/>
        </w:rPr>
        <w:t xml:space="preserve"> Der Wiedereintritt in die Qualifikation bei privaten Anbietern ist während sechs Monaten ab Austritt möglich.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C3F9E" w14:paraId="252CC34C" w14:textId="77777777">
      <w:tc>
        <w:tcPr>
          <w:tcW w:w="7257" w:type="dxa"/>
          <w:gridSpan w:val="2"/>
        </w:tcPr>
        <w:p w14:paraId="252CC349" w14:textId="56055120" w:rsidR="008C3F9E" w:rsidRDefault="008C3F9E">
          <w:pPr>
            <w:pStyle w:val="Kopfzeile"/>
            <w:tabs>
              <w:tab w:val="clear" w:pos="4536"/>
              <w:tab w:val="clear" w:pos="9072"/>
            </w:tabs>
            <w:rPr>
              <w:szCs w:val="22"/>
            </w:rPr>
          </w:pPr>
          <w:r>
            <w:rPr>
              <w:noProof/>
              <w:szCs w:val="22"/>
              <w:lang w:eastAsia="de-CH"/>
            </w:rPr>
            <w:drawing>
              <wp:inline distT="0" distB="0" distL="0" distR="0" wp14:anchorId="252CC362" wp14:editId="0740A4F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2CC34A" w14:textId="77777777" w:rsidR="008C3F9E" w:rsidRDefault="008C3F9E">
          <w:pPr>
            <w:pStyle w:val="Kopfzeile"/>
            <w:tabs>
              <w:tab w:val="clear" w:pos="4536"/>
              <w:tab w:val="clear" w:pos="9072"/>
            </w:tabs>
            <w:rPr>
              <w:szCs w:val="22"/>
            </w:rPr>
          </w:pPr>
        </w:p>
      </w:tc>
      <w:tc>
        <w:tcPr>
          <w:tcW w:w="2495" w:type="dxa"/>
        </w:tcPr>
        <w:p w14:paraId="252CC34B" w14:textId="77777777" w:rsidR="008C3F9E" w:rsidRDefault="008C3F9E">
          <w:pPr>
            <w:pStyle w:val="Kopfzeile"/>
            <w:tabs>
              <w:tab w:val="clear" w:pos="4536"/>
              <w:tab w:val="clear" w:pos="9072"/>
            </w:tabs>
            <w:rPr>
              <w:sz w:val="17"/>
              <w:szCs w:val="17"/>
            </w:rPr>
          </w:pPr>
        </w:p>
      </w:tc>
    </w:tr>
    <w:tr w:rsidR="008C3F9E" w14:paraId="252CC34F" w14:textId="77777777">
      <w:trPr>
        <w:trHeight w:val="210"/>
      </w:trPr>
      <w:tc>
        <w:tcPr>
          <w:tcW w:w="680" w:type="dxa"/>
        </w:tcPr>
        <w:p w14:paraId="252CC34D" w14:textId="77777777" w:rsidR="008C3F9E" w:rsidRDefault="008C3F9E">
          <w:pPr>
            <w:pStyle w:val="Kopfzeile"/>
          </w:pPr>
        </w:p>
      </w:tc>
      <w:tc>
        <w:tcPr>
          <w:tcW w:w="9072" w:type="dxa"/>
          <w:gridSpan w:val="2"/>
        </w:tcPr>
        <w:p w14:paraId="252CC34E" w14:textId="6AF9F940" w:rsidR="008C3F9E" w:rsidRDefault="008C3F9E">
          <w:pPr>
            <w:pStyle w:val="Kopfzeile"/>
          </w:pPr>
          <w:r>
            <w:fldChar w:fldCharType="begin"/>
          </w:r>
          <w:r>
            <w:instrText xml:space="preserve"> PAGE   \* MERGEFORMAT </w:instrText>
          </w:r>
          <w:r>
            <w:fldChar w:fldCharType="separate"/>
          </w:r>
          <w:r w:rsidR="00DF6178">
            <w:rPr>
              <w:noProof/>
            </w:rPr>
            <w:t>2</w:t>
          </w:r>
          <w:r>
            <w:fldChar w:fldCharType="end"/>
          </w:r>
          <w:r>
            <w:t>/</w:t>
          </w:r>
          <w:r w:rsidR="00DF6178">
            <w:fldChar w:fldCharType="begin"/>
          </w:r>
          <w:r w:rsidR="00DF6178">
            <w:instrText xml:space="preserve"> NUMPAGES   \* MERGEFORMAT </w:instrText>
          </w:r>
          <w:r w:rsidR="00DF6178">
            <w:fldChar w:fldCharType="separate"/>
          </w:r>
          <w:r w:rsidR="00DF6178">
            <w:rPr>
              <w:noProof/>
            </w:rPr>
            <w:t>4</w:t>
          </w:r>
          <w:r w:rsidR="00DF6178">
            <w:rPr>
              <w:noProof/>
            </w:rPr>
            <w:fldChar w:fldCharType="end"/>
          </w:r>
        </w:p>
      </w:tc>
    </w:tr>
  </w:tbl>
  <w:p w14:paraId="252CC350" w14:textId="77777777" w:rsidR="008C3F9E" w:rsidRDefault="008C3F9E">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C3F9E" w14:paraId="252CC358" w14:textId="77777777">
      <w:tc>
        <w:tcPr>
          <w:tcW w:w="7257" w:type="dxa"/>
        </w:tcPr>
        <w:p w14:paraId="252CC356" w14:textId="24D66BB1" w:rsidR="008C3F9E" w:rsidRDefault="008C3F9E">
          <w:pPr>
            <w:pStyle w:val="Kopfzeile"/>
            <w:tabs>
              <w:tab w:val="clear" w:pos="4536"/>
              <w:tab w:val="clear" w:pos="9072"/>
            </w:tabs>
            <w:rPr>
              <w:szCs w:val="22"/>
            </w:rPr>
          </w:pPr>
          <w:r>
            <w:rPr>
              <w:noProof/>
              <w:szCs w:val="22"/>
              <w:lang w:eastAsia="de-CH"/>
            </w:rPr>
            <w:drawing>
              <wp:inline distT="0" distB="0" distL="0" distR="0" wp14:anchorId="252CC363" wp14:editId="19D1E8A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52CC357" w14:textId="77777777" w:rsidR="008C3F9E" w:rsidRDefault="008C3F9E">
          <w:pPr>
            <w:pStyle w:val="Kopfzeile"/>
            <w:tabs>
              <w:tab w:val="clear" w:pos="4536"/>
              <w:tab w:val="clear" w:pos="9072"/>
            </w:tabs>
            <w:rPr>
              <w:sz w:val="17"/>
              <w:szCs w:val="17"/>
            </w:rPr>
          </w:pPr>
        </w:p>
      </w:tc>
    </w:tr>
    <w:tr w:rsidR="008C3F9E" w14:paraId="252CC35B" w14:textId="77777777">
      <w:tc>
        <w:tcPr>
          <w:tcW w:w="7257" w:type="dxa"/>
        </w:tcPr>
        <w:p w14:paraId="252CC359" w14:textId="77777777" w:rsidR="008C3F9E" w:rsidRDefault="008C3F9E">
          <w:pPr>
            <w:pStyle w:val="Kopfzeile"/>
            <w:tabs>
              <w:tab w:val="clear" w:pos="4536"/>
              <w:tab w:val="clear" w:pos="9072"/>
            </w:tabs>
            <w:rPr>
              <w:szCs w:val="22"/>
            </w:rPr>
          </w:pPr>
        </w:p>
      </w:tc>
      <w:tc>
        <w:tcPr>
          <w:tcW w:w="2495" w:type="dxa"/>
        </w:tcPr>
        <w:p w14:paraId="252CC35A" w14:textId="77777777" w:rsidR="008C3F9E" w:rsidRDefault="008C3F9E">
          <w:pPr>
            <w:pStyle w:val="Kopfzeile"/>
            <w:tabs>
              <w:tab w:val="clear" w:pos="4536"/>
              <w:tab w:val="clear" w:pos="9072"/>
            </w:tabs>
            <w:rPr>
              <w:noProof/>
              <w:sz w:val="17"/>
              <w:szCs w:val="17"/>
              <w:lang w:val="de-DE"/>
            </w:rPr>
          </w:pPr>
        </w:p>
      </w:tc>
    </w:tr>
  </w:tbl>
  <w:p w14:paraId="252CC35C" w14:textId="77777777" w:rsidR="008C3F9E" w:rsidRDefault="008C3F9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9AA"/>
    <w:multiLevelType w:val="hybridMultilevel"/>
    <w:tmpl w:val="8EE2F91A"/>
    <w:lvl w:ilvl="0" w:tplc="FA3A3EAA">
      <w:numFmt w:val="bullet"/>
      <w:lvlText w:val="-"/>
      <w:lvlJc w:val="left"/>
      <w:pPr>
        <w:ind w:left="360" w:hanging="360"/>
      </w:pPr>
      <w:rPr>
        <w:rFonts w:ascii="Arial" w:eastAsia="Calibr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0613D4E"/>
    <w:multiLevelType w:val="multilevel"/>
    <w:tmpl w:val="3A227D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348699C"/>
    <w:multiLevelType w:val="hybridMultilevel"/>
    <w:tmpl w:val="877400EE"/>
    <w:lvl w:ilvl="0" w:tplc="ED94DF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59F7751"/>
    <w:multiLevelType w:val="hybridMultilevel"/>
    <w:tmpl w:val="63C85FB2"/>
    <w:lvl w:ilvl="0" w:tplc="B0C2A856">
      <w:start w:val="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6D4B94"/>
    <w:multiLevelType w:val="hybridMultilevel"/>
    <w:tmpl w:val="0368FC0A"/>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5C80798"/>
    <w:multiLevelType w:val="multilevel"/>
    <w:tmpl w:val="EA34608A"/>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069505B"/>
    <w:multiLevelType w:val="hybridMultilevel"/>
    <w:tmpl w:val="808C1CE4"/>
    <w:lvl w:ilvl="0" w:tplc="ED94DF9C">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951010"/>
    <w:multiLevelType w:val="multilevel"/>
    <w:tmpl w:val="C8724DCC"/>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E92569"/>
    <w:multiLevelType w:val="multilevel"/>
    <w:tmpl w:val="C7187C66"/>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53D593E"/>
    <w:multiLevelType w:val="multilevel"/>
    <w:tmpl w:val="D12895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5D80472"/>
    <w:multiLevelType w:val="multilevel"/>
    <w:tmpl w:val="869EC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E1D4034"/>
    <w:multiLevelType w:val="hybridMultilevel"/>
    <w:tmpl w:val="8D14DE18"/>
    <w:lvl w:ilvl="0" w:tplc="FE687648">
      <w:start w:val="1"/>
      <w:numFmt w:val="bullet"/>
      <w:lvlText w:val="–"/>
      <w:lvlJc w:val="left"/>
      <w:pPr>
        <w:tabs>
          <w:tab w:val="num" w:pos="360"/>
        </w:tabs>
        <w:ind w:left="360" w:hanging="360"/>
      </w:pPr>
      <w:rPr>
        <w:rFonts w:ascii="Times New Roman" w:hAnsi="Times New Roman" w:hint="default"/>
      </w:rPr>
    </w:lvl>
    <w:lvl w:ilvl="1" w:tplc="15F0FBE8">
      <w:start w:val="1"/>
      <w:numFmt w:val="bullet"/>
      <w:lvlText w:val="–"/>
      <w:lvlJc w:val="left"/>
      <w:pPr>
        <w:tabs>
          <w:tab w:val="num" w:pos="1080"/>
        </w:tabs>
        <w:ind w:left="1080" w:hanging="360"/>
      </w:pPr>
      <w:rPr>
        <w:rFonts w:ascii="Times New Roman" w:hAnsi="Times New Roman" w:hint="default"/>
      </w:rPr>
    </w:lvl>
    <w:lvl w:ilvl="2" w:tplc="BC84B0F4" w:tentative="1">
      <w:start w:val="1"/>
      <w:numFmt w:val="bullet"/>
      <w:lvlText w:val="–"/>
      <w:lvlJc w:val="left"/>
      <w:pPr>
        <w:tabs>
          <w:tab w:val="num" w:pos="1800"/>
        </w:tabs>
        <w:ind w:left="1800" w:hanging="360"/>
      </w:pPr>
      <w:rPr>
        <w:rFonts w:ascii="Times New Roman" w:hAnsi="Times New Roman" w:hint="default"/>
      </w:rPr>
    </w:lvl>
    <w:lvl w:ilvl="3" w:tplc="FA22A7A8" w:tentative="1">
      <w:start w:val="1"/>
      <w:numFmt w:val="bullet"/>
      <w:lvlText w:val="–"/>
      <w:lvlJc w:val="left"/>
      <w:pPr>
        <w:tabs>
          <w:tab w:val="num" w:pos="2520"/>
        </w:tabs>
        <w:ind w:left="2520" w:hanging="360"/>
      </w:pPr>
      <w:rPr>
        <w:rFonts w:ascii="Times New Roman" w:hAnsi="Times New Roman" w:hint="default"/>
      </w:rPr>
    </w:lvl>
    <w:lvl w:ilvl="4" w:tplc="8206C410" w:tentative="1">
      <w:start w:val="1"/>
      <w:numFmt w:val="bullet"/>
      <w:lvlText w:val="–"/>
      <w:lvlJc w:val="left"/>
      <w:pPr>
        <w:tabs>
          <w:tab w:val="num" w:pos="3240"/>
        </w:tabs>
        <w:ind w:left="3240" w:hanging="360"/>
      </w:pPr>
      <w:rPr>
        <w:rFonts w:ascii="Times New Roman" w:hAnsi="Times New Roman" w:hint="default"/>
      </w:rPr>
    </w:lvl>
    <w:lvl w:ilvl="5" w:tplc="5488471C" w:tentative="1">
      <w:start w:val="1"/>
      <w:numFmt w:val="bullet"/>
      <w:lvlText w:val="–"/>
      <w:lvlJc w:val="left"/>
      <w:pPr>
        <w:tabs>
          <w:tab w:val="num" w:pos="3960"/>
        </w:tabs>
        <w:ind w:left="3960" w:hanging="360"/>
      </w:pPr>
      <w:rPr>
        <w:rFonts w:ascii="Times New Roman" w:hAnsi="Times New Roman" w:hint="default"/>
      </w:rPr>
    </w:lvl>
    <w:lvl w:ilvl="6" w:tplc="622E0D40" w:tentative="1">
      <w:start w:val="1"/>
      <w:numFmt w:val="bullet"/>
      <w:lvlText w:val="–"/>
      <w:lvlJc w:val="left"/>
      <w:pPr>
        <w:tabs>
          <w:tab w:val="num" w:pos="4680"/>
        </w:tabs>
        <w:ind w:left="4680" w:hanging="360"/>
      </w:pPr>
      <w:rPr>
        <w:rFonts w:ascii="Times New Roman" w:hAnsi="Times New Roman" w:hint="default"/>
      </w:rPr>
    </w:lvl>
    <w:lvl w:ilvl="7" w:tplc="9956FE68" w:tentative="1">
      <w:start w:val="1"/>
      <w:numFmt w:val="bullet"/>
      <w:lvlText w:val="–"/>
      <w:lvlJc w:val="left"/>
      <w:pPr>
        <w:tabs>
          <w:tab w:val="num" w:pos="5400"/>
        </w:tabs>
        <w:ind w:left="5400" w:hanging="360"/>
      </w:pPr>
      <w:rPr>
        <w:rFonts w:ascii="Times New Roman" w:hAnsi="Times New Roman" w:hint="default"/>
      </w:rPr>
    </w:lvl>
    <w:lvl w:ilvl="8" w:tplc="A31CFCEC"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68110F44"/>
    <w:multiLevelType w:val="hybridMultilevel"/>
    <w:tmpl w:val="86F27790"/>
    <w:lvl w:ilvl="0" w:tplc="761A5E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C025156"/>
    <w:multiLevelType w:val="hybridMultilevel"/>
    <w:tmpl w:val="DE309696"/>
    <w:lvl w:ilvl="0" w:tplc="8744A91A">
      <w:numFmt w:val="bullet"/>
      <w:lvlText w:val="-"/>
      <w:lvlJc w:val="left"/>
      <w:pPr>
        <w:ind w:left="360" w:hanging="360"/>
      </w:pPr>
      <w:rPr>
        <w:rFonts w:ascii="Arial" w:eastAsia="Calibr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6EF924E9"/>
    <w:multiLevelType w:val="hybridMultilevel"/>
    <w:tmpl w:val="071866D2"/>
    <w:lvl w:ilvl="0" w:tplc="3BC2EA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243A45"/>
    <w:multiLevelType w:val="hybridMultilevel"/>
    <w:tmpl w:val="731447BC"/>
    <w:lvl w:ilvl="0" w:tplc="08070005">
      <w:start w:val="1"/>
      <w:numFmt w:val="bullet"/>
      <w:lvlText w:val=""/>
      <w:lvlJc w:val="left"/>
      <w:pPr>
        <w:ind w:left="360" w:hanging="360"/>
      </w:pPr>
      <w:rPr>
        <w:rFonts w:ascii="Wingdings" w:hAnsi="Wingdings" w:hint="default"/>
        <w:color w:val="000000"/>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781D2F9E"/>
    <w:multiLevelType w:val="hybridMultilevel"/>
    <w:tmpl w:val="22C2F114"/>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num>
  <w:num w:numId="4">
    <w:abstractNumId w:val="1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1"/>
  </w:num>
  <w:num w:numId="11">
    <w:abstractNumId w:val="6"/>
  </w:num>
  <w:num w:numId="12">
    <w:abstractNumId w:val="8"/>
  </w:num>
  <w:num w:numId="13">
    <w:abstractNumId w:val="13"/>
  </w:num>
  <w:num w:numId="14">
    <w:abstractNumId w:val="7"/>
  </w:num>
  <w:num w:numId="15">
    <w:abstractNumId w:val="17"/>
  </w:num>
  <w:num w:numId="16">
    <w:abstractNumId w:val="16"/>
  </w:num>
  <w:num w:numId="17">
    <w:abstractNumId w:val="5"/>
  </w:num>
  <w:num w:numId="18">
    <w:abstractNumId w:val="0"/>
  </w:num>
  <w:num w:numId="19">
    <w:abstractNumId w:val="14"/>
  </w:num>
  <w:num w:numId="2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de-CH" w:vendorID="64" w:dllVersion="131078" w:nlCheck="1" w:checkStyle="0"/>
  <w:activeWritingStyle w:appName="MSWord" w:lang="de-DE"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03C16"/>
    <w:rsid w:val="00004886"/>
    <w:rsid w:val="00005D6E"/>
    <w:rsid w:val="000106E8"/>
    <w:rsid w:val="0001435B"/>
    <w:rsid w:val="00024047"/>
    <w:rsid w:val="00025170"/>
    <w:rsid w:val="000262FF"/>
    <w:rsid w:val="000361BF"/>
    <w:rsid w:val="00036E84"/>
    <w:rsid w:val="000375FB"/>
    <w:rsid w:val="000379BE"/>
    <w:rsid w:val="00047278"/>
    <w:rsid w:val="000535DF"/>
    <w:rsid w:val="0005703F"/>
    <w:rsid w:val="00061D9D"/>
    <w:rsid w:val="0006527D"/>
    <w:rsid w:val="00073A59"/>
    <w:rsid w:val="0008647A"/>
    <w:rsid w:val="00094AC8"/>
    <w:rsid w:val="00094B79"/>
    <w:rsid w:val="000A5A2E"/>
    <w:rsid w:val="000A63A8"/>
    <w:rsid w:val="000B10DE"/>
    <w:rsid w:val="000B61D9"/>
    <w:rsid w:val="000C0E06"/>
    <w:rsid w:val="000D3A5E"/>
    <w:rsid w:val="000F5B0B"/>
    <w:rsid w:val="001031F7"/>
    <w:rsid w:val="0010588A"/>
    <w:rsid w:val="0012198D"/>
    <w:rsid w:val="001221B3"/>
    <w:rsid w:val="00137F98"/>
    <w:rsid w:val="001417A8"/>
    <w:rsid w:val="00145F37"/>
    <w:rsid w:val="00162049"/>
    <w:rsid w:val="0016315D"/>
    <w:rsid w:val="00172743"/>
    <w:rsid w:val="001734B5"/>
    <w:rsid w:val="00176A9A"/>
    <w:rsid w:val="00181C3B"/>
    <w:rsid w:val="001823C4"/>
    <w:rsid w:val="00183949"/>
    <w:rsid w:val="00190CFA"/>
    <w:rsid w:val="00191244"/>
    <w:rsid w:val="001945F3"/>
    <w:rsid w:val="00196AC6"/>
    <w:rsid w:val="001A0586"/>
    <w:rsid w:val="001A3FE3"/>
    <w:rsid w:val="001A5719"/>
    <w:rsid w:val="001A5A5B"/>
    <w:rsid w:val="001A7C6B"/>
    <w:rsid w:val="001B1A65"/>
    <w:rsid w:val="001C5655"/>
    <w:rsid w:val="001D092F"/>
    <w:rsid w:val="001D34C4"/>
    <w:rsid w:val="001D5FF8"/>
    <w:rsid w:val="001E7C98"/>
    <w:rsid w:val="001F192F"/>
    <w:rsid w:val="002072CA"/>
    <w:rsid w:val="002078A4"/>
    <w:rsid w:val="002107A3"/>
    <w:rsid w:val="002127BE"/>
    <w:rsid w:val="002129A1"/>
    <w:rsid w:val="00217C9B"/>
    <w:rsid w:val="00242D1E"/>
    <w:rsid w:val="00264CB2"/>
    <w:rsid w:val="0026501F"/>
    <w:rsid w:val="0027264C"/>
    <w:rsid w:val="00273815"/>
    <w:rsid w:val="00276048"/>
    <w:rsid w:val="00280A5B"/>
    <w:rsid w:val="00282621"/>
    <w:rsid w:val="00292376"/>
    <w:rsid w:val="002A061E"/>
    <w:rsid w:val="002A1AB3"/>
    <w:rsid w:val="002A6DE5"/>
    <w:rsid w:val="002B2328"/>
    <w:rsid w:val="002C0EFF"/>
    <w:rsid w:val="002C2443"/>
    <w:rsid w:val="002C3F83"/>
    <w:rsid w:val="002C6D06"/>
    <w:rsid w:val="002D084C"/>
    <w:rsid w:val="002D4661"/>
    <w:rsid w:val="002F0C52"/>
    <w:rsid w:val="003138A7"/>
    <w:rsid w:val="003209F5"/>
    <w:rsid w:val="00321BCB"/>
    <w:rsid w:val="00324DDA"/>
    <w:rsid w:val="00330651"/>
    <w:rsid w:val="00332741"/>
    <w:rsid w:val="003417D2"/>
    <w:rsid w:val="0034589F"/>
    <w:rsid w:val="00351FD7"/>
    <w:rsid w:val="00360079"/>
    <w:rsid w:val="00361C1A"/>
    <w:rsid w:val="0036542E"/>
    <w:rsid w:val="0036650C"/>
    <w:rsid w:val="00367727"/>
    <w:rsid w:val="00373CB9"/>
    <w:rsid w:val="00375FC2"/>
    <w:rsid w:val="00377273"/>
    <w:rsid w:val="00384BD7"/>
    <w:rsid w:val="00391ADF"/>
    <w:rsid w:val="003C6495"/>
    <w:rsid w:val="003C7125"/>
    <w:rsid w:val="003E5FC8"/>
    <w:rsid w:val="003F181C"/>
    <w:rsid w:val="003F34ED"/>
    <w:rsid w:val="003F7C7E"/>
    <w:rsid w:val="00410F4F"/>
    <w:rsid w:val="00411E86"/>
    <w:rsid w:val="004127E8"/>
    <w:rsid w:val="004156FA"/>
    <w:rsid w:val="0042547C"/>
    <w:rsid w:val="00434465"/>
    <w:rsid w:val="00442A4A"/>
    <w:rsid w:val="004615B4"/>
    <w:rsid w:val="00476DCC"/>
    <w:rsid w:val="0049170F"/>
    <w:rsid w:val="004A0336"/>
    <w:rsid w:val="004A5161"/>
    <w:rsid w:val="004A60B2"/>
    <w:rsid w:val="004A6922"/>
    <w:rsid w:val="004A6AE8"/>
    <w:rsid w:val="004A7A22"/>
    <w:rsid w:val="004B6E13"/>
    <w:rsid w:val="004C5D35"/>
    <w:rsid w:val="004D3246"/>
    <w:rsid w:val="004E55CA"/>
    <w:rsid w:val="004F287C"/>
    <w:rsid w:val="004F4CB5"/>
    <w:rsid w:val="0050553D"/>
    <w:rsid w:val="00505E36"/>
    <w:rsid w:val="00525403"/>
    <w:rsid w:val="005408D1"/>
    <w:rsid w:val="00554A8C"/>
    <w:rsid w:val="005560CB"/>
    <w:rsid w:val="0056292D"/>
    <w:rsid w:val="00570BF1"/>
    <w:rsid w:val="005715E9"/>
    <w:rsid w:val="00577530"/>
    <w:rsid w:val="005800F3"/>
    <w:rsid w:val="00581608"/>
    <w:rsid w:val="00582B54"/>
    <w:rsid w:val="005837E2"/>
    <w:rsid w:val="005855DC"/>
    <w:rsid w:val="005A49D6"/>
    <w:rsid w:val="005A514C"/>
    <w:rsid w:val="00600672"/>
    <w:rsid w:val="006014BC"/>
    <w:rsid w:val="00602792"/>
    <w:rsid w:val="00605C97"/>
    <w:rsid w:val="00607475"/>
    <w:rsid w:val="00615862"/>
    <w:rsid w:val="00621B99"/>
    <w:rsid w:val="00621DDF"/>
    <w:rsid w:val="00633CEC"/>
    <w:rsid w:val="006401F1"/>
    <w:rsid w:val="00654CB0"/>
    <w:rsid w:val="00671FE2"/>
    <w:rsid w:val="006834BF"/>
    <w:rsid w:val="006A351F"/>
    <w:rsid w:val="006C538B"/>
    <w:rsid w:val="006C7259"/>
    <w:rsid w:val="006D0878"/>
    <w:rsid w:val="006E6BAB"/>
    <w:rsid w:val="006F4636"/>
    <w:rsid w:val="006F6D8A"/>
    <w:rsid w:val="0070789A"/>
    <w:rsid w:val="00707A1B"/>
    <w:rsid w:val="00711334"/>
    <w:rsid w:val="0071693A"/>
    <w:rsid w:val="00721C79"/>
    <w:rsid w:val="007249CB"/>
    <w:rsid w:val="0072702B"/>
    <w:rsid w:val="0073029B"/>
    <w:rsid w:val="00731330"/>
    <w:rsid w:val="00737081"/>
    <w:rsid w:val="00740627"/>
    <w:rsid w:val="00751840"/>
    <w:rsid w:val="00751D20"/>
    <w:rsid w:val="0076537F"/>
    <w:rsid w:val="00775434"/>
    <w:rsid w:val="00775790"/>
    <w:rsid w:val="0077609B"/>
    <w:rsid w:val="00777A15"/>
    <w:rsid w:val="00793132"/>
    <w:rsid w:val="007A675B"/>
    <w:rsid w:val="007B3FA9"/>
    <w:rsid w:val="007B4BB1"/>
    <w:rsid w:val="007C35B6"/>
    <w:rsid w:val="007C6E57"/>
    <w:rsid w:val="007C725C"/>
    <w:rsid w:val="007D1B02"/>
    <w:rsid w:val="007E10BF"/>
    <w:rsid w:val="007F2591"/>
    <w:rsid w:val="007F341E"/>
    <w:rsid w:val="007F392F"/>
    <w:rsid w:val="007F4B3A"/>
    <w:rsid w:val="00804B8C"/>
    <w:rsid w:val="00814C90"/>
    <w:rsid w:val="00820DD6"/>
    <w:rsid w:val="00821C55"/>
    <w:rsid w:val="00823282"/>
    <w:rsid w:val="00830E94"/>
    <w:rsid w:val="00831BC1"/>
    <w:rsid w:val="008324F4"/>
    <w:rsid w:val="0083360A"/>
    <w:rsid w:val="00833D0F"/>
    <w:rsid w:val="00871E45"/>
    <w:rsid w:val="00872EEE"/>
    <w:rsid w:val="008751AE"/>
    <w:rsid w:val="00877148"/>
    <w:rsid w:val="00877694"/>
    <w:rsid w:val="00881067"/>
    <w:rsid w:val="00883702"/>
    <w:rsid w:val="00896DE3"/>
    <w:rsid w:val="00897CC1"/>
    <w:rsid w:val="00897DA1"/>
    <w:rsid w:val="008B146B"/>
    <w:rsid w:val="008B76EA"/>
    <w:rsid w:val="008C096F"/>
    <w:rsid w:val="008C3E8F"/>
    <w:rsid w:val="008C3F9E"/>
    <w:rsid w:val="008D1C0B"/>
    <w:rsid w:val="008E12A6"/>
    <w:rsid w:val="008E212C"/>
    <w:rsid w:val="008E49E7"/>
    <w:rsid w:val="008F4ECA"/>
    <w:rsid w:val="0090067B"/>
    <w:rsid w:val="00900D08"/>
    <w:rsid w:val="00901B8D"/>
    <w:rsid w:val="00905B43"/>
    <w:rsid w:val="00907BA1"/>
    <w:rsid w:val="009151CD"/>
    <w:rsid w:val="00923B5A"/>
    <w:rsid w:val="00926A14"/>
    <w:rsid w:val="00932D22"/>
    <w:rsid w:val="00933DC7"/>
    <w:rsid w:val="00936C42"/>
    <w:rsid w:val="00937ADD"/>
    <w:rsid w:val="00941408"/>
    <w:rsid w:val="00944B23"/>
    <w:rsid w:val="00953EAE"/>
    <w:rsid w:val="009731D9"/>
    <w:rsid w:val="0097498C"/>
    <w:rsid w:val="00986BA5"/>
    <w:rsid w:val="009A01A5"/>
    <w:rsid w:val="009A44C3"/>
    <w:rsid w:val="009A4EE5"/>
    <w:rsid w:val="009B022D"/>
    <w:rsid w:val="009C5BD4"/>
    <w:rsid w:val="009C6302"/>
    <w:rsid w:val="009D2CED"/>
    <w:rsid w:val="009E6828"/>
    <w:rsid w:val="009F14D3"/>
    <w:rsid w:val="00A002B3"/>
    <w:rsid w:val="00A00879"/>
    <w:rsid w:val="00A22B16"/>
    <w:rsid w:val="00A23BC1"/>
    <w:rsid w:val="00A25EDE"/>
    <w:rsid w:val="00A335AE"/>
    <w:rsid w:val="00A3774A"/>
    <w:rsid w:val="00A37B65"/>
    <w:rsid w:val="00A41FDB"/>
    <w:rsid w:val="00A4273D"/>
    <w:rsid w:val="00A508DF"/>
    <w:rsid w:val="00A5187F"/>
    <w:rsid w:val="00A52A83"/>
    <w:rsid w:val="00A57B6F"/>
    <w:rsid w:val="00A638A9"/>
    <w:rsid w:val="00A646BA"/>
    <w:rsid w:val="00A71A1F"/>
    <w:rsid w:val="00A71B63"/>
    <w:rsid w:val="00A76F0C"/>
    <w:rsid w:val="00A83EF0"/>
    <w:rsid w:val="00A86FBC"/>
    <w:rsid w:val="00A94A37"/>
    <w:rsid w:val="00AA2022"/>
    <w:rsid w:val="00AB1CAD"/>
    <w:rsid w:val="00AC222F"/>
    <w:rsid w:val="00AD1074"/>
    <w:rsid w:val="00AD6C12"/>
    <w:rsid w:val="00AE6089"/>
    <w:rsid w:val="00AF1759"/>
    <w:rsid w:val="00AF3066"/>
    <w:rsid w:val="00B02714"/>
    <w:rsid w:val="00B15AF0"/>
    <w:rsid w:val="00B21A43"/>
    <w:rsid w:val="00B24233"/>
    <w:rsid w:val="00B243C5"/>
    <w:rsid w:val="00B261DA"/>
    <w:rsid w:val="00B37685"/>
    <w:rsid w:val="00B4102E"/>
    <w:rsid w:val="00B46466"/>
    <w:rsid w:val="00B67977"/>
    <w:rsid w:val="00B92738"/>
    <w:rsid w:val="00BA349C"/>
    <w:rsid w:val="00BC09F9"/>
    <w:rsid w:val="00BC22AC"/>
    <w:rsid w:val="00BD414F"/>
    <w:rsid w:val="00BE1F8A"/>
    <w:rsid w:val="00BF15B9"/>
    <w:rsid w:val="00BF78D0"/>
    <w:rsid w:val="00BF7D77"/>
    <w:rsid w:val="00C04F04"/>
    <w:rsid w:val="00C10543"/>
    <w:rsid w:val="00C1517E"/>
    <w:rsid w:val="00C219CF"/>
    <w:rsid w:val="00C224C1"/>
    <w:rsid w:val="00C31D45"/>
    <w:rsid w:val="00C42C4A"/>
    <w:rsid w:val="00C42CE8"/>
    <w:rsid w:val="00C71D76"/>
    <w:rsid w:val="00C76857"/>
    <w:rsid w:val="00C83197"/>
    <w:rsid w:val="00C86D3E"/>
    <w:rsid w:val="00C93EF9"/>
    <w:rsid w:val="00CB1CDB"/>
    <w:rsid w:val="00CB5977"/>
    <w:rsid w:val="00CB7AC2"/>
    <w:rsid w:val="00CC72C6"/>
    <w:rsid w:val="00CE2D47"/>
    <w:rsid w:val="00CF3E9B"/>
    <w:rsid w:val="00CF6F9F"/>
    <w:rsid w:val="00CF75A4"/>
    <w:rsid w:val="00D06D48"/>
    <w:rsid w:val="00D06DF5"/>
    <w:rsid w:val="00D10FB7"/>
    <w:rsid w:val="00D1694A"/>
    <w:rsid w:val="00D17AE8"/>
    <w:rsid w:val="00D21857"/>
    <w:rsid w:val="00D25CC2"/>
    <w:rsid w:val="00D27EB5"/>
    <w:rsid w:val="00D32237"/>
    <w:rsid w:val="00D37063"/>
    <w:rsid w:val="00D41F0A"/>
    <w:rsid w:val="00D468DE"/>
    <w:rsid w:val="00D56896"/>
    <w:rsid w:val="00D65499"/>
    <w:rsid w:val="00D807FC"/>
    <w:rsid w:val="00D83489"/>
    <w:rsid w:val="00DA024F"/>
    <w:rsid w:val="00DA7ED5"/>
    <w:rsid w:val="00DB16F2"/>
    <w:rsid w:val="00DE2556"/>
    <w:rsid w:val="00DE623B"/>
    <w:rsid w:val="00DE649C"/>
    <w:rsid w:val="00DF1853"/>
    <w:rsid w:val="00DF6178"/>
    <w:rsid w:val="00E031C7"/>
    <w:rsid w:val="00E15C5B"/>
    <w:rsid w:val="00E24119"/>
    <w:rsid w:val="00E3024C"/>
    <w:rsid w:val="00E329DE"/>
    <w:rsid w:val="00E36FAC"/>
    <w:rsid w:val="00E53D84"/>
    <w:rsid w:val="00E54C54"/>
    <w:rsid w:val="00E63040"/>
    <w:rsid w:val="00E73F87"/>
    <w:rsid w:val="00E74405"/>
    <w:rsid w:val="00E75DC9"/>
    <w:rsid w:val="00E84F50"/>
    <w:rsid w:val="00E97D09"/>
    <w:rsid w:val="00EA1235"/>
    <w:rsid w:val="00EB1EE4"/>
    <w:rsid w:val="00EB55C8"/>
    <w:rsid w:val="00EC7199"/>
    <w:rsid w:val="00ED745C"/>
    <w:rsid w:val="00EE2CE9"/>
    <w:rsid w:val="00EE3451"/>
    <w:rsid w:val="00EF537B"/>
    <w:rsid w:val="00F02DF8"/>
    <w:rsid w:val="00F10234"/>
    <w:rsid w:val="00F24242"/>
    <w:rsid w:val="00F345AF"/>
    <w:rsid w:val="00F36173"/>
    <w:rsid w:val="00F36AEA"/>
    <w:rsid w:val="00F41D32"/>
    <w:rsid w:val="00F464B4"/>
    <w:rsid w:val="00F558A0"/>
    <w:rsid w:val="00F649CB"/>
    <w:rsid w:val="00F72782"/>
    <w:rsid w:val="00F72BB8"/>
    <w:rsid w:val="00F74A91"/>
    <w:rsid w:val="00F77D7E"/>
    <w:rsid w:val="00F82FB4"/>
    <w:rsid w:val="00F90DF9"/>
    <w:rsid w:val="00F93CEE"/>
    <w:rsid w:val="00F96A2E"/>
    <w:rsid w:val="00F97CC8"/>
    <w:rsid w:val="00FB0844"/>
    <w:rsid w:val="00FB49FF"/>
    <w:rsid w:val="00FC212E"/>
    <w:rsid w:val="00FC552B"/>
    <w:rsid w:val="00FC61F2"/>
    <w:rsid w:val="00FD07BC"/>
    <w:rsid w:val="00FD39E9"/>
    <w:rsid w:val="00FD4289"/>
    <w:rsid w:val="00FD7BB8"/>
    <w:rsid w:val="00FE32C1"/>
    <w:rsid w:val="00FE65B3"/>
    <w:rsid w:val="00FF23FA"/>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252CC2CC"/>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qFormat/>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qFormat/>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semiHidde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link w:val="FunotentextZchn"/>
    <w:uiPriority w:val="99"/>
    <w:rsid w:val="00621DDF"/>
    <w:rPr>
      <w:sz w:val="20"/>
    </w:rPr>
  </w:style>
  <w:style w:type="character" w:styleId="Funotenzeichen">
    <w:name w:val="footnote reference"/>
    <w:uiPriority w:val="99"/>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character" w:customStyle="1" w:styleId="Absatz0Zchn">
    <w:name w:val="Absatz 0 Zchn"/>
    <w:link w:val="Absatz0"/>
    <w:rsid w:val="00953EAE"/>
    <w:rPr>
      <w:rFonts w:ascii="Arial" w:hAnsi="Arial" w:cs="Arial"/>
      <w:sz w:val="22"/>
      <w:lang w:eastAsia="de-DE"/>
    </w:rPr>
  </w:style>
  <w:style w:type="paragraph" w:styleId="Listenabsatz">
    <w:name w:val="List Paragraph"/>
    <w:basedOn w:val="Standard"/>
    <w:uiPriority w:val="34"/>
    <w:qFormat/>
    <w:rsid w:val="00953EAE"/>
    <w:pPr>
      <w:ind w:left="708"/>
    </w:pPr>
  </w:style>
  <w:style w:type="character" w:customStyle="1" w:styleId="FunotentextZchn">
    <w:name w:val="Fußnotentext Zchn"/>
    <w:link w:val="Funotentext"/>
    <w:uiPriority w:val="99"/>
    <w:rsid w:val="00953EAE"/>
    <w:rPr>
      <w:rFonts w:ascii="Arial" w:hAnsi="Arial" w:cs="Arial"/>
      <w:lang w:eastAsia="de-DE"/>
    </w:rPr>
  </w:style>
  <w:style w:type="character" w:customStyle="1" w:styleId="FuzeileZchn">
    <w:name w:val="Fußzeile Zchn"/>
    <w:basedOn w:val="Absatz-Standardschriftart"/>
    <w:link w:val="Fuzeile"/>
    <w:uiPriority w:val="99"/>
    <w:qFormat/>
    <w:rsid w:val="00D06D48"/>
    <w:rPr>
      <w:rFonts w:ascii="Arial" w:hAnsi="Arial" w:cs="Arial"/>
      <w:sz w:val="22"/>
      <w:lang w:eastAsia="de-DE"/>
    </w:rPr>
  </w:style>
  <w:style w:type="character" w:styleId="BesuchterLink">
    <w:name w:val="FollowedHyperlink"/>
    <w:basedOn w:val="Absatz-Standardschriftart"/>
    <w:semiHidden/>
    <w:unhideWhenUsed/>
    <w:rsid w:val="006F4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396781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sozeloixps.global.szh.loc/ix-SOZ_ELO_DM01/plugin/de.elo.ix.plugin.proxy/web/pages/startup.jsp?useSSO=true&amp;guid=(7F57E289-370F-77C3-2E1F-21E7A3B31D92)" TargetMode="External"/><Relationship Id="rId26" Type="http://schemas.openxmlformats.org/officeDocument/2006/relationships/hyperlink" Target="https://sozeloixps.global.szh.loc/ix-SOZ_ELO_DM01/plugin/de.elo.ix.plugin.proxy/web/pages/startup.jsp?useSSO=true&amp;guid=(B5B6B99A-75EA-EBA3-F67D-6788F5CF7175)" TargetMode="External"/><Relationship Id="rId39" Type="http://schemas.openxmlformats.org/officeDocument/2006/relationships/hyperlink" Target="https://kollaboration.intranet.stzh.ch/orga/sod-team/DokuAblage/_layouts/15/WopiFrame.aspx?sourcedoc=%7bA5441609-826A-47D5-99F6-CB39624EC2A9%7d&amp;file=Vorlage_Bericht%20durch%20Anbieter.dotx.docx&amp;action=default&amp;DefaultItemOpen=1" TargetMode="External"/><Relationship Id="rId3" Type="http://schemas.openxmlformats.org/officeDocument/2006/relationships/customXml" Target="../customXml/item3.xml"/><Relationship Id="rId21" Type="http://schemas.openxmlformats.org/officeDocument/2006/relationships/hyperlink" Target="https://sozeloixps.global.szh.loc/ix-SOZ_ELO_DM01/plugin/de.elo.ix.plugin.proxy/web/pages/startup.jsp?useSSO=true&amp;guid=(A679B6A9-4C77-A549-CDA0-E5FFEB6B6CEA)" TargetMode="External"/><Relationship Id="rId34" Type="http://schemas.openxmlformats.org/officeDocument/2006/relationships/hyperlink" Target="https://sozeloixps.global.szh.loc/ix-SOZ_ELO_DM01/plugin/de.elo.ix.plugin.proxy/web/pages/startup.jsp?useSSO=true&amp;guid=(55D6ABE0-FEFE-CFDB-4EE7-EF2A39B12674)" TargetMode="External"/><Relationship Id="rId42" Type="http://schemas.openxmlformats.org/officeDocument/2006/relationships/hyperlink" Target="https://kollaboration.intranet.stzh.ch/orga/sod-team/DokuAblage/_layouts/15/WopiFrame.aspx?sourcedoc=%7bA5441609-826A-47D5-99F6-CB39624EC2A9%7d&amp;file=Vorlage_Bericht%20durch%20Anbieter.dotx.docx&amp;action=default&amp;DefaultItemOpen=1"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ozeloixps.global.szh.loc/ix-SOZ_ELO_DM01/plugin/de.elo.ix.plugin.proxy/web/pages/startup.jsp?useSSO=true&amp;guid=(E875BDDA-65FA-8BAC-F882-56BDFD1CC431)" TargetMode="External"/><Relationship Id="rId25" Type="http://schemas.openxmlformats.org/officeDocument/2006/relationships/hyperlink" Target="https://sozeloixps.global.szh.loc/ix-SOZ_ELO_DM01/plugin/de.elo.ix.plugin.proxy/web/pages/startup.jsp?useSSO=true&amp;guid=(188BE16B-40C6-2914-41C4-51B2F49C926E)" TargetMode="External"/><Relationship Id="rId33" Type="http://schemas.openxmlformats.org/officeDocument/2006/relationships/hyperlink" Target="https://sozeloixps.global.szh.loc/ix-SOZ_ELO_DM01/plugin/de.elo.ix.plugin.proxy/web/pages/startup.jsp?useSSO=true&amp;guid=(1C0AC3CB-45D9-056C-9A47-CC22E39F0178)" TargetMode="External"/><Relationship Id="rId38" Type="http://schemas.openxmlformats.org/officeDocument/2006/relationships/hyperlink" Target="mailto:seb-stellenvermittlung@zuerich.ch"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6B125FB4-35C7-DD80-9158-5B9581803BD3)" TargetMode="External"/><Relationship Id="rId20" Type="http://schemas.openxmlformats.org/officeDocument/2006/relationships/hyperlink" Target="https://sozeloixps.global.szh.loc/ix-SOZ_ELO_DM01/plugin/de.elo.ix.plugin.proxy/web/pages/startup.jsp?useSSO=true&amp;guid=(DABDBE19-06F2-DF4F-ABEE-D94E48CC2930)" TargetMode="External"/><Relationship Id="rId29" Type="http://schemas.openxmlformats.org/officeDocument/2006/relationships/hyperlink" Target="https://sozeloixps.global.szh.loc/ix-SOZ_ELO_DM01/plugin/de.elo.ix.plugin.proxy/web/pages/startup.jsp?useSSO=true&amp;guid=(E888CE56-FC84-DC8F-1C29-01FA63D68F8A)" TargetMode="External"/><Relationship Id="rId41" Type="http://schemas.openxmlformats.org/officeDocument/2006/relationships/hyperlink" Target="https://sozeloixps.global.szh.loc/ix-SOZ_ELO_DM01/plugin/de.elo.ix.plugin.proxy/web/pages/startup.jsp?useSSO=true&amp;guid=(E875BDDA-65FA-8BAC-F882-56BDFD1CC43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sozeloixps.global.szh.loc/ix-SOZ_ELO_DM01/plugin/de.elo.ix.plugin.proxy/web/pages/startup.jsp?useSSO=true&amp;guid=(188BE16B-40C6-2914-41C4-51B2F49C926E)" TargetMode="External"/><Relationship Id="rId32" Type="http://schemas.openxmlformats.org/officeDocument/2006/relationships/hyperlink" Target="https://sozeloixps.global.szh.loc/ix-SOZ_ELO_DM01/plugin/de.elo.ix.plugin.proxy/web/pages/startup.jsp?useSSO=true&amp;guid=(E888CE56-FC84-DC8F-1C29-01FA63D68F8A)" TargetMode="External"/><Relationship Id="rId37" Type="http://schemas.openxmlformats.org/officeDocument/2006/relationships/hyperlink" Target="http://kollaboration.intranet.stzh.ch/orga/sod-team/zd-kom/prozesse-applikationen/KiSSVorlagen/Arbeit%20-%20Anmeldung%20Programme.dotx" TargetMode="External"/><Relationship Id="rId40" Type="http://schemas.openxmlformats.org/officeDocument/2006/relationships/hyperlink" Target="https://kollaboration.intranet.stzh.ch/orga/sod-team/DokuAblage/_layouts/15/WopiFrame.aspx?sourcedoc=%7bA5441609-826A-47D5-99F6-CB39624EC2A9%7d&amp;file=Vorlage_Bericht%20durch%20Anbieter.dotx.docx&amp;action=default&amp;DefaultItemOpen=1"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sozeloixps.global.szh.loc/ix-SOZ_ELO_DM01/plugin/de.elo.ix.plugin.proxy/web/pages/startup.jsp?useSSO=true&amp;guid=(E875BDDA-65FA-8BAC-F882-56BDFD1CC431)" TargetMode="External"/><Relationship Id="rId23" Type="http://schemas.openxmlformats.org/officeDocument/2006/relationships/hyperlink" Target="https://sozeloixps.global.szh.loc/ix-SOZ_ELO_DM01/plugin/de.elo.ix.plugin.proxy/web/pages/startup.jsp?useSSO=true&amp;guid=(4D10D718-70EA-1F1A-A3A4-BBEC7AF7501A)" TargetMode="External"/><Relationship Id="rId28" Type="http://schemas.openxmlformats.org/officeDocument/2006/relationships/hyperlink" Target="https://sozeloixps.global.szh.loc/ix-SOZ_ELO_DM01/plugin/de.elo.ix.plugin.proxy/web/pages/startup.jsp?useSSO=true&amp;guid=(1C0AC3CB-45D9-056C-9A47-CC22E39F0178)" TargetMode="External"/><Relationship Id="rId36" Type="http://schemas.openxmlformats.org/officeDocument/2006/relationships/hyperlink" Target="https://sozeloixps.global.szh.loc/ix-SOZ_ELO_DM01/plugin/de.elo.ix.plugin.proxy/web/pages/startup.jsp?useSSO=true&amp;guid=(DABDBE19-06F2-DF4F-ABEE-D94E48CC2930)" TargetMode="External"/><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sozeloixps.global.szh.loc/ix-SOZ_ELO_DM01/plugin/de.elo.ix.plugin.proxy/web/pages/startup.jsp?useSSO=true&amp;guid=(E486D838-03AA-4D32-346B-43A9699F2D22)" TargetMode="External"/><Relationship Id="rId31" Type="http://schemas.openxmlformats.org/officeDocument/2006/relationships/hyperlink" Target="https://sozeloixps.global.szh.loc/ix-SOZ_ELO_DM01/plugin/de.elo.ix.plugin.proxy/web/pages/startup.jsp?useSSO=true&amp;guid=(55D6ABE0-FEFE-CFDB-4EE7-EF2A39B12674)" TargetMode="External"/><Relationship Id="rId44" Type="http://schemas.openxmlformats.org/officeDocument/2006/relationships/hyperlink" Target="https://sozeloixps.global.szh.loc/ix-SOZ_ELO_DM01/plugin/de.elo.ix.plugin.proxy/web/pages/startup.jsp?useSSO=true&amp;guid=(DABDBE19-06F2-DF4F-ABEE-D94E48CC2930)"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sozeloixps.global.szh.loc/ix-SOZ_ELO_DM01/plugin/de.elo.ix.plugin.proxy/web/pages/startup.jsp?useSSO=true&amp;guid=(E875BDDA-65FA-8BAC-F882-56BDFD1CC431)" TargetMode="External"/><Relationship Id="rId22" Type="http://schemas.openxmlformats.org/officeDocument/2006/relationships/hyperlink" Target="https://sozeloixps.global.szh.loc/ix-SOZ_ELO_DM01/plugin/de.elo.ix.plugin.proxy/web/pages/startup.jsp?useSSO=true&amp;guid=(4D10D718-70EA-1F1A-A3A4-BBEC7AF7501A)" TargetMode="External"/><Relationship Id="rId27" Type="http://schemas.openxmlformats.org/officeDocument/2006/relationships/hyperlink" Target="https://sozeloixps.global.szh.loc/ix-SOZ_ELO_DM01/plugin/de.elo.ix.plugin.proxy/web/pages/startup.jsp?useSSO=true&amp;guid=(E888CE56-FC84-DC8F-1C29-01FA63D68F8A)" TargetMode="External"/><Relationship Id="rId30" Type="http://schemas.openxmlformats.org/officeDocument/2006/relationships/hyperlink" Target="https://sozeloixps.global.szh.loc/ix-SOZ_ELO_DM01/plugin/de.elo.ix.plugin.proxy/web/pages/startup.jsp?useSSO=true&amp;guid=(1C0AC3CB-45D9-056C-9A47-CC22E39F0178)" TargetMode="External"/><Relationship Id="rId35" Type="http://schemas.openxmlformats.org/officeDocument/2006/relationships/hyperlink" Target="https://sozeloixps.global.szh.loc/ix-SOZ_ELO_DM01/plugin/de.elo.ix.plugin.proxy/web/pages/startup.jsp?useSSO=true&amp;guid=(6B125FB4-35C7-DD80-9158-5B9581803BD3)" TargetMode="External"/><Relationship Id="rId43" Type="http://schemas.openxmlformats.org/officeDocument/2006/relationships/hyperlink" Target="https://kollaboration.intranet.stzh.ch/orga/sod-team/DokuAblage/_layouts/15/WopiFrame.aspx?sourcedoc=%7bA5441609-826A-47D5-99F6-CB39624EC2A9%7d&amp;file=Vorlage_Bericht%20durch%20Anbieter.dotx.docx&amp;action=default&amp;DefaultItemOpen=1" TargetMode="External"/><Relationship Id="rId48" Type="http://schemas.openxmlformats.org/officeDocument/2006/relationships/footer" Target="footer2.xml"/><Relationship Id="rId8"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kollaboration.intranet.stzh.ch/orga/sod-team/zd-kom/prozesse-applikationen/KiSSVorlagen/Arbeit%20-%20Anmeldung%20Laufbahnzentrum%20BdA%20-%20LEAF.do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Zu_x0020_konsultierende_x002f_-s_x0020_Fachressort_x002f_-s>
    <Version_x0020_des_x0020_Dokuments xmlns="3905ffbc-9aeb-4d51-937e-ee1e2cf00671">1.1</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Value>5</Value>
    </Thematische_x0020_Zuordnung_x0020_Fachressort_x0028_s_x0029_>
    <Herausgabe_x0020_bei_x0020_Informationszugangsgesuchen xmlns="f3b92940-74e1-4b32-811a-cd501d17ae23">kann herausgegeben werden</Herausgabe_x0020_bei_x0020_Informationszugangsgesuchen>
    <SKOS-Kapitel xmlns="f3b92940-74e1-4b32-811a-cd501d17ae23">
      <Value>1</Value>
      <Value>3</Value>
    </SKOS-Kapite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88962-5CD3-4B1F-8EA4-183750BE3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3.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4.xml><?xml version="1.0" encoding="utf-8"?>
<ds:datastoreItem xmlns:ds="http://schemas.openxmlformats.org/officeDocument/2006/customXml" ds:itemID="{09F93241-DD68-4DC0-97F4-8695F557FD13}">
  <ds:schemaRefs>
    <ds:schemaRef ds:uri="http://schemas.microsoft.com/office/2006/documentManagement/types"/>
    <ds:schemaRef ds:uri="25f3c3a0-1ed7-46fa-91b0-e5175ac448d0"/>
    <ds:schemaRef ds:uri="http://purl.org/dc/elements/1.1/"/>
    <ds:schemaRef ds:uri="http://www.w3.org/XML/1998/namespace"/>
    <ds:schemaRef ds:uri="http://schemas.openxmlformats.org/package/2006/metadata/core-properties"/>
    <ds:schemaRef ds:uri="f3b92940-74e1-4b32-811a-cd501d17ae23"/>
    <ds:schemaRef ds:uri="http://schemas.microsoft.com/office/infopath/2007/PartnerControls"/>
    <ds:schemaRef ds:uri="http://purl.org/dc/terms/"/>
    <ds:schemaRef ds:uri="3905ffbc-9aeb-4d51-937e-ee1e2cf00671"/>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D076CE52-155D-4268-9D38-22E0883682B9}">
  <ds:schemaRefs>
    <ds:schemaRef ds:uri="http://schemas.microsoft.com/sharepoint/events"/>
  </ds:schemaRefs>
</ds:datastoreItem>
</file>

<file path=customXml/itemProps6.xml><?xml version="1.0" encoding="utf-8"?>
<ds:datastoreItem xmlns:ds="http://schemas.openxmlformats.org/officeDocument/2006/customXml" ds:itemID="{C68F1668-7BED-4F4D-B026-9A55534FF185}">
  <ds:schemaRefs>
    <ds:schemaRef ds:uri="http://schemas.microsoft.com/office/2006/metadata/customXsn"/>
  </ds:schemaRefs>
</ds:datastoreItem>
</file>

<file path=customXml/itemProps7.xml><?xml version="1.0" encoding="utf-8"?>
<ds:datastoreItem xmlns:ds="http://schemas.openxmlformats.org/officeDocument/2006/customXml" ds:itemID="{8446C4B7-B854-41E3-ABB0-49394096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3563</Words>
  <Characters>22452</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HAW Berufliche und Soziale Integration (BUSI) – Zielgruppenspezifische Angebote</vt:lpstr>
    </vt:vector>
  </TitlesOfParts>
  <Company>Soziale Dienste Stadt Zürich</Company>
  <LinksUpToDate>false</LinksUpToDate>
  <CharactersWithSpaces>25964</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Berufliche und Soziale Integration (BUSI) – Zielgruppenspezifische Angebote</dc:title>
  <dc:creator>sozhah</dc:creator>
  <cp:lastModifiedBy>Barbara Graf (sozgdb)</cp:lastModifiedBy>
  <cp:revision>18</cp:revision>
  <cp:lastPrinted>2018-01-26T13:05:00Z</cp:lastPrinted>
  <dcterms:created xsi:type="dcterms:W3CDTF">2021-06-18T07:07:00Z</dcterms:created>
  <dcterms:modified xsi:type="dcterms:W3CDTF">2023-03-31T06:54:00Z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5</vt:lpwstr>
  </property>
  <property fmtid="{D5CDD505-2E9C-101B-9397-08002B2CF9AE}" pid="37" name="3. Ebene">
    <vt:lpwstr/>
  </property>
  <property fmtid="{D5CDD505-2E9C-101B-9397-08002B2CF9AE}" pid="38" name="5. Ebene">
    <vt:lpwstr/>
  </property>
  <property fmtid="{D5CDD505-2E9C-101B-9397-08002B2CF9AE}" pid="39" name="PublishingHidden">
    <vt:lpwstr>0</vt:lpwstr>
  </property>
  <property fmtid="{D5CDD505-2E9C-101B-9397-08002B2CF9AE}" pid="40" name="Fachkonzept">
    <vt:lpwstr>9</vt:lpwstr>
  </property>
  <property fmtid="{D5CDD505-2E9C-101B-9397-08002B2CF9AE}" pid="41" name="Link Ablageort im Intranet SOD">
    <vt:lpwstr/>
  </property>
  <property fmtid="{D5CDD505-2E9C-101B-9397-08002B2CF9AE}" pid="42" name="Leistung">
    <vt:lpwstr>8</vt:lpwstr>
  </property>
  <property fmtid="{D5CDD505-2E9C-101B-9397-08002B2CF9AE}" pid="43" name="Fachressorts">
    <vt:lpwstr>5;#Wirtschaftliche Hilfe</vt:lpwstr>
  </property>
  <property fmtid="{D5CDD505-2E9C-101B-9397-08002B2CF9AE}" pid="44" name="PublishingAssociatedVariations">
    <vt:lpwstr/>
  </property>
  <property fmtid="{D5CDD505-2E9C-101B-9397-08002B2CF9AE}" pid="45" name="CMS-Medienbiblithek">
    <vt:lpwstr>0</vt:lpwstr>
  </property>
  <property fmtid="{D5CDD505-2E9C-101B-9397-08002B2CF9AE}" pid="46" name="Thematische Zuordnung Fachressort(s)">
    <vt:lpwstr>5;#</vt:lpwstr>
  </property>
  <property fmtid="{D5CDD505-2E9C-101B-9397-08002B2CF9AE}" pid="47" name="2. Ebene">
    <vt:lpwstr/>
  </property>
  <property fmtid="{D5CDD505-2E9C-101B-9397-08002B2CF9AE}" pid="48" name="Dokumentenart">
    <vt:lpwstr>HAW Handlungsanweisung</vt:lpwstr>
  </property>
  <property fmtid="{D5CDD505-2E9C-101B-9397-08002B2CF9AE}" pid="49" name="AutorIn">
    <vt:lpwstr/>
  </property>
  <property fmtid="{D5CDD505-2E9C-101B-9397-08002B2CF9AE}" pid="50" name="4. Ebene">
    <vt:lpwstr/>
  </property>
  <property fmtid="{D5CDD505-2E9C-101B-9397-08002B2CF9AE}" pid="51" name="PublishingAssociatedContentType">
    <vt:lpwstr/>
  </property>
  <property fmtid="{D5CDD505-2E9C-101B-9397-08002B2CF9AE}" pid="52" name="SKOS Kapitel">
    <vt:lpwstr>1;#A</vt:lpwstr>
  </property>
  <property fmtid="{D5CDD505-2E9C-101B-9397-08002B2CF9AE}" pid="53" name="1. Ebene">
    <vt:lpwstr/>
  </property>
  <property fmtid="{D5CDD505-2E9C-101B-9397-08002B2CF9AE}" pid="54" name="Herausgabe bei Informationszugangsgesuchen">
    <vt:lpwstr>kann herausgegeben werden</vt:lpwstr>
  </property>
  <property fmtid="{D5CDD505-2E9C-101B-9397-08002B2CF9AE}" pid="55" name="PublishingPreviewImage">
    <vt:lpwstr/>
  </property>
  <property fmtid="{D5CDD505-2E9C-101B-9397-08002B2CF9AE}" pid="56" name="SKOS-Kapitel">
    <vt:lpwstr>1;#</vt:lpwstr>
  </property>
</Properties>
</file>