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0109DD8E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67F11F09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2840809A" w14:textId="77777777" w:rsidR="002129A1" w:rsidRDefault="003C326F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Handlungsanweisung der Direktorin</w:t>
            </w:r>
            <w:r w:rsidR="002129A1">
              <w:br/>
            </w:r>
          </w:p>
        </w:tc>
        <w:bookmarkStart w:id="1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4D924FBD" w14:textId="77777777" w:rsidR="002129A1" w:rsidRDefault="0053312E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9B61EC">
              <w:fldChar w:fldCharType="separate"/>
            </w:r>
            <w:r>
              <w:fldChar w:fldCharType="end"/>
            </w:r>
            <w:bookmarkEnd w:id="1"/>
            <w:r w:rsidR="002129A1">
              <w:t xml:space="preserve"> </w:t>
            </w:r>
          </w:p>
        </w:tc>
      </w:tr>
      <w:tr w:rsidR="002129A1" w14:paraId="77B232E4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2854688" w14:textId="11374C60" w:rsidR="002129A1" w:rsidRPr="00415E1A" w:rsidRDefault="004E1ABE" w:rsidP="00E0127D">
            <w:pPr>
              <w:pStyle w:val="KeinLeerraum"/>
              <w:rPr>
                <w:b/>
              </w:rPr>
            </w:pPr>
            <w:r w:rsidRPr="00FB3FFA">
              <w:rPr>
                <w:highlight w:val="yellow"/>
              </w:rPr>
              <w:t>SKOS</w:t>
            </w:r>
            <w:r w:rsidR="00006575" w:rsidRPr="00590D2B">
              <w:rPr>
                <w:bCs/>
                <w:highlight w:val="yellow"/>
              </w:rPr>
              <w:t xml:space="preserve"> C</w:t>
            </w:r>
            <w:r w:rsidRPr="00FB3FFA">
              <w:rPr>
                <w:highlight w:val="yellow"/>
              </w:rPr>
              <w:t xml:space="preserve"> 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DEFC737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669B3F63" w14:textId="04B358C2" w:rsidR="003A45D6" w:rsidRDefault="00006575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</w:t>
            </w:r>
            <w:r w:rsidR="003A45D6" w:rsidRPr="00EE08CD">
              <w:rPr>
                <w:b w:val="0"/>
                <w:bCs/>
                <w:sz w:val="20"/>
                <w:highlight w:val="yellow"/>
              </w:rPr>
              <w:t>1.</w:t>
            </w:r>
            <w:r>
              <w:rPr>
                <w:b w:val="0"/>
                <w:bCs/>
                <w:sz w:val="20"/>
                <w:highlight w:val="yellow"/>
              </w:rPr>
              <w:t>01</w:t>
            </w:r>
            <w:r w:rsidR="003A45D6" w:rsidRPr="00EE08CD">
              <w:rPr>
                <w:b w:val="0"/>
                <w:bCs/>
                <w:sz w:val="20"/>
                <w:highlight w:val="yellow"/>
              </w:rPr>
              <w:t>.20</w:t>
            </w:r>
            <w:r>
              <w:rPr>
                <w:b w:val="0"/>
                <w:bCs/>
                <w:sz w:val="20"/>
                <w:highlight w:val="yellow"/>
              </w:rPr>
              <w:t>21</w:t>
            </w:r>
          </w:p>
          <w:p w14:paraId="72BA7F4A" w14:textId="6F2D16BF" w:rsidR="002129A1" w:rsidRDefault="003A45D6" w:rsidP="003C042C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 w:rsidRPr="00EE08CD">
              <w:rPr>
                <w:b w:val="0"/>
                <w:bCs/>
                <w:sz w:val="20"/>
              </w:rPr>
              <w:t xml:space="preserve">ersetzt </w:t>
            </w:r>
            <w:r w:rsidR="00006575">
              <w:rPr>
                <w:b w:val="0"/>
                <w:bCs/>
                <w:sz w:val="20"/>
              </w:rPr>
              <w:t>0</w:t>
            </w:r>
            <w:r w:rsidR="00FB53A9" w:rsidRPr="00EE08CD">
              <w:rPr>
                <w:b w:val="0"/>
                <w:bCs/>
                <w:sz w:val="20"/>
              </w:rPr>
              <w:t>1.</w:t>
            </w:r>
            <w:r w:rsidR="00006575">
              <w:rPr>
                <w:b w:val="0"/>
                <w:bCs/>
                <w:sz w:val="20"/>
              </w:rPr>
              <w:t>07</w:t>
            </w:r>
            <w:r w:rsidR="00FB53A9" w:rsidRPr="00EE08CD">
              <w:rPr>
                <w:b w:val="0"/>
                <w:bCs/>
                <w:sz w:val="20"/>
              </w:rPr>
              <w:t>.201</w:t>
            </w:r>
            <w:r w:rsidR="00006575">
              <w:rPr>
                <w:b w:val="0"/>
                <w:bCs/>
                <w:sz w:val="20"/>
              </w:rPr>
              <w:t>8</w:t>
            </w:r>
          </w:p>
        </w:tc>
      </w:tr>
      <w:tr w:rsidR="002129A1" w14:paraId="4FAB9097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573C28" w14:textId="6279F733" w:rsidR="002129A1" w:rsidRDefault="00BC44BB">
            <w:pPr>
              <w:pStyle w:val="WeisungKopfteil"/>
              <w:framePr w:hSpace="0" w:wrap="auto" w:vAnchor="margin" w:hAnchor="text" w:xAlign="left" w:yAlign="inline"/>
            </w:pPr>
            <w:r w:rsidRPr="007D531A">
              <w:t>Wohn</w:t>
            </w:r>
            <w:r w:rsidR="003A45D6" w:rsidRPr="007D531A">
              <w:t>k</w:t>
            </w:r>
            <w:r w:rsidR="003A45D6">
              <w:t>osten</w:t>
            </w:r>
            <w:r w:rsidR="004E1ABE">
              <w:t>: Sicherheiten für die Vermieterschaft</w:t>
            </w:r>
            <w:r w:rsidR="004477CE">
              <w:t xml:space="preserve"> (Garantieerklärung, Mietkaution, Anteilscheine)</w:t>
            </w:r>
          </w:p>
        </w:tc>
      </w:tr>
    </w:tbl>
    <w:p w14:paraId="03D6C454" w14:textId="77777777" w:rsidR="003415A9" w:rsidRDefault="003415A9">
      <w:pPr>
        <w:pStyle w:val="Absatz0"/>
        <w:sectPr w:rsidR="003415A9" w:rsidSect="003E5FC8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61368B54" w14:textId="77777777" w:rsidR="00062D79" w:rsidRDefault="00062D79" w:rsidP="00062D79">
      <w:pPr>
        <w:pStyle w:val="berschrift1"/>
      </w:pPr>
      <w:r>
        <w:t>Grundlagen</w:t>
      </w:r>
    </w:p>
    <w:p w14:paraId="048BF3EE" w14:textId="05D3B4FA" w:rsidR="00385DD0" w:rsidRDefault="00385DD0">
      <w:pPr>
        <w:pStyle w:val="Absatz0"/>
      </w:pPr>
      <w:r>
        <w:t xml:space="preserve">Gehen Sozialhilfe beziehende Personen im Einverständnis mit den Sozialen Diensten (SOD) ein neues Mietverhältnis ein, so sind die SOD verpflichtet, </w:t>
      </w:r>
      <w:r w:rsidR="006B4D95">
        <w:t xml:space="preserve">die </w:t>
      </w:r>
      <w:r>
        <w:t>von der neuen Vermieterschaft verlangt</w:t>
      </w:r>
      <w:r w:rsidR="008777A2">
        <w:t>e</w:t>
      </w:r>
      <w:r w:rsidR="006B4D95">
        <w:t>n</w:t>
      </w:r>
      <w:r>
        <w:t xml:space="preserve"> Sicherheiten zu finanzieren</w:t>
      </w:r>
      <w:r w:rsidR="006B4D95">
        <w:t xml:space="preserve">, soweit sie den Vorgaben des Mietrechts </w:t>
      </w:r>
      <w:r w:rsidR="004477CE">
        <w:t xml:space="preserve">entsprechen </w:t>
      </w:r>
      <w:r w:rsidR="006B4D95">
        <w:t>(Art. 253 ff. des Schweizerisches Obligationenrechts/OR)</w:t>
      </w:r>
      <w:r>
        <w:t>.</w:t>
      </w:r>
    </w:p>
    <w:p w14:paraId="08199FD8" w14:textId="77777777" w:rsidR="00062D79" w:rsidRDefault="006B4D95" w:rsidP="00062D79">
      <w:pPr>
        <w:pStyle w:val="berschrift1"/>
      </w:pPr>
      <w:r>
        <w:t xml:space="preserve">Verschiedene </w:t>
      </w:r>
      <w:r w:rsidR="00062D79">
        <w:t>Sicherheiten</w:t>
      </w:r>
    </w:p>
    <w:p w14:paraId="5A15E5A7" w14:textId="77777777" w:rsidR="00062D79" w:rsidRPr="00062D79" w:rsidRDefault="00062D79" w:rsidP="00062D79">
      <w:pPr>
        <w:pStyle w:val="Absatz0"/>
        <w:rPr>
          <w:sz w:val="2"/>
          <w:szCs w:val="2"/>
        </w:rPr>
      </w:pPr>
    </w:p>
    <w:p w14:paraId="15181CC0" w14:textId="77777777" w:rsidR="00C91CFA" w:rsidRPr="00062D79" w:rsidRDefault="00C91CFA" w:rsidP="00062D79">
      <w:pPr>
        <w:pStyle w:val="berschrift2"/>
      </w:pPr>
      <w:r w:rsidRPr="00062D79">
        <w:t>Garantieerklärung</w:t>
      </w:r>
    </w:p>
    <w:p w14:paraId="5913A680" w14:textId="77777777" w:rsidR="00C91CFA" w:rsidRPr="00DB5803" w:rsidRDefault="008777A2" w:rsidP="00C91CFA">
      <w:pPr>
        <w:spacing w:before="120" w:after="120"/>
      </w:pPr>
      <w:r w:rsidRPr="00DB5803">
        <w:t>Verlangt</w:t>
      </w:r>
      <w:r w:rsidR="00C91CFA" w:rsidRPr="00DB5803">
        <w:t xml:space="preserve"> die Vermieterschaft eine Mietkaution nach Art. 257e OR, so geben die Sozialen Dienste </w:t>
      </w:r>
      <w:r w:rsidRPr="00DB5803">
        <w:t xml:space="preserve">ihr </w:t>
      </w:r>
      <w:r w:rsidR="002D72C6" w:rsidRPr="00DB5803">
        <w:t xml:space="preserve">gegenüber </w:t>
      </w:r>
      <w:r w:rsidR="00B2552A" w:rsidRPr="00DB5803">
        <w:t>statt deren</w:t>
      </w:r>
      <w:r w:rsidR="002D72C6" w:rsidRPr="00DB5803">
        <w:t xml:space="preserve"> </w:t>
      </w:r>
      <w:r w:rsidR="00C91CFA" w:rsidRPr="00DB5803">
        <w:t xml:space="preserve">eine Garantieerklärung im Umfang des im Mietvertrag geforderten Betrags </w:t>
      </w:r>
      <w:r w:rsidR="004477CE">
        <w:t>ab (maximal drei Monatsmieten).</w:t>
      </w:r>
    </w:p>
    <w:p w14:paraId="61E7518B" w14:textId="58F72E2C" w:rsidR="00C91CFA" w:rsidRPr="004477CE" w:rsidRDefault="00C91CFA" w:rsidP="00C91CFA">
      <w:pPr>
        <w:spacing w:before="120" w:after="120"/>
      </w:pPr>
      <w:r w:rsidRPr="00EE08CD">
        <w:t>Liegt der Mietzins über den Maximalgrenzen gemäss</w:t>
      </w:r>
      <w:r w:rsidR="002D72C6" w:rsidRPr="00EE08CD">
        <w:t xml:space="preserve"> Ziff.</w:t>
      </w:r>
      <w:r w:rsidR="003A45D6" w:rsidRPr="00EE08CD">
        <w:t xml:space="preserve"> </w:t>
      </w:r>
      <w:r w:rsidR="002D72C6" w:rsidRPr="00EE08CD">
        <w:t xml:space="preserve">2 der Handlungsanweisung </w:t>
      </w:r>
      <w:r w:rsidR="00DD091E" w:rsidRPr="00EE08CD">
        <w:t>„</w:t>
      </w:r>
      <w:r w:rsidR="00BC44BB">
        <w:t>Wohn</w:t>
      </w:r>
      <w:r w:rsidR="004477CE" w:rsidRPr="00EE08CD">
        <w:t>kosten: Vorgaben der Sozialbehörde zum regulären Mietzins und Kompetenzen</w:t>
      </w:r>
      <w:r w:rsidR="00DD091E" w:rsidRPr="00EE08CD">
        <w:t>“</w:t>
      </w:r>
      <w:r w:rsidR="006B3DC8" w:rsidRPr="00EE08CD">
        <w:t>,</w:t>
      </w:r>
      <w:r w:rsidRPr="00EE08CD">
        <w:t xml:space="preserve"> wird nur dann eine Garantieerklärung geleistet, wenn der zu hohe Mietzins infolge besonderer Umstände befristet übernommen </w:t>
      </w:r>
      <w:r w:rsidR="00B966EA" w:rsidRPr="00EE08CD">
        <w:t>wird</w:t>
      </w:r>
      <w:r w:rsidRPr="00EE08CD">
        <w:t>.</w:t>
      </w:r>
    </w:p>
    <w:p w14:paraId="0230218F" w14:textId="77777777" w:rsidR="00C91CFA" w:rsidRPr="00EE08CD" w:rsidRDefault="00C91CFA" w:rsidP="00C91CFA">
      <w:pPr>
        <w:spacing w:before="120"/>
        <w:rPr>
          <w:i/>
        </w:rPr>
      </w:pPr>
      <w:r w:rsidRPr="00EE08CD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0"/>
        <w:gridCol w:w="3190"/>
        <w:gridCol w:w="2970"/>
      </w:tblGrid>
      <w:tr w:rsidR="00C91CFA" w:rsidRPr="001B374C" w14:paraId="18190C1B" w14:textId="77777777" w:rsidTr="009509C2">
        <w:tc>
          <w:tcPr>
            <w:tcW w:w="2970" w:type="dxa"/>
            <w:tcBorders>
              <w:top w:val="nil"/>
              <w:left w:val="nil"/>
            </w:tcBorders>
          </w:tcPr>
          <w:p w14:paraId="0B84192F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6160" w:type="dxa"/>
            <w:gridSpan w:val="2"/>
            <w:tcBorders>
              <w:top w:val="single" w:sz="4" w:space="0" w:color="auto"/>
            </w:tcBorders>
          </w:tcPr>
          <w:p w14:paraId="65C6D653" w14:textId="77777777" w:rsidR="00C91CFA" w:rsidRPr="00EE08CD" w:rsidRDefault="00C91CFA" w:rsidP="009509C2">
            <w:pPr>
              <w:pStyle w:val="Absatz0"/>
              <w:tabs>
                <w:tab w:val="left" w:pos="6212"/>
              </w:tabs>
              <w:ind w:right="4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>Kompetenz</w:t>
            </w:r>
          </w:p>
        </w:tc>
      </w:tr>
      <w:tr w:rsidR="00C91CFA" w:rsidRPr="001B374C" w14:paraId="12A58770" w14:textId="77777777" w:rsidTr="009509C2"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13F229D3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3190" w:type="dxa"/>
          </w:tcPr>
          <w:p w14:paraId="4C3B381A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 xml:space="preserve">SA </w:t>
            </w:r>
          </w:p>
          <w:p w14:paraId="16E41CFB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2970" w:type="dxa"/>
          </w:tcPr>
          <w:p w14:paraId="4838935D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 xml:space="preserve">SL </w:t>
            </w:r>
          </w:p>
          <w:p w14:paraId="3D7A29E2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</w:tr>
      <w:tr w:rsidR="00C91CFA" w:rsidRPr="009509C2" w14:paraId="3BFCF38D" w14:textId="77777777" w:rsidTr="009509C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49A056" w14:textId="77777777" w:rsidR="00C91CFA" w:rsidRPr="00EE08CD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Garantieerklärung für max. drei Monatsmieten</w:t>
            </w:r>
          </w:p>
        </w:tc>
        <w:tc>
          <w:tcPr>
            <w:tcW w:w="3190" w:type="dxa"/>
          </w:tcPr>
          <w:p w14:paraId="6A98FC79" w14:textId="77777777" w:rsidR="00C91CFA" w:rsidRPr="00EE08CD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bei Mietzinsen innerhalb der Maximalgrenzen</w:t>
            </w:r>
          </w:p>
        </w:tc>
        <w:tc>
          <w:tcPr>
            <w:tcW w:w="2970" w:type="dxa"/>
          </w:tcPr>
          <w:p w14:paraId="0A1AAA1E" w14:textId="1ADCBA5C" w:rsidR="00C91CFA" w:rsidRPr="009509C2" w:rsidRDefault="00C91CFA">
            <w:pPr>
              <w:pStyle w:val="Absatz0"/>
              <w:rPr>
                <w:sz w:val="21"/>
                <w:szCs w:val="21"/>
              </w:rPr>
            </w:pPr>
            <w:r w:rsidRPr="00EE08CD">
              <w:t>bei befristet übernommenen, zu hohen Mietzinsen</w:t>
            </w:r>
          </w:p>
        </w:tc>
      </w:tr>
    </w:tbl>
    <w:p w14:paraId="721839F7" w14:textId="77777777" w:rsidR="004477CE" w:rsidRDefault="004477CE" w:rsidP="004477CE"/>
    <w:p w14:paraId="2674BF74" w14:textId="77777777" w:rsidR="00C91CFA" w:rsidRPr="00DB5803" w:rsidRDefault="00C91CFA" w:rsidP="00C91CFA">
      <w:pPr>
        <w:spacing w:before="120" w:after="120"/>
      </w:pPr>
      <w:r w:rsidRPr="00DB5803">
        <w:t>Die Garantieerklärung ist grundsätzlich für die gesamte Dauer des Mietverhältnisses gültig, unabhängig von einer allfälligen Ablösung der unterstütz</w:t>
      </w:r>
      <w:r w:rsidR="004477CE">
        <w:t>ten Person von der Sozialhilfe.</w:t>
      </w:r>
    </w:p>
    <w:p w14:paraId="67E18F3E" w14:textId="6C75162C" w:rsidR="00C91CFA" w:rsidRPr="00DB5803" w:rsidRDefault="00C91CFA" w:rsidP="00C91CFA">
      <w:pPr>
        <w:spacing w:before="120" w:after="120"/>
      </w:pPr>
      <w:r w:rsidRPr="00DB5803">
        <w:t>Kann die Klientin</w:t>
      </w:r>
      <w:r w:rsidR="00293C5D">
        <w:t xml:space="preserve"> oder </w:t>
      </w:r>
      <w:r w:rsidRPr="00DB5803">
        <w:t xml:space="preserve">der Klient mit einem Überschuss von der Sozialhilfe abgelöst werden, der mindestens so hoch ist wie der garantierte Betrag, so wird die Garantieerklärung </w:t>
      </w:r>
      <w:r w:rsidR="00E644E1">
        <w:t xml:space="preserve">unter Verwendung des Überschusses </w:t>
      </w:r>
      <w:r w:rsidRPr="00DB5803">
        <w:t>in Zusammenarbeit mit der Vermieterschaft nach den Vorgaben des Mietrechts in ein</w:t>
      </w:r>
      <w:r w:rsidR="006B3DC8">
        <w:t>e</w:t>
      </w:r>
      <w:r w:rsidRPr="00DB5803">
        <w:t xml:space="preserve"> normale</w:t>
      </w:r>
      <w:r w:rsidR="006B3DC8">
        <w:t xml:space="preserve"> Mietkaution</w:t>
      </w:r>
      <w:r w:rsidRPr="00DB5803">
        <w:t xml:space="preserve"> umgewandelt. Die Garantieerklärung wird aufgehoben.</w:t>
      </w:r>
    </w:p>
    <w:p w14:paraId="174AEB31" w14:textId="54229DD0" w:rsidR="001B374C" w:rsidRPr="00EC6A9E" w:rsidRDefault="00C91CFA" w:rsidP="00EC6A9E">
      <w:pPr>
        <w:spacing w:before="120" w:after="120"/>
      </w:pPr>
      <w:r w:rsidRPr="00DB5803">
        <w:t>Bei Beendigung des Mietverhältnisses erlischt die Garantieerklärung automatisch, wenn die Vermieterschaft nicht innert eines Jahres gegenüber den Sozialen Dienste</w:t>
      </w:r>
      <w:r w:rsidR="00D34EFD">
        <w:t>n</w:t>
      </w:r>
      <w:r w:rsidRPr="00DB5803">
        <w:t xml:space="preserve"> Ansprüche gel</w:t>
      </w:r>
      <w:r w:rsidR="00630D82" w:rsidRPr="00DB5803">
        <w:softHyphen/>
      </w:r>
      <w:r w:rsidRPr="00DB5803">
        <w:t>tend macht.</w:t>
      </w:r>
      <w:r w:rsidR="001B374C">
        <w:br w:type="page"/>
      </w:r>
    </w:p>
    <w:p w14:paraId="06DBD1EA" w14:textId="77777777" w:rsidR="00C91CFA" w:rsidRPr="00062D79" w:rsidRDefault="00C91CFA" w:rsidP="00062D79">
      <w:pPr>
        <w:pStyle w:val="berschrift2"/>
      </w:pPr>
      <w:r w:rsidRPr="00062D79">
        <w:lastRenderedPageBreak/>
        <w:t>Ausnahme: Mietkaution</w:t>
      </w:r>
    </w:p>
    <w:p w14:paraId="3A10A3EC" w14:textId="35E45F78" w:rsidR="00C91CFA" w:rsidRPr="007D531A" w:rsidRDefault="00C91CFA" w:rsidP="00C91CFA">
      <w:pPr>
        <w:spacing w:before="120" w:after="120"/>
      </w:pPr>
      <w:r w:rsidRPr="00DB5803">
        <w:t>Beharrt die Vermieterschaft auf der Mietkaution, so kann eine solche ausnahmsweise finanziert werden, wenn besondere Umstände vorliegen</w:t>
      </w:r>
      <w:r w:rsidR="007C7D39">
        <w:t xml:space="preserve">. </w:t>
      </w:r>
      <w:r w:rsidRPr="00DB5803">
        <w:t xml:space="preserve">Dies gilt insbesondere für den Fall, </w:t>
      </w:r>
      <w:r w:rsidRPr="007D531A">
        <w:t xml:space="preserve">dass die unterstützte Person </w:t>
      </w:r>
      <w:r w:rsidR="007C7D39" w:rsidRPr="007D531A">
        <w:t xml:space="preserve">aus der Gemeinde wegzieht. </w:t>
      </w:r>
      <w:r w:rsidRPr="007D531A">
        <w:t>Es gelten die Vorgaben zur Garantieerklärung und die relevanten Bestimmungen des Mietrechts.</w:t>
      </w:r>
    </w:p>
    <w:p w14:paraId="2E9E5C6F" w14:textId="77777777" w:rsidR="00606D06" w:rsidRPr="00E021FD" w:rsidRDefault="00606D06" w:rsidP="00606D06">
      <w:pPr>
        <w:spacing w:before="120" w:after="120"/>
      </w:pPr>
      <w:bookmarkStart w:id="2" w:name="OLE_LINK1"/>
      <w:r w:rsidRPr="007D531A">
        <w:t>Die Ansprüche der SOD an der Mietkaution sind mit dem Formular "</w:t>
      </w:r>
      <w:r w:rsidRPr="007D531A">
        <w:rPr>
          <w:rFonts w:cs="Times New Roman"/>
          <w:b/>
          <w:sz w:val="24"/>
        </w:rPr>
        <w:t xml:space="preserve"> </w:t>
      </w:r>
      <w:r w:rsidRPr="007D531A">
        <w:rPr>
          <w:rFonts w:cs="Times New Roman"/>
          <w:szCs w:val="22"/>
        </w:rPr>
        <w:t>Vereinbarung betreffend Vorschuss für Mietkaution" sicher zu stellen.</w:t>
      </w:r>
      <w:r>
        <w:rPr>
          <w:rFonts w:cs="Times New Roman"/>
          <w:b/>
          <w:sz w:val="24"/>
        </w:rPr>
        <w:t xml:space="preserve"> </w:t>
      </w:r>
    </w:p>
    <w:p w14:paraId="2B6D6B21" w14:textId="122B3441" w:rsidR="00C91CFA" w:rsidRPr="00EE08CD" w:rsidRDefault="00C91CFA" w:rsidP="00EE08CD">
      <w:pPr>
        <w:spacing w:before="120" w:after="120"/>
        <w:rPr>
          <w:i/>
        </w:rPr>
      </w:pPr>
      <w:r w:rsidRPr="00EE08CD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0"/>
        <w:gridCol w:w="3190"/>
        <w:gridCol w:w="2970"/>
      </w:tblGrid>
      <w:tr w:rsidR="00C91CFA" w:rsidRPr="001B374C" w14:paraId="1D25D325" w14:textId="77777777" w:rsidTr="009509C2">
        <w:tc>
          <w:tcPr>
            <w:tcW w:w="2970" w:type="dxa"/>
            <w:tcBorders>
              <w:top w:val="nil"/>
              <w:left w:val="nil"/>
            </w:tcBorders>
          </w:tcPr>
          <w:p w14:paraId="1FB39507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6160" w:type="dxa"/>
            <w:gridSpan w:val="2"/>
            <w:tcBorders>
              <w:top w:val="single" w:sz="4" w:space="0" w:color="auto"/>
            </w:tcBorders>
          </w:tcPr>
          <w:p w14:paraId="4768DE52" w14:textId="77777777" w:rsidR="00C91CFA" w:rsidRPr="00EE08CD" w:rsidRDefault="00C91CFA" w:rsidP="009509C2">
            <w:pPr>
              <w:pStyle w:val="Absatz0"/>
              <w:tabs>
                <w:tab w:val="left" w:pos="6212"/>
              </w:tabs>
              <w:ind w:right="4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>Ausgabenkompetenz</w:t>
            </w:r>
          </w:p>
        </w:tc>
      </w:tr>
      <w:tr w:rsidR="00C91CFA" w:rsidRPr="001B374C" w14:paraId="5446DC95" w14:textId="77777777" w:rsidTr="009509C2"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4F2206BC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3190" w:type="dxa"/>
          </w:tcPr>
          <w:p w14:paraId="67694165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 xml:space="preserve">SA </w:t>
            </w:r>
          </w:p>
          <w:p w14:paraId="4BFEBD7F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2970" w:type="dxa"/>
          </w:tcPr>
          <w:p w14:paraId="06B88A01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 xml:space="preserve">SL </w:t>
            </w:r>
          </w:p>
          <w:p w14:paraId="70930C2C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</w:tr>
      <w:tr w:rsidR="00C91CFA" w:rsidRPr="009509C2" w14:paraId="7097F8A6" w14:textId="77777777" w:rsidTr="009509C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892FD9" w14:textId="77777777" w:rsidR="00C91CFA" w:rsidRPr="00EE08CD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Mietzinskaution, max. drei Monatsmieten</w:t>
            </w:r>
          </w:p>
        </w:tc>
        <w:tc>
          <w:tcPr>
            <w:tcW w:w="3190" w:type="dxa"/>
          </w:tcPr>
          <w:p w14:paraId="52FD6B00" w14:textId="77777777" w:rsidR="00C91CFA" w:rsidRPr="00EE08CD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bei Mietzinsen innerhalb der Maximalgrenzen</w:t>
            </w:r>
          </w:p>
        </w:tc>
        <w:tc>
          <w:tcPr>
            <w:tcW w:w="2970" w:type="dxa"/>
          </w:tcPr>
          <w:p w14:paraId="5EFED0AA" w14:textId="7392B193" w:rsidR="00C91CFA" w:rsidRPr="009509C2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bei befristet übernommenen, zu hohen Mietzinsen</w:t>
            </w:r>
          </w:p>
        </w:tc>
      </w:tr>
    </w:tbl>
    <w:bookmarkEnd w:id="2"/>
    <w:p w14:paraId="112AF1EB" w14:textId="77777777" w:rsidR="00C91CFA" w:rsidRPr="004477CE" w:rsidRDefault="00C91CFA" w:rsidP="00062D79">
      <w:pPr>
        <w:pStyle w:val="berschrift2"/>
      </w:pPr>
      <w:r w:rsidRPr="004477CE">
        <w:t>Anteilscheine bei Genossenschaften</w:t>
      </w:r>
    </w:p>
    <w:p w14:paraId="378F705B" w14:textId="4FD85D0E" w:rsidR="00C91CFA" w:rsidRPr="001B374C" w:rsidRDefault="00C91CFA" w:rsidP="00C91CFA">
      <w:pPr>
        <w:spacing w:before="120" w:after="120"/>
      </w:pPr>
      <w:r w:rsidRPr="004477CE">
        <w:t>Schliesst die unterstützte Person einen Mietvertrag für eine Genossenschaftswohnung ab, werden die vorgeschriebenen Anteilscheine finanziert.</w:t>
      </w:r>
      <w:r w:rsidR="007C7D39">
        <w:t xml:space="preserve"> </w:t>
      </w:r>
      <w:r w:rsidR="00C674F2">
        <w:t>Sie</w:t>
      </w:r>
      <w:r w:rsidR="007C7D39">
        <w:t xml:space="preserve"> werden auf den Namen der u</w:t>
      </w:r>
      <w:r w:rsidR="00F83390">
        <w:t xml:space="preserve">nterstützten Person ausgestellt. Die SOD stellen die </w:t>
      </w:r>
      <w:r w:rsidR="00142AA1">
        <w:t>Rückerstattung der</w:t>
      </w:r>
      <w:r w:rsidR="00F83390">
        <w:t xml:space="preserve"> für den Erwerb der </w:t>
      </w:r>
      <w:r w:rsidR="00F83390" w:rsidRPr="001B374C">
        <w:t>Anteilscheine ausgerichteten Leistungen vertraglich sicher.</w:t>
      </w:r>
    </w:p>
    <w:p w14:paraId="14D61E70" w14:textId="77777777" w:rsidR="00C91CFA" w:rsidRPr="00EE08CD" w:rsidRDefault="00C91CFA" w:rsidP="00C91CFA">
      <w:pPr>
        <w:spacing w:before="120"/>
        <w:rPr>
          <w:i/>
        </w:rPr>
      </w:pPr>
      <w:r w:rsidRPr="00EE08CD">
        <w:rPr>
          <w:i/>
        </w:rPr>
        <w:t>Abgestufte Kompetenz</w:t>
      </w:r>
    </w:p>
    <w:tbl>
      <w:tblPr>
        <w:tblW w:w="9130" w:type="dxa"/>
        <w:tblInd w:w="10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0"/>
        <w:gridCol w:w="3190"/>
        <w:gridCol w:w="2970"/>
      </w:tblGrid>
      <w:tr w:rsidR="00C91CFA" w:rsidRPr="001B374C" w14:paraId="5E7954F5" w14:textId="77777777" w:rsidTr="009509C2">
        <w:tc>
          <w:tcPr>
            <w:tcW w:w="2970" w:type="dxa"/>
            <w:tcBorders>
              <w:top w:val="nil"/>
              <w:left w:val="nil"/>
            </w:tcBorders>
          </w:tcPr>
          <w:p w14:paraId="755A7E2F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6160" w:type="dxa"/>
            <w:gridSpan w:val="2"/>
            <w:tcBorders>
              <w:top w:val="single" w:sz="4" w:space="0" w:color="auto"/>
            </w:tcBorders>
          </w:tcPr>
          <w:p w14:paraId="2BA7C690" w14:textId="77777777" w:rsidR="00C91CFA" w:rsidRPr="00EE08CD" w:rsidRDefault="00C91CFA" w:rsidP="009509C2">
            <w:pPr>
              <w:pStyle w:val="Absatz0"/>
              <w:tabs>
                <w:tab w:val="left" w:pos="6212"/>
              </w:tabs>
              <w:ind w:right="4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>Ausgabenkompetenz</w:t>
            </w:r>
          </w:p>
        </w:tc>
      </w:tr>
      <w:tr w:rsidR="00C91CFA" w:rsidRPr="001B374C" w14:paraId="5053F96E" w14:textId="77777777" w:rsidTr="009509C2"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6FBD2241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>Thema</w:t>
            </w:r>
          </w:p>
        </w:tc>
        <w:tc>
          <w:tcPr>
            <w:tcW w:w="3190" w:type="dxa"/>
          </w:tcPr>
          <w:p w14:paraId="45D7FCFE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 xml:space="preserve">SA </w:t>
            </w:r>
          </w:p>
          <w:p w14:paraId="0A116CFA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  <w:tc>
          <w:tcPr>
            <w:tcW w:w="2970" w:type="dxa"/>
          </w:tcPr>
          <w:p w14:paraId="598E57FC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  <w:r w:rsidRPr="00EE08CD">
              <w:rPr>
                <w:i/>
                <w:sz w:val="21"/>
                <w:szCs w:val="21"/>
              </w:rPr>
              <w:t xml:space="preserve">SL </w:t>
            </w:r>
          </w:p>
          <w:p w14:paraId="44D23BFC" w14:textId="77777777" w:rsidR="00C91CFA" w:rsidRPr="00EE08CD" w:rsidRDefault="00C91CFA" w:rsidP="00C91CFA">
            <w:pPr>
              <w:pStyle w:val="Absatz0"/>
              <w:rPr>
                <w:i/>
                <w:sz w:val="21"/>
                <w:szCs w:val="21"/>
              </w:rPr>
            </w:pPr>
          </w:p>
        </w:tc>
      </w:tr>
      <w:tr w:rsidR="00C91CFA" w:rsidRPr="009509C2" w14:paraId="7ED9682A" w14:textId="77777777" w:rsidTr="009509C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4C45B" w14:textId="77777777" w:rsidR="00C91CFA" w:rsidRPr="00EE08CD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Anteilscheine</w:t>
            </w:r>
          </w:p>
        </w:tc>
        <w:tc>
          <w:tcPr>
            <w:tcW w:w="3190" w:type="dxa"/>
          </w:tcPr>
          <w:p w14:paraId="263DB745" w14:textId="77777777" w:rsidR="00C91CFA" w:rsidRPr="00EE08CD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bis Fr. 5'000.</w:t>
            </w:r>
            <w:r w:rsidR="00D34EFD" w:rsidRPr="00EE08CD">
              <w:t>-</w:t>
            </w:r>
            <w:r w:rsidRPr="00EE08CD">
              <w:t xml:space="preserve"> pro Zimmer</w:t>
            </w:r>
          </w:p>
        </w:tc>
        <w:tc>
          <w:tcPr>
            <w:tcW w:w="2970" w:type="dxa"/>
          </w:tcPr>
          <w:p w14:paraId="28AC8E3C" w14:textId="77777777" w:rsidR="00C91CFA" w:rsidRPr="009509C2" w:rsidRDefault="00C91CFA" w:rsidP="00C91CFA">
            <w:pPr>
              <w:pStyle w:val="Absatz0"/>
              <w:rPr>
                <w:sz w:val="21"/>
                <w:szCs w:val="21"/>
              </w:rPr>
            </w:pPr>
            <w:r w:rsidRPr="00EE08CD">
              <w:t>über Fr.</w:t>
            </w:r>
            <w:r w:rsidR="00D34EFD" w:rsidRPr="00EE08CD">
              <w:t xml:space="preserve"> </w:t>
            </w:r>
            <w:r w:rsidRPr="00EE08CD">
              <w:t>5'000.</w:t>
            </w:r>
            <w:r w:rsidR="00D34EFD" w:rsidRPr="00EE08CD">
              <w:t>-</w:t>
            </w:r>
            <w:r w:rsidRPr="00EE08CD">
              <w:t xml:space="preserve"> pro Zimmer</w:t>
            </w:r>
          </w:p>
        </w:tc>
      </w:tr>
    </w:tbl>
    <w:p w14:paraId="757E0153" w14:textId="77777777" w:rsidR="00EA122A" w:rsidRDefault="00EA122A" w:rsidP="00007BBE">
      <w:pPr>
        <w:pStyle w:val="Absatz0"/>
      </w:pPr>
    </w:p>
    <w:sectPr w:rsidR="00EA122A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60B7F" w14:textId="77777777" w:rsidR="006E2A9E" w:rsidRDefault="006E2A9E">
      <w:r>
        <w:separator/>
      </w:r>
    </w:p>
    <w:p w14:paraId="05F3E2DA" w14:textId="77777777" w:rsidR="006E2A9E" w:rsidRDefault="006E2A9E"/>
  </w:endnote>
  <w:endnote w:type="continuationSeparator" w:id="0">
    <w:p w14:paraId="10CF1A6F" w14:textId="77777777" w:rsidR="006E2A9E" w:rsidRDefault="006E2A9E">
      <w:r>
        <w:continuationSeparator/>
      </w:r>
    </w:p>
    <w:p w14:paraId="7435C58D" w14:textId="77777777" w:rsidR="006E2A9E" w:rsidRDefault="006E2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84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8784"/>
    </w:tblGrid>
    <w:tr w:rsidR="003C042C" w14:paraId="6FD24D73" w14:textId="77777777" w:rsidTr="003C042C">
      <w:trPr>
        <w:trHeight w:val="284"/>
      </w:trPr>
      <w:tc>
        <w:tcPr>
          <w:tcW w:w="8784" w:type="dxa"/>
        </w:tcPr>
        <w:p w14:paraId="0096758E" w14:textId="44B74EEE" w:rsidR="003C042C" w:rsidRDefault="003C042C" w:rsidP="00D34EFD">
          <w:pPr>
            <w:pStyle w:val="Fuzeile"/>
            <w:tabs>
              <w:tab w:val="clear" w:pos="4536"/>
              <w:tab w:val="clear" w:pos="9072"/>
            </w:tabs>
            <w:rPr>
              <w:sz w:val="17"/>
            </w:rPr>
          </w:pPr>
          <w:r>
            <w:rPr>
              <w:sz w:val="17"/>
            </w:rPr>
            <w:t xml:space="preserve">HAW </w:t>
          </w:r>
          <w:r w:rsidRPr="003C042C">
            <w:rPr>
              <w:sz w:val="17"/>
            </w:rPr>
            <w:t>Wohnkosten: Sicherheiten für die Vermieterschaft (Garantieerklärung, Mietkaution, Anteilscheine)</w:t>
          </w:r>
        </w:p>
      </w:tc>
    </w:tr>
  </w:tbl>
  <w:p w14:paraId="71F22F6F" w14:textId="77777777" w:rsidR="006E2A9E" w:rsidRDefault="006E2A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1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9"/>
      <w:gridCol w:w="4219"/>
      <w:gridCol w:w="1271"/>
      <w:gridCol w:w="1417"/>
      <w:gridCol w:w="2126"/>
      <w:gridCol w:w="179"/>
    </w:tblGrid>
    <w:tr w:rsidR="003C042C" w14:paraId="04F3F301" w14:textId="77777777" w:rsidTr="007D531A">
      <w:trPr>
        <w:gridAfter w:val="1"/>
        <w:wAfter w:w="179" w:type="dxa"/>
        <w:trHeight w:val="284"/>
      </w:trPr>
      <w:tc>
        <w:tcPr>
          <w:tcW w:w="4248" w:type="dxa"/>
          <w:gridSpan w:val="2"/>
        </w:tcPr>
        <w:p w14:paraId="30CB9A5F" w14:textId="056A6313" w:rsidR="003C042C" w:rsidRDefault="003C042C" w:rsidP="003C042C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 xml:space="preserve">HAW </w:t>
          </w:r>
          <w:r w:rsidRPr="003C042C">
            <w:rPr>
              <w:sz w:val="17"/>
            </w:rPr>
            <w:t>Wohnkosten: Sicherheiten für die Vermieterschaft (Garantieerklärung, Mietkaution, Anteilscheine)</w:t>
          </w:r>
          <w:r>
            <w:rPr>
              <w:sz w:val="17"/>
            </w:rPr>
            <w:t xml:space="preserve"> </w:t>
          </w:r>
        </w:p>
      </w:tc>
      <w:tc>
        <w:tcPr>
          <w:tcW w:w="1271" w:type="dxa"/>
        </w:tcPr>
        <w:p w14:paraId="0DEE0774" w14:textId="77777777" w:rsidR="003C042C" w:rsidRDefault="003C042C" w:rsidP="003C042C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öffentlich</w:t>
          </w:r>
        </w:p>
      </w:tc>
      <w:tc>
        <w:tcPr>
          <w:tcW w:w="1417" w:type="dxa"/>
        </w:tcPr>
        <w:p w14:paraId="7FA0B7EA" w14:textId="19615A2A" w:rsidR="003C042C" w:rsidRDefault="003C042C" w:rsidP="003C042C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7845BD">
            <w:rPr>
              <w:sz w:val="17"/>
            </w:rPr>
            <w:t>2</w:t>
          </w:r>
        </w:p>
      </w:tc>
      <w:tc>
        <w:tcPr>
          <w:tcW w:w="2126" w:type="dxa"/>
        </w:tcPr>
        <w:p w14:paraId="53BC96D9" w14:textId="059FFEA8" w:rsidR="003C042C" w:rsidRDefault="003C042C" w:rsidP="00E53648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F</w:t>
          </w:r>
          <w:r w:rsidR="00AA5201">
            <w:rPr>
              <w:sz w:val="17"/>
              <w:lang w:val="de-DE"/>
            </w:rPr>
            <w:t>achstab</w:t>
          </w:r>
          <w:r>
            <w:rPr>
              <w:sz w:val="17"/>
              <w:lang w:val="de-DE"/>
            </w:rPr>
            <w:t xml:space="preserve"> SI</w:t>
          </w:r>
        </w:p>
      </w:tc>
    </w:tr>
    <w:tr w:rsidR="003C042C" w14:paraId="0BEF5F15" w14:textId="77777777" w:rsidTr="00B80FEE">
      <w:trPr>
        <w:trHeight w:val="284"/>
      </w:trPr>
      <w:tc>
        <w:tcPr>
          <w:tcW w:w="29" w:type="dxa"/>
        </w:tcPr>
        <w:p w14:paraId="1DBE1D9F" w14:textId="77777777" w:rsidR="003C042C" w:rsidRDefault="003C042C" w:rsidP="003C042C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rPr>
              <w:sz w:val="17"/>
              <w:lang w:val="de-DE"/>
            </w:rPr>
          </w:pPr>
        </w:p>
      </w:tc>
      <w:tc>
        <w:tcPr>
          <w:tcW w:w="9212" w:type="dxa"/>
          <w:gridSpan w:val="5"/>
        </w:tcPr>
        <w:p w14:paraId="3BF04762" w14:textId="3F1D1D35" w:rsidR="003C042C" w:rsidRDefault="007845BD" w:rsidP="007845B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Copyright: Soziale Dienste. Eine Weiterverwendung ist nur mit dem Zusatz «Soziale Dienste Stadt Zürich» erlaubt.</w:t>
          </w:r>
        </w:p>
      </w:tc>
    </w:tr>
  </w:tbl>
  <w:p w14:paraId="18082554" w14:textId="50DDA5DF" w:rsidR="006E2A9E" w:rsidRDefault="006E2A9E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5C6E8" w14:textId="77777777" w:rsidR="006E2A9E" w:rsidRDefault="006E2A9E">
      <w:r>
        <w:separator/>
      </w:r>
    </w:p>
    <w:p w14:paraId="3EACB8EE" w14:textId="77777777" w:rsidR="006E2A9E" w:rsidRDefault="006E2A9E"/>
  </w:footnote>
  <w:footnote w:type="continuationSeparator" w:id="0">
    <w:p w14:paraId="2D60AEB4" w14:textId="77777777" w:rsidR="006E2A9E" w:rsidRDefault="006E2A9E">
      <w:r>
        <w:continuationSeparator/>
      </w:r>
    </w:p>
    <w:p w14:paraId="711AF35A" w14:textId="77777777" w:rsidR="006E2A9E" w:rsidRDefault="006E2A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6E2A9E" w14:paraId="503AA299" w14:textId="77777777">
      <w:tc>
        <w:tcPr>
          <w:tcW w:w="7257" w:type="dxa"/>
          <w:gridSpan w:val="2"/>
        </w:tcPr>
        <w:p w14:paraId="6F435D1C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65532CD0" wp14:editId="42EB1DA6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657E486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74E6AAFD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E2A9E" w14:paraId="52D4766A" w14:textId="77777777">
      <w:trPr>
        <w:trHeight w:val="210"/>
      </w:trPr>
      <w:tc>
        <w:tcPr>
          <w:tcW w:w="680" w:type="dxa"/>
        </w:tcPr>
        <w:p w14:paraId="747C96A1" w14:textId="77777777" w:rsidR="006E2A9E" w:rsidRDefault="006E2A9E">
          <w:pPr>
            <w:pStyle w:val="Kopfzeile"/>
          </w:pPr>
        </w:p>
      </w:tc>
      <w:tc>
        <w:tcPr>
          <w:tcW w:w="9072" w:type="dxa"/>
          <w:gridSpan w:val="2"/>
        </w:tcPr>
        <w:p w14:paraId="6AAB9087" w14:textId="5EC3B350" w:rsidR="006E2A9E" w:rsidRDefault="006E2A9E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61EC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9B61EC">
              <w:rPr>
                <w:noProof/>
              </w:rPr>
              <w:t>2</w:t>
            </w:r>
          </w:fldSimple>
        </w:p>
      </w:tc>
    </w:tr>
  </w:tbl>
  <w:p w14:paraId="3BCFA583" w14:textId="77777777" w:rsidR="006E2A9E" w:rsidRDefault="006E2A9E">
    <w:pPr>
      <w:pStyle w:val="Kopfzeile"/>
      <w:tabs>
        <w:tab w:val="clear" w:pos="4536"/>
        <w:tab w:val="clear" w:pos="9072"/>
      </w:tabs>
      <w:rPr>
        <w:sz w:val="2"/>
      </w:rPr>
    </w:pPr>
  </w:p>
  <w:p w14:paraId="280D66BC" w14:textId="77777777" w:rsidR="006E2A9E" w:rsidRDefault="006E2A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6E2A9E" w14:paraId="4659E546" w14:textId="77777777">
      <w:tc>
        <w:tcPr>
          <w:tcW w:w="7257" w:type="dxa"/>
        </w:tcPr>
        <w:p w14:paraId="2C0AB8FC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0DD4D55" wp14:editId="54ECA286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32677756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E2A9E" w14:paraId="393BD91E" w14:textId="77777777">
      <w:tc>
        <w:tcPr>
          <w:tcW w:w="7257" w:type="dxa"/>
        </w:tcPr>
        <w:p w14:paraId="01BD8FC4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604103CE" w14:textId="77777777" w:rsidR="006E2A9E" w:rsidRDefault="006E2A9E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4805383A" w14:textId="77777777" w:rsidR="006E2A9E" w:rsidRDefault="006E2A9E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F5C91"/>
    <w:multiLevelType w:val="hybridMultilevel"/>
    <w:tmpl w:val="07B64B30"/>
    <w:lvl w:ilvl="0" w:tplc="47D0601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8C5E48"/>
    <w:rsid w:val="00006575"/>
    <w:rsid w:val="00007BBE"/>
    <w:rsid w:val="000533FB"/>
    <w:rsid w:val="00062D79"/>
    <w:rsid w:val="00073A59"/>
    <w:rsid w:val="000D0EF2"/>
    <w:rsid w:val="000D2CCA"/>
    <w:rsid w:val="00142AA1"/>
    <w:rsid w:val="00157114"/>
    <w:rsid w:val="00187924"/>
    <w:rsid w:val="00195754"/>
    <w:rsid w:val="001B374C"/>
    <w:rsid w:val="001C7695"/>
    <w:rsid w:val="0020037F"/>
    <w:rsid w:val="002129A1"/>
    <w:rsid w:val="002162A3"/>
    <w:rsid w:val="002872C6"/>
    <w:rsid w:val="00293C5D"/>
    <w:rsid w:val="002A68D8"/>
    <w:rsid w:val="002D72C6"/>
    <w:rsid w:val="003415A9"/>
    <w:rsid w:val="0036386B"/>
    <w:rsid w:val="00375FC2"/>
    <w:rsid w:val="00376B71"/>
    <w:rsid w:val="00385DD0"/>
    <w:rsid w:val="00390511"/>
    <w:rsid w:val="00390BF7"/>
    <w:rsid w:val="003A3DE9"/>
    <w:rsid w:val="003A45D6"/>
    <w:rsid w:val="003C042C"/>
    <w:rsid w:val="003C326F"/>
    <w:rsid w:val="003E5FC8"/>
    <w:rsid w:val="00415E1A"/>
    <w:rsid w:val="00417A7B"/>
    <w:rsid w:val="00442E17"/>
    <w:rsid w:val="004477CE"/>
    <w:rsid w:val="00461722"/>
    <w:rsid w:val="004C2AD2"/>
    <w:rsid w:val="004E1ABE"/>
    <w:rsid w:val="0053312E"/>
    <w:rsid w:val="00590D2B"/>
    <w:rsid w:val="005977CB"/>
    <w:rsid w:val="005B4FC7"/>
    <w:rsid w:val="005D1FA6"/>
    <w:rsid w:val="00606D06"/>
    <w:rsid w:val="0061312E"/>
    <w:rsid w:val="00630D82"/>
    <w:rsid w:val="0069518A"/>
    <w:rsid w:val="006B096F"/>
    <w:rsid w:val="006B3DC8"/>
    <w:rsid w:val="006B4D95"/>
    <w:rsid w:val="006D73C1"/>
    <w:rsid w:val="006E2A9E"/>
    <w:rsid w:val="00711334"/>
    <w:rsid w:val="00717CB2"/>
    <w:rsid w:val="00766DEA"/>
    <w:rsid w:val="00774091"/>
    <w:rsid w:val="007845BD"/>
    <w:rsid w:val="007941C7"/>
    <w:rsid w:val="007C7D39"/>
    <w:rsid w:val="007D531A"/>
    <w:rsid w:val="00820DD6"/>
    <w:rsid w:val="008640FE"/>
    <w:rsid w:val="008777A2"/>
    <w:rsid w:val="008C5E48"/>
    <w:rsid w:val="009509C2"/>
    <w:rsid w:val="00972D3B"/>
    <w:rsid w:val="00982980"/>
    <w:rsid w:val="009B61EC"/>
    <w:rsid w:val="009D525A"/>
    <w:rsid w:val="00A40361"/>
    <w:rsid w:val="00A825C6"/>
    <w:rsid w:val="00A9194C"/>
    <w:rsid w:val="00A93E9F"/>
    <w:rsid w:val="00AA5201"/>
    <w:rsid w:val="00AB0AD8"/>
    <w:rsid w:val="00AB592B"/>
    <w:rsid w:val="00B2552A"/>
    <w:rsid w:val="00B64D26"/>
    <w:rsid w:val="00B80FEE"/>
    <w:rsid w:val="00B92738"/>
    <w:rsid w:val="00B966EA"/>
    <w:rsid w:val="00BC44BB"/>
    <w:rsid w:val="00BE6CCF"/>
    <w:rsid w:val="00BF0F82"/>
    <w:rsid w:val="00C14A15"/>
    <w:rsid w:val="00C15B59"/>
    <w:rsid w:val="00C674F2"/>
    <w:rsid w:val="00C91CFA"/>
    <w:rsid w:val="00CB7AC2"/>
    <w:rsid w:val="00D34EFD"/>
    <w:rsid w:val="00DA024F"/>
    <w:rsid w:val="00DA5050"/>
    <w:rsid w:val="00DB5803"/>
    <w:rsid w:val="00DD091E"/>
    <w:rsid w:val="00E0127D"/>
    <w:rsid w:val="00E230C7"/>
    <w:rsid w:val="00E53648"/>
    <w:rsid w:val="00E644E1"/>
    <w:rsid w:val="00E90EFE"/>
    <w:rsid w:val="00E95914"/>
    <w:rsid w:val="00EA122A"/>
    <w:rsid w:val="00EC6A9E"/>
    <w:rsid w:val="00EE08CD"/>
    <w:rsid w:val="00F83390"/>
    <w:rsid w:val="00FA7FFC"/>
    <w:rsid w:val="00FB3FFA"/>
    <w:rsid w:val="00F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."/>
  <w:listSeparator w:val=";"/>
  <w14:docId w14:val="23A2F7FC"/>
  <w15:docId w15:val="{88E6150C-36B4-44FB-B424-7A72ED60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link w:val="berschrift2Zchn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table" w:customStyle="1" w:styleId="Tabellengitternetz">
    <w:name w:val="Tabellengitternetz"/>
    <w:basedOn w:val="NormaleTabelle"/>
    <w:rsid w:val="00C9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C91CFA"/>
    <w:rPr>
      <w:rFonts w:ascii="Arial" w:hAnsi="Arial"/>
      <w:b/>
      <w:sz w:val="22"/>
      <w:szCs w:val="24"/>
      <w:lang w:val="de-CH" w:eastAsia="de-DE" w:bidi="ar-SA"/>
    </w:rPr>
  </w:style>
  <w:style w:type="character" w:styleId="Hyperlink">
    <w:name w:val="Hyperlink"/>
    <w:basedOn w:val="Absatz-Standardschriftart"/>
    <w:rsid w:val="004C2AD2"/>
    <w:rPr>
      <w:color w:val="0000FF"/>
      <w:u w:val="single"/>
    </w:rPr>
  </w:style>
  <w:style w:type="character" w:styleId="Kommentarzeichen">
    <w:name w:val="annotation reference"/>
    <w:basedOn w:val="Absatz-Standardschriftart"/>
    <w:rsid w:val="00766DE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6DEA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66DEA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66DE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6DEA"/>
    <w:rPr>
      <w:rFonts w:ascii="Arial" w:hAnsi="Arial" w:cs="Arial"/>
      <w:b/>
      <w:bCs/>
      <w:lang w:eastAsia="de-DE"/>
    </w:rPr>
  </w:style>
  <w:style w:type="character" w:customStyle="1" w:styleId="FuzeileZchn">
    <w:name w:val="Fußzeile Zchn"/>
    <w:basedOn w:val="Absatz-Standardschriftart"/>
    <w:link w:val="Fuzeile"/>
    <w:rsid w:val="003C042C"/>
    <w:rPr>
      <w:rFonts w:ascii="Arial" w:hAnsi="Arial" w:cs="Arial"/>
      <w:sz w:val="22"/>
      <w:lang w:eastAsia="de-DE"/>
    </w:rPr>
  </w:style>
  <w:style w:type="paragraph" w:styleId="KeinLeerraum">
    <w:name w:val="No Spacing"/>
    <w:uiPriority w:val="1"/>
    <w:qFormat/>
    <w:rsid w:val="00E0127D"/>
    <w:rPr>
      <w:rFonts w:ascii="Arial" w:hAnsi="Arial" w:cs="Aria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  <Value>3</Value>
    </Zu_x0020_konsultierende_x002f_-s_x0020_Fachressort_x002f_-s>
    <Version_x0020_des_x0020_Dokuments xmlns="3905ffbc-9aeb-4d51-937e-ee1e2cf00671">1.2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  <Value>3</Value>
    </Thematische_x0020_Zuordnung_x0020_Fachressort_x0028_s_x0029_>
  </documentManagement>
</p:properties>
</file>

<file path=customXml/itemProps1.xml><?xml version="1.0" encoding="utf-8"?>
<ds:datastoreItem xmlns:ds="http://schemas.openxmlformats.org/officeDocument/2006/customXml" ds:itemID="{8DE231F3-7071-4C2A-8E3E-EE3271DFE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ED5A4-E97B-4E26-A462-0CEB071D3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0BEEB-07DB-4FE7-AB66-A1326447D77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14E0356-CD75-4BC7-BFE1-54B3F54B674D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040FB563-721F-497F-B351-E1AEC5C4DD7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A9F514C-B2B6-49DC-B0DF-A2AC5A669161}">
  <ds:schemaRefs>
    <ds:schemaRef ds:uri="http://purl.org/dc/terms/"/>
    <ds:schemaRef ds:uri="f3b92940-74e1-4b32-811a-cd501d17ae23"/>
    <ds:schemaRef ds:uri="http://schemas.microsoft.com/office/2006/documentManagement/types"/>
    <ds:schemaRef ds:uri="3905ffbc-9aeb-4d51-937e-ee1e2cf0067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5f3c3a0-1ed7-46fa-91b0-e5175ac448d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Logiskosten: Sicherheiten für die Vermieterschaft (Garantieerklärung, Mietkaution, Anteilscheine)</vt:lpstr>
    </vt:vector>
  </TitlesOfParts>
  <Company>Soziale Dienste Stadt Zürich</Company>
  <LinksUpToDate>false</LinksUpToDate>
  <CharactersWithSpaces>3189</CharactersWithSpaces>
  <SharedDoc>false</SharedDoc>
  <HLinks>
    <vt:vector size="6" baseType="variant">
      <vt:variant>
        <vt:i4>7274590</vt:i4>
      </vt:variant>
      <vt:variant>
        <vt:i4>2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http://sd.intra.stzh.ch/intranet/sd/sod/leistungen_intake/wirtschaftliche_sozialhilfe/SKOS_B/Garantieerklaerung.html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Logiskosten: Sicherheiten für die Vermieterschaft (Garantieerklärung, Mietkaution, Anteilscheine)</dc:title>
  <dc:subject>SKOS B</dc:subject>
  <dc:creator>KPZ Team FG</dc:creator>
  <cp:keywords>Sicherheiten Garantieerklärung Mietkaution Mietdepot Mietzinsdepots Anteilscheine</cp:keywords>
  <cp:lastModifiedBy>Nadine Grunder (sozgnn)</cp:lastModifiedBy>
  <cp:revision>2</cp:revision>
  <cp:lastPrinted>2018-02-05T11:13:00Z</cp:lastPrinted>
  <dcterms:created xsi:type="dcterms:W3CDTF">2021-06-18T07:06:00Z</dcterms:created>
  <dcterms:modified xsi:type="dcterms:W3CDTF">2021-06-18T07:06:00Z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 Ablageort im Intranet SOD">
    <vt:lpwstr/>
  </property>
  <property fmtid="{D5CDD505-2E9C-101B-9397-08002B2CF9AE}" pid="3" name="Dokumentenart">
    <vt:lpwstr>HAW Handlungsanweisung</vt:lpwstr>
  </property>
  <property fmtid="{D5CDD505-2E9C-101B-9397-08002B2CF9AE}" pid="4" name="Bemerkungen">
    <vt:lpwstr/>
  </property>
  <property fmtid="{D5CDD505-2E9C-101B-9397-08002B2CF9AE}" pid="5" name="Intranetverlinkung">
    <vt:lpwstr>Nein</vt:lpwstr>
  </property>
  <property fmtid="{D5CDD505-2E9C-101B-9397-08002B2CF9AE}" pid="6" name="display_urn:schemas-microsoft-com:office:office#Editor">
    <vt:lpwstr>Hohermuth Ivo (SD)</vt:lpwstr>
  </property>
  <property fmtid="{D5CDD505-2E9C-101B-9397-08002B2CF9AE}" pid="7" name="TemplateUrl">
    <vt:lpwstr/>
  </property>
  <property fmtid="{D5CDD505-2E9C-101B-9397-08002B2CF9AE}" pid="8" name="Order">
    <vt:r8>1089000</vt:r8>
  </property>
  <property fmtid="{D5CDD505-2E9C-101B-9397-08002B2CF9AE}" pid="9" name="xd_ProgID">
    <vt:lpwstr/>
  </property>
  <property fmtid="{D5CDD505-2E9C-101B-9397-08002B2CF9AE}" pid="10" name="PublishingPreviewImage">
    <vt:lpwstr/>
  </property>
  <property fmtid="{D5CDD505-2E9C-101B-9397-08002B2CF9AE}" pid="11" name="AutorIn">
    <vt:lpwstr/>
  </property>
  <property fmtid="{D5CDD505-2E9C-101B-9397-08002B2CF9AE}" pid="12" name="display_urn:schemas-microsoft-com:office:office#Author">
    <vt:lpwstr>Hohermuth Ivo (SD)</vt:lpwstr>
  </property>
  <property fmtid="{D5CDD505-2E9C-101B-9397-08002B2CF9AE}" pid="13" name="PublishingAssociatedVariations">
    <vt:lpwstr/>
  </property>
  <property fmtid="{D5CDD505-2E9C-101B-9397-08002B2CF9AE}" pid="14" name="CMS-Medienbiblithek">
    <vt:lpwstr>0</vt:lpwstr>
  </property>
  <property fmtid="{D5CDD505-2E9C-101B-9397-08002B2CF9AE}" pid="15" name="PublishingHidden">
    <vt:lpwstr>0</vt:lpwstr>
  </property>
  <property fmtid="{D5CDD505-2E9C-101B-9397-08002B2CF9AE}" pid="16" name="PublishingAssociatedContentType">
    <vt:lpwstr/>
  </property>
  <property fmtid="{D5CDD505-2E9C-101B-9397-08002B2CF9AE}" pid="17" name="_dlc_DocId">
    <vt:lpwstr>SDSOD-119-588</vt:lpwstr>
  </property>
  <property fmtid="{D5CDD505-2E9C-101B-9397-08002B2CF9AE}" pid="18" name="_dlc_DocIdItemGuid">
    <vt:lpwstr>73777394-909b-46ec-a8ce-4e5ea45d330f</vt:lpwstr>
  </property>
  <property fmtid="{D5CDD505-2E9C-101B-9397-08002B2CF9AE}" pid="19" name="_dlc_DocIdUrl">
    <vt:lpwstr>http://portal.sd.intra.stzh.ch/sod/regelwerk/_layouts/DocIdRedir.aspx?ID=SDSOD-119-588, SDSOD-119-588</vt:lpwstr>
  </property>
  <property fmtid="{D5CDD505-2E9C-101B-9397-08002B2CF9AE}" pid="20" name="1. Ebene">
    <vt:lpwstr/>
  </property>
  <property fmtid="{D5CDD505-2E9C-101B-9397-08002B2CF9AE}" pid="21" name="5. Ebene">
    <vt:lpwstr/>
  </property>
  <property fmtid="{D5CDD505-2E9C-101B-9397-08002B2CF9AE}" pid="22" name="4. Ebene">
    <vt:lpwstr/>
  </property>
  <property fmtid="{D5CDD505-2E9C-101B-9397-08002B2CF9AE}" pid="23" name="3. Ebene">
    <vt:lpwstr/>
  </property>
  <property fmtid="{D5CDD505-2E9C-101B-9397-08002B2CF9AE}" pid="24" name="2. Ebene">
    <vt:lpwstr/>
  </property>
  <property fmtid="{D5CDD505-2E9C-101B-9397-08002B2CF9AE}" pid="25" name="ContentTypeId">
    <vt:lpwstr>0x01010012DCBF5558F0D14AB1FD168DE6C7A40C001A41868E0DB22F429CCA78D2232A6A57</vt:lpwstr>
  </property>
  <property fmtid="{D5CDD505-2E9C-101B-9397-08002B2CF9AE}" pid="26" name="Dokumentenart0">
    <vt:lpwstr>2</vt:lpwstr>
  </property>
  <property fmtid="{D5CDD505-2E9C-101B-9397-08002B2CF9AE}" pid="27" name="WorkflowChangePath">
    <vt:lpwstr>1dbebda2-0151-441b-bad0-3a4bc52a6e32,3;7dbe9e3d-1110-41fa-836b-195a3e49061c,6;7dbe9e3d-1110-41fa-836b-195a3e49061c,8;</vt:lpwstr>
  </property>
  <property fmtid="{D5CDD505-2E9C-101B-9397-08002B2CF9AE}" pid="28" name="Kontaktperson für SOD KOM">
    <vt:lpwstr>6;#i:0#.w|global\sozhhi</vt:lpwstr>
  </property>
  <property fmtid="{D5CDD505-2E9C-101B-9397-08002B2CF9AE}" pid="29" name="IntraZueriMandant">
    <vt:lpwstr>1;#SOD|d2ca4cc4-367d-4a9a-a3b2-38906409b4ae</vt:lpwstr>
  </property>
  <property fmtid="{D5CDD505-2E9C-101B-9397-08002B2CF9AE}" pid="30" name="Federführende/s Fachressort/Einheit">
    <vt:lpwstr>3</vt:lpwstr>
  </property>
  <property fmtid="{D5CDD505-2E9C-101B-9397-08002B2CF9AE}" pid="31" name="Herausgabe bei Informationszugangsgesuchen">
    <vt:lpwstr>kann herausgegeben werden</vt:lpwstr>
  </property>
  <property fmtid="{D5CDD505-2E9C-101B-9397-08002B2CF9AE}" pid="32" name="SKOS-Kapitel">
    <vt:lpwstr>2;#</vt:lpwstr>
  </property>
  <property fmtid="{D5CDD505-2E9C-101B-9397-08002B2CF9AE}" pid="33" name="Thematische Zuordnung Fachressort(s)">
    <vt:lpwstr>3;#</vt:lpwstr>
  </property>
</Properties>
</file>