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text" w:horzAnchor="margin" w:tblpX="70" w:tblpY="2"/>
        <w:tblW w:w="909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223"/>
        <w:gridCol w:w="4453"/>
        <w:gridCol w:w="2414"/>
      </w:tblGrid>
      <w:tr w:rsidR="002129A1" w:rsidRPr="009A2265" w14:paraId="7B4E6707" w14:textId="77777777">
        <w:trPr>
          <w:cantSplit/>
          <w:trHeight w:val="443"/>
        </w:trPr>
        <w:tc>
          <w:tcPr>
            <w:tcW w:w="2223" w:type="dxa"/>
            <w:tcBorders>
              <w:top w:val="single" w:sz="4" w:space="0" w:color="808080"/>
              <w:left w:val="single" w:sz="4" w:space="0" w:color="808080"/>
              <w:bottom w:val="nil"/>
              <w:right w:val="single" w:sz="6" w:space="0" w:color="808080"/>
            </w:tcBorders>
            <w:shd w:val="clear" w:color="auto" w:fill="F3F3F3"/>
          </w:tcPr>
          <w:p w14:paraId="7B4E6704" w14:textId="77777777" w:rsidR="002129A1" w:rsidRPr="009A2265" w:rsidRDefault="002129A1">
            <w:pPr>
              <w:pStyle w:val="WeisungKopfteil"/>
              <w:framePr w:hSpace="0" w:wrap="auto" w:vAnchor="margin" w:hAnchor="text" w:xAlign="left" w:yAlign="inline"/>
              <w:spacing w:after="0"/>
              <w:rPr>
                <w:rFonts w:ascii="Arial" w:hAnsi="Arial"/>
                <w:b w:val="0"/>
                <w:bCs/>
                <w:sz w:val="20"/>
              </w:rPr>
            </w:pPr>
            <w:bookmarkStart w:id="0" w:name="_GoBack"/>
            <w:bookmarkEnd w:id="0"/>
            <w:r w:rsidRPr="009A2265">
              <w:rPr>
                <w:rFonts w:ascii="Arial" w:hAnsi="Arial"/>
              </w:rPr>
              <w:t xml:space="preserve">Zuordnung: </w:t>
            </w:r>
          </w:p>
        </w:tc>
        <w:tc>
          <w:tcPr>
            <w:tcW w:w="4453" w:type="dxa"/>
            <w:vMerge w:val="restart"/>
            <w:tcBorders>
              <w:top w:val="single" w:sz="4" w:space="0" w:color="808080"/>
              <w:left w:val="single" w:sz="6" w:space="0" w:color="808080"/>
              <w:right w:val="single" w:sz="6" w:space="0" w:color="808080"/>
            </w:tcBorders>
            <w:shd w:val="clear" w:color="auto" w:fill="F3F3F3"/>
          </w:tcPr>
          <w:p w14:paraId="7B4E6705" w14:textId="77777777" w:rsidR="002129A1" w:rsidRPr="009A2265" w:rsidRDefault="003C326F">
            <w:pPr>
              <w:pStyle w:val="WeisungKopfteil"/>
              <w:framePr w:hSpace="0" w:wrap="auto" w:vAnchor="margin" w:hAnchor="text" w:xAlign="left" w:yAlign="inline"/>
              <w:spacing w:after="0"/>
              <w:jc w:val="center"/>
              <w:rPr>
                <w:rFonts w:ascii="Arial" w:hAnsi="Arial"/>
                <w:sz w:val="20"/>
              </w:rPr>
            </w:pPr>
            <w:r w:rsidRPr="009A2265">
              <w:rPr>
                <w:rFonts w:ascii="Arial" w:hAnsi="Arial"/>
              </w:rPr>
              <w:t>Handlungsanweisung der Direktorin</w:t>
            </w:r>
            <w:r w:rsidR="002129A1" w:rsidRPr="009A2265">
              <w:rPr>
                <w:rFonts w:ascii="Arial" w:hAnsi="Arial"/>
              </w:rPr>
              <w:br/>
            </w:r>
          </w:p>
        </w:tc>
        <w:bookmarkStart w:id="1" w:name="Dropdown1"/>
        <w:tc>
          <w:tcPr>
            <w:tcW w:w="2414" w:type="dxa"/>
            <w:tcBorders>
              <w:top w:val="single" w:sz="4" w:space="0" w:color="808080"/>
              <w:left w:val="single" w:sz="6" w:space="0" w:color="808080"/>
              <w:bottom w:val="nil"/>
              <w:right w:val="single" w:sz="4" w:space="0" w:color="808080"/>
            </w:tcBorders>
            <w:shd w:val="clear" w:color="auto" w:fill="F3F3F3"/>
          </w:tcPr>
          <w:p w14:paraId="7B4E6706" w14:textId="77777777" w:rsidR="002129A1" w:rsidRPr="009A2265" w:rsidRDefault="0053312E">
            <w:pPr>
              <w:pStyle w:val="WeisungKopfteil"/>
              <w:framePr w:hSpace="0" w:wrap="auto" w:vAnchor="margin" w:hAnchor="text" w:xAlign="left" w:yAlign="inline"/>
              <w:spacing w:after="0"/>
              <w:ind w:right="45"/>
              <w:jc w:val="right"/>
              <w:rPr>
                <w:rFonts w:ascii="Arial" w:hAnsi="Arial"/>
                <w:b w:val="0"/>
                <w:bCs/>
                <w:sz w:val="20"/>
              </w:rPr>
            </w:pPr>
            <w:r w:rsidRPr="009A2265">
              <w:rPr>
                <w:rFonts w:ascii="Arial" w:hAnsi="Arial"/>
              </w:rPr>
              <w:fldChar w:fldCharType="begin">
                <w:ffData>
                  <w:name w:val="Dropdown1"/>
                  <w:enabled/>
                  <w:calcOnExit w:val="0"/>
                  <w:ddList>
                    <w:listEntry w:val="Gültig ab:"/>
                    <w:listEntry w:val="Datum:"/>
                  </w:ddList>
                </w:ffData>
              </w:fldChar>
            </w:r>
            <w:r w:rsidRPr="009A2265">
              <w:rPr>
                <w:rFonts w:ascii="Arial" w:hAnsi="Arial"/>
              </w:rPr>
              <w:instrText xml:space="preserve"> FORMDROPDOWN </w:instrText>
            </w:r>
            <w:r w:rsidR="001D210C">
              <w:rPr>
                <w:rFonts w:ascii="Arial" w:hAnsi="Arial"/>
              </w:rPr>
            </w:r>
            <w:r w:rsidR="001D210C">
              <w:rPr>
                <w:rFonts w:ascii="Arial" w:hAnsi="Arial"/>
              </w:rPr>
              <w:fldChar w:fldCharType="separate"/>
            </w:r>
            <w:r w:rsidRPr="009A2265">
              <w:rPr>
                <w:rFonts w:ascii="Arial" w:hAnsi="Arial"/>
              </w:rPr>
              <w:fldChar w:fldCharType="end"/>
            </w:r>
            <w:bookmarkEnd w:id="1"/>
            <w:r w:rsidR="002129A1" w:rsidRPr="009A2265">
              <w:rPr>
                <w:rFonts w:ascii="Arial" w:hAnsi="Arial"/>
              </w:rPr>
              <w:t xml:space="preserve"> </w:t>
            </w:r>
          </w:p>
        </w:tc>
      </w:tr>
      <w:tr w:rsidR="002129A1" w:rsidRPr="009A2265" w14:paraId="7B4E670C" w14:textId="77777777">
        <w:trPr>
          <w:cantSplit/>
          <w:trHeight w:val="502"/>
        </w:trPr>
        <w:tc>
          <w:tcPr>
            <w:tcW w:w="2223" w:type="dxa"/>
            <w:tcBorders>
              <w:top w:val="nil"/>
              <w:left w:val="single" w:sz="4" w:space="0" w:color="808080"/>
              <w:bottom w:val="single" w:sz="6" w:space="0" w:color="808080"/>
              <w:right w:val="single" w:sz="6" w:space="0" w:color="808080"/>
            </w:tcBorders>
            <w:shd w:val="clear" w:color="auto" w:fill="F3F3F3"/>
          </w:tcPr>
          <w:p w14:paraId="7B4E6708" w14:textId="4C5DB3DB" w:rsidR="002129A1" w:rsidRPr="004A4FE2" w:rsidRDefault="00D47ACE" w:rsidP="001C5F9D">
            <w:pPr>
              <w:pStyle w:val="KeinLeerraum"/>
            </w:pPr>
            <w:r w:rsidRPr="001C5F9D">
              <w:rPr>
                <w:highlight w:val="yellow"/>
              </w:rPr>
              <w:t>SKOS</w:t>
            </w:r>
            <w:r w:rsidR="002013A3" w:rsidRPr="001C5F9D">
              <w:rPr>
                <w:b/>
                <w:bCs/>
                <w:highlight w:val="yellow"/>
              </w:rPr>
              <w:t xml:space="preserve"> </w:t>
            </w:r>
            <w:r w:rsidR="002013A3" w:rsidRPr="001C5F9D">
              <w:rPr>
                <w:bCs/>
                <w:highlight w:val="yellow"/>
              </w:rPr>
              <w:t>C</w:t>
            </w:r>
            <w:r w:rsidRPr="001C5F9D">
              <w:t xml:space="preserve"> </w:t>
            </w:r>
          </w:p>
        </w:tc>
        <w:tc>
          <w:tcPr>
            <w:tcW w:w="4453" w:type="dxa"/>
            <w:vMerge/>
            <w:tcBorders>
              <w:left w:val="single" w:sz="6" w:space="0" w:color="808080"/>
              <w:bottom w:val="single" w:sz="6" w:space="0" w:color="808080"/>
              <w:right w:val="single" w:sz="6" w:space="0" w:color="808080"/>
            </w:tcBorders>
            <w:shd w:val="clear" w:color="auto" w:fill="F3F3F3"/>
          </w:tcPr>
          <w:p w14:paraId="7B4E6709" w14:textId="77777777" w:rsidR="002129A1" w:rsidRPr="009A2265" w:rsidRDefault="002129A1">
            <w:pPr>
              <w:pStyle w:val="WeisungKopfteil"/>
              <w:framePr w:hSpace="0" w:wrap="auto" w:vAnchor="margin" w:hAnchor="text" w:xAlign="left" w:yAlign="inline"/>
              <w:spacing w:after="0"/>
              <w:jc w:val="center"/>
              <w:rPr>
                <w:rFonts w:ascii="Arial" w:hAnsi="Arial"/>
              </w:rPr>
            </w:pPr>
          </w:p>
        </w:tc>
        <w:tc>
          <w:tcPr>
            <w:tcW w:w="2414" w:type="dxa"/>
            <w:tcBorders>
              <w:top w:val="nil"/>
              <w:left w:val="single" w:sz="6" w:space="0" w:color="808080"/>
              <w:bottom w:val="single" w:sz="6" w:space="0" w:color="808080"/>
              <w:right w:val="single" w:sz="4" w:space="0" w:color="808080"/>
            </w:tcBorders>
            <w:shd w:val="clear" w:color="auto" w:fill="F3F3F3"/>
          </w:tcPr>
          <w:p w14:paraId="7B4E670A" w14:textId="733234B0" w:rsidR="002129A1" w:rsidRPr="009A2265" w:rsidRDefault="009716D2" w:rsidP="00820DD6">
            <w:pPr>
              <w:pStyle w:val="WeisungKopfteil"/>
              <w:framePr w:hSpace="0" w:wrap="auto" w:vAnchor="margin" w:hAnchor="text" w:xAlign="left" w:yAlign="inline"/>
              <w:spacing w:before="0" w:after="0"/>
              <w:ind w:right="45"/>
              <w:jc w:val="right"/>
              <w:rPr>
                <w:rFonts w:ascii="Arial" w:hAnsi="Arial"/>
                <w:b w:val="0"/>
                <w:bCs/>
                <w:sz w:val="20"/>
              </w:rPr>
            </w:pPr>
            <w:r w:rsidRPr="00D87D7E">
              <w:rPr>
                <w:rFonts w:ascii="Arial" w:hAnsi="Arial"/>
                <w:b w:val="0"/>
                <w:bCs/>
                <w:sz w:val="20"/>
                <w:highlight w:val="yellow"/>
              </w:rPr>
              <w:t>01.</w:t>
            </w:r>
            <w:r w:rsidR="00082985">
              <w:rPr>
                <w:rFonts w:ascii="Arial" w:hAnsi="Arial"/>
                <w:b w:val="0"/>
                <w:bCs/>
                <w:sz w:val="20"/>
                <w:highlight w:val="yellow"/>
              </w:rPr>
              <w:t>0</w:t>
            </w:r>
            <w:r w:rsidR="002013A3">
              <w:rPr>
                <w:rFonts w:ascii="Arial" w:hAnsi="Arial"/>
                <w:b w:val="0"/>
                <w:bCs/>
                <w:sz w:val="20"/>
                <w:highlight w:val="yellow"/>
              </w:rPr>
              <w:t>1</w:t>
            </w:r>
            <w:r w:rsidRPr="00D87D7E">
              <w:rPr>
                <w:rFonts w:ascii="Arial" w:hAnsi="Arial"/>
                <w:b w:val="0"/>
                <w:bCs/>
                <w:sz w:val="20"/>
                <w:highlight w:val="yellow"/>
              </w:rPr>
              <w:t>.202</w:t>
            </w:r>
            <w:r w:rsidR="002013A3">
              <w:rPr>
                <w:rFonts w:ascii="Arial" w:hAnsi="Arial"/>
                <w:b w:val="0"/>
                <w:bCs/>
                <w:sz w:val="20"/>
                <w:highlight w:val="yellow"/>
              </w:rPr>
              <w:t>1</w:t>
            </w:r>
          </w:p>
          <w:p w14:paraId="7B4E670B" w14:textId="1D8640D0" w:rsidR="00FE3243" w:rsidRPr="009A2265" w:rsidRDefault="00952B63" w:rsidP="002013A3">
            <w:pPr>
              <w:pStyle w:val="WeisungKopfteil"/>
              <w:framePr w:hSpace="0" w:wrap="auto" w:vAnchor="margin" w:hAnchor="text" w:xAlign="left" w:yAlign="inline"/>
              <w:spacing w:before="0" w:after="0"/>
              <w:ind w:right="45"/>
              <w:jc w:val="right"/>
              <w:rPr>
                <w:rFonts w:ascii="Arial" w:hAnsi="Arial"/>
              </w:rPr>
            </w:pPr>
            <w:r w:rsidRPr="009A2265">
              <w:rPr>
                <w:rFonts w:ascii="Arial" w:hAnsi="Arial"/>
                <w:b w:val="0"/>
                <w:bCs/>
                <w:sz w:val="20"/>
              </w:rPr>
              <w:t>e</w:t>
            </w:r>
            <w:r w:rsidR="00FE3243" w:rsidRPr="009A2265">
              <w:rPr>
                <w:rFonts w:ascii="Arial" w:hAnsi="Arial"/>
                <w:b w:val="0"/>
                <w:bCs/>
                <w:sz w:val="20"/>
              </w:rPr>
              <w:t>rsetzt</w:t>
            </w:r>
            <w:r w:rsidR="00104FCD" w:rsidRPr="009A2265">
              <w:rPr>
                <w:rFonts w:ascii="Arial" w:hAnsi="Arial"/>
                <w:b w:val="0"/>
                <w:bCs/>
                <w:sz w:val="20"/>
              </w:rPr>
              <w:t xml:space="preserve"> </w:t>
            </w:r>
            <w:r w:rsidR="008E3EDB">
              <w:t xml:space="preserve"> </w:t>
            </w:r>
            <w:r w:rsidR="00B31839">
              <w:rPr>
                <w:b w:val="0"/>
                <w:sz w:val="20"/>
                <w:szCs w:val="20"/>
              </w:rPr>
              <w:t>01.0</w:t>
            </w:r>
            <w:r w:rsidR="002013A3">
              <w:rPr>
                <w:b w:val="0"/>
                <w:sz w:val="20"/>
                <w:szCs w:val="20"/>
              </w:rPr>
              <w:t>4</w:t>
            </w:r>
            <w:r w:rsidR="00B31839">
              <w:rPr>
                <w:b w:val="0"/>
                <w:sz w:val="20"/>
                <w:szCs w:val="20"/>
              </w:rPr>
              <w:t>.20</w:t>
            </w:r>
            <w:r w:rsidR="002013A3">
              <w:rPr>
                <w:b w:val="0"/>
                <w:sz w:val="20"/>
                <w:szCs w:val="20"/>
              </w:rPr>
              <w:t>20</w:t>
            </w:r>
          </w:p>
        </w:tc>
      </w:tr>
      <w:tr w:rsidR="002129A1" w:rsidRPr="009A2265" w14:paraId="7B4E670E" w14:textId="77777777">
        <w:trPr>
          <w:cantSplit/>
          <w:trHeight w:val="410"/>
        </w:trPr>
        <w:tc>
          <w:tcPr>
            <w:tcW w:w="9090" w:type="dxa"/>
            <w:gridSpan w:val="3"/>
            <w:tcBorders>
              <w:top w:val="single" w:sz="6" w:space="0" w:color="808080"/>
              <w:left w:val="single" w:sz="4" w:space="0" w:color="808080"/>
              <w:bottom w:val="single" w:sz="4" w:space="0" w:color="808080"/>
              <w:right w:val="single" w:sz="4" w:space="0" w:color="808080"/>
            </w:tcBorders>
          </w:tcPr>
          <w:p w14:paraId="7B4E670D" w14:textId="77777777" w:rsidR="002129A1" w:rsidRPr="009A2265" w:rsidRDefault="00093CD6" w:rsidP="00981FA7">
            <w:pPr>
              <w:pStyle w:val="Titel"/>
              <w:framePr w:hSpace="0" w:wrap="auto" w:vAnchor="margin" w:hAnchor="text" w:xAlign="left" w:yAlign="inline"/>
            </w:pPr>
            <w:bookmarkStart w:id="2" w:name="OLE_LINK3"/>
            <w:bookmarkStart w:id="3" w:name="OLE_LINK4"/>
            <w:bookmarkStart w:id="4" w:name="_Hlk304798387"/>
            <w:r w:rsidRPr="005722E5">
              <w:t>Wohn</w:t>
            </w:r>
            <w:r w:rsidRPr="009A2265">
              <w:t>kosten</w:t>
            </w:r>
            <w:r w:rsidR="00B6574D" w:rsidRPr="009A2265">
              <w:t xml:space="preserve">: </w:t>
            </w:r>
            <w:r w:rsidR="0079608B" w:rsidRPr="009A2265">
              <w:t>Vorgaben der Sozialbehörde zum regulären</w:t>
            </w:r>
            <w:r w:rsidR="00D47ACE" w:rsidRPr="009A2265">
              <w:t xml:space="preserve"> Mietzins</w:t>
            </w:r>
            <w:r w:rsidR="0079608B" w:rsidRPr="009A2265">
              <w:t xml:space="preserve"> und Kompetenzen</w:t>
            </w:r>
            <w:bookmarkEnd w:id="2"/>
            <w:bookmarkEnd w:id="3"/>
          </w:p>
        </w:tc>
      </w:tr>
      <w:bookmarkEnd w:id="4"/>
    </w:tbl>
    <w:p w14:paraId="7B4E670F" w14:textId="77777777" w:rsidR="003415A9" w:rsidRPr="009A2265" w:rsidRDefault="003415A9">
      <w:pPr>
        <w:pStyle w:val="Absatz0"/>
        <w:sectPr w:rsidR="003415A9" w:rsidRPr="009A2265" w:rsidSect="003E5FC8">
          <w:headerReference w:type="default" r:id="rId14"/>
          <w:footerReference w:type="default" r:id="rId15"/>
          <w:headerReference w:type="first" r:id="rId16"/>
          <w:footerReference w:type="first" r:id="rId17"/>
          <w:pgSz w:w="11906" w:h="16838" w:code="9"/>
          <w:pgMar w:top="1985" w:right="1134" w:bottom="567" w:left="1701" w:header="567" w:footer="227" w:gutter="0"/>
          <w:cols w:space="720"/>
          <w:titlePg/>
          <w:docGrid w:linePitch="299"/>
        </w:sectPr>
      </w:pPr>
    </w:p>
    <w:p w14:paraId="7B4E6710" w14:textId="77777777" w:rsidR="00472C11" w:rsidRDefault="00176A47" w:rsidP="008C2B13">
      <w:pPr>
        <w:pStyle w:val="berschrift1"/>
        <w:numPr>
          <w:ilvl w:val="0"/>
          <w:numId w:val="0"/>
        </w:numPr>
        <w:ind w:left="432" w:hanging="432"/>
      </w:pPr>
      <w:r>
        <w:t>Inhalte</w:t>
      </w:r>
    </w:p>
    <w:p w14:paraId="7B4E6711" w14:textId="77777777" w:rsidR="00472C11" w:rsidRDefault="00472C11">
      <w:pPr>
        <w:pStyle w:val="Verzeichnis1"/>
        <w:rPr>
          <w:rFonts w:asciiTheme="minorHAnsi" w:eastAsiaTheme="minorEastAsia" w:hAnsiTheme="minorHAnsi" w:cstheme="minorBidi"/>
          <w:b w:val="0"/>
          <w:caps w:val="0"/>
          <w:noProof/>
          <w:szCs w:val="22"/>
          <w:lang w:eastAsia="de-CH"/>
        </w:rPr>
      </w:pPr>
      <w:r>
        <w:fldChar w:fldCharType="begin"/>
      </w:r>
      <w:r>
        <w:instrText xml:space="preserve"> TOC \o "1-1" \h \z \u </w:instrText>
      </w:r>
      <w:r>
        <w:fldChar w:fldCharType="separate"/>
      </w:r>
      <w:hyperlink w:anchor="_Toc509837189" w:history="1">
        <w:r w:rsidRPr="00441924">
          <w:rPr>
            <w:rStyle w:val="Hyperlink"/>
            <w:noProof/>
          </w:rPr>
          <w:t>1</w:t>
        </w:r>
        <w:r>
          <w:rPr>
            <w:rFonts w:asciiTheme="minorHAnsi" w:eastAsiaTheme="minorEastAsia" w:hAnsiTheme="minorHAnsi" w:cstheme="minorBidi"/>
            <w:b w:val="0"/>
            <w:caps w:val="0"/>
            <w:noProof/>
            <w:szCs w:val="22"/>
            <w:lang w:eastAsia="de-CH"/>
          </w:rPr>
          <w:tab/>
        </w:r>
        <w:r w:rsidRPr="00441924">
          <w:rPr>
            <w:rStyle w:val="Hyperlink"/>
            <w:noProof/>
          </w:rPr>
          <w:t>Grundlagen</w:t>
        </w:r>
        <w:r>
          <w:rPr>
            <w:noProof/>
            <w:webHidden/>
          </w:rPr>
          <w:tab/>
        </w:r>
        <w:r>
          <w:rPr>
            <w:noProof/>
            <w:webHidden/>
          </w:rPr>
          <w:fldChar w:fldCharType="begin"/>
        </w:r>
        <w:r>
          <w:rPr>
            <w:noProof/>
            <w:webHidden/>
          </w:rPr>
          <w:instrText xml:space="preserve"> PAGEREF _Toc509837189 \h </w:instrText>
        </w:r>
        <w:r>
          <w:rPr>
            <w:noProof/>
            <w:webHidden/>
          </w:rPr>
        </w:r>
        <w:r>
          <w:rPr>
            <w:noProof/>
            <w:webHidden/>
          </w:rPr>
          <w:fldChar w:fldCharType="separate"/>
        </w:r>
        <w:r w:rsidR="009F514E">
          <w:rPr>
            <w:noProof/>
            <w:webHidden/>
          </w:rPr>
          <w:t>1</w:t>
        </w:r>
        <w:r>
          <w:rPr>
            <w:noProof/>
            <w:webHidden/>
          </w:rPr>
          <w:fldChar w:fldCharType="end"/>
        </w:r>
      </w:hyperlink>
    </w:p>
    <w:p w14:paraId="7B4E6712" w14:textId="77777777" w:rsidR="00472C11" w:rsidRDefault="001D210C">
      <w:pPr>
        <w:pStyle w:val="Verzeichnis1"/>
        <w:rPr>
          <w:rFonts w:asciiTheme="minorHAnsi" w:eastAsiaTheme="minorEastAsia" w:hAnsiTheme="minorHAnsi" w:cstheme="minorBidi"/>
          <w:b w:val="0"/>
          <w:caps w:val="0"/>
          <w:noProof/>
          <w:szCs w:val="22"/>
          <w:lang w:eastAsia="de-CH"/>
        </w:rPr>
      </w:pPr>
      <w:hyperlink w:anchor="_Toc509837190" w:history="1">
        <w:r w:rsidR="00472C11" w:rsidRPr="00441924">
          <w:rPr>
            <w:rStyle w:val="Hyperlink"/>
            <w:noProof/>
          </w:rPr>
          <w:t>2</w:t>
        </w:r>
        <w:r w:rsidR="00472C11">
          <w:rPr>
            <w:rFonts w:asciiTheme="minorHAnsi" w:eastAsiaTheme="minorEastAsia" w:hAnsiTheme="minorHAnsi" w:cstheme="minorBidi"/>
            <w:b w:val="0"/>
            <w:caps w:val="0"/>
            <w:noProof/>
            <w:szCs w:val="22"/>
            <w:lang w:eastAsia="de-CH"/>
          </w:rPr>
          <w:tab/>
        </w:r>
        <w:r w:rsidR="00472C11" w:rsidRPr="00441924">
          <w:rPr>
            <w:rStyle w:val="Hyperlink"/>
            <w:noProof/>
          </w:rPr>
          <w:t>Maximal unbefristet zu übernehmender Mietzins</w:t>
        </w:r>
        <w:r w:rsidR="00472C11">
          <w:rPr>
            <w:noProof/>
            <w:webHidden/>
          </w:rPr>
          <w:tab/>
        </w:r>
        <w:r w:rsidR="00472C11">
          <w:rPr>
            <w:noProof/>
            <w:webHidden/>
          </w:rPr>
          <w:fldChar w:fldCharType="begin"/>
        </w:r>
        <w:r w:rsidR="00472C11">
          <w:rPr>
            <w:noProof/>
            <w:webHidden/>
          </w:rPr>
          <w:instrText xml:space="preserve"> PAGEREF _Toc509837190 \h </w:instrText>
        </w:r>
        <w:r w:rsidR="00472C11">
          <w:rPr>
            <w:noProof/>
            <w:webHidden/>
          </w:rPr>
        </w:r>
        <w:r w:rsidR="00472C11">
          <w:rPr>
            <w:noProof/>
            <w:webHidden/>
          </w:rPr>
          <w:fldChar w:fldCharType="separate"/>
        </w:r>
        <w:r w:rsidR="009F514E">
          <w:rPr>
            <w:noProof/>
            <w:webHidden/>
          </w:rPr>
          <w:t>1</w:t>
        </w:r>
        <w:r w:rsidR="00472C11">
          <w:rPr>
            <w:noProof/>
            <w:webHidden/>
          </w:rPr>
          <w:fldChar w:fldCharType="end"/>
        </w:r>
      </w:hyperlink>
    </w:p>
    <w:p w14:paraId="7B4E6713" w14:textId="77777777" w:rsidR="00472C11" w:rsidRDefault="001D210C">
      <w:pPr>
        <w:pStyle w:val="Verzeichnis1"/>
        <w:rPr>
          <w:rFonts w:asciiTheme="minorHAnsi" w:eastAsiaTheme="minorEastAsia" w:hAnsiTheme="minorHAnsi" w:cstheme="minorBidi"/>
          <w:b w:val="0"/>
          <w:caps w:val="0"/>
          <w:noProof/>
          <w:szCs w:val="22"/>
          <w:lang w:eastAsia="de-CH"/>
        </w:rPr>
      </w:pPr>
      <w:hyperlink w:anchor="_Toc509837191" w:history="1">
        <w:r w:rsidR="00472C11" w:rsidRPr="008C2B13">
          <w:rPr>
            <w:rStyle w:val="Hyperlink"/>
            <w:noProof/>
          </w:rPr>
          <w:t>3</w:t>
        </w:r>
        <w:r w:rsidR="00472C11" w:rsidRPr="00492CC7">
          <w:rPr>
            <w:rFonts w:asciiTheme="minorHAnsi" w:eastAsiaTheme="minorEastAsia" w:hAnsiTheme="minorHAnsi" w:cstheme="minorBidi"/>
            <w:b w:val="0"/>
            <w:caps w:val="0"/>
            <w:noProof/>
            <w:szCs w:val="22"/>
            <w:lang w:eastAsia="de-CH"/>
          </w:rPr>
          <w:tab/>
        </w:r>
        <w:r w:rsidR="00472C11" w:rsidRPr="008C2B13">
          <w:rPr>
            <w:rStyle w:val="Hyperlink"/>
            <w:noProof/>
          </w:rPr>
          <w:t>Vorgehen bei zu hohem Mietzins</w:t>
        </w:r>
        <w:r w:rsidR="00472C11">
          <w:rPr>
            <w:noProof/>
            <w:webHidden/>
          </w:rPr>
          <w:tab/>
        </w:r>
        <w:r w:rsidR="00472C11">
          <w:rPr>
            <w:noProof/>
            <w:webHidden/>
          </w:rPr>
          <w:fldChar w:fldCharType="begin"/>
        </w:r>
        <w:r w:rsidR="00472C11">
          <w:rPr>
            <w:noProof/>
            <w:webHidden/>
          </w:rPr>
          <w:instrText xml:space="preserve"> PAGEREF _Toc509837191 \h </w:instrText>
        </w:r>
        <w:r w:rsidR="00472C11">
          <w:rPr>
            <w:noProof/>
            <w:webHidden/>
          </w:rPr>
        </w:r>
        <w:r w:rsidR="00472C11">
          <w:rPr>
            <w:noProof/>
            <w:webHidden/>
          </w:rPr>
          <w:fldChar w:fldCharType="separate"/>
        </w:r>
        <w:r w:rsidR="009F514E">
          <w:rPr>
            <w:noProof/>
            <w:webHidden/>
          </w:rPr>
          <w:t>3</w:t>
        </w:r>
        <w:r w:rsidR="00472C11">
          <w:rPr>
            <w:noProof/>
            <w:webHidden/>
          </w:rPr>
          <w:fldChar w:fldCharType="end"/>
        </w:r>
      </w:hyperlink>
    </w:p>
    <w:p w14:paraId="7B4E6714" w14:textId="77777777" w:rsidR="00472C11" w:rsidRDefault="001D210C">
      <w:pPr>
        <w:pStyle w:val="Verzeichnis1"/>
        <w:rPr>
          <w:rFonts w:asciiTheme="minorHAnsi" w:eastAsiaTheme="minorEastAsia" w:hAnsiTheme="minorHAnsi" w:cstheme="minorBidi"/>
          <w:b w:val="0"/>
          <w:caps w:val="0"/>
          <w:noProof/>
          <w:szCs w:val="22"/>
          <w:lang w:eastAsia="de-CH"/>
        </w:rPr>
      </w:pPr>
      <w:hyperlink w:anchor="_Toc509837192" w:history="1">
        <w:r w:rsidR="00472C11" w:rsidRPr="00441924">
          <w:rPr>
            <w:rStyle w:val="Hyperlink"/>
            <w:noProof/>
          </w:rPr>
          <w:t>4</w:t>
        </w:r>
        <w:r w:rsidR="00472C11">
          <w:rPr>
            <w:rFonts w:asciiTheme="minorHAnsi" w:eastAsiaTheme="minorEastAsia" w:hAnsiTheme="minorHAnsi" w:cstheme="minorBidi"/>
            <w:b w:val="0"/>
            <w:caps w:val="0"/>
            <w:noProof/>
            <w:szCs w:val="22"/>
            <w:lang w:eastAsia="de-CH"/>
          </w:rPr>
          <w:tab/>
        </w:r>
        <w:r w:rsidR="00472C11" w:rsidRPr="00441924">
          <w:rPr>
            <w:rStyle w:val="Hyperlink"/>
            <w:noProof/>
          </w:rPr>
          <w:t>Spezialsituation: junge Erwachsene</w:t>
        </w:r>
        <w:r w:rsidR="00472C11">
          <w:rPr>
            <w:noProof/>
            <w:webHidden/>
          </w:rPr>
          <w:tab/>
        </w:r>
        <w:r w:rsidR="00472C11">
          <w:rPr>
            <w:noProof/>
            <w:webHidden/>
          </w:rPr>
          <w:fldChar w:fldCharType="begin"/>
        </w:r>
        <w:r w:rsidR="00472C11">
          <w:rPr>
            <w:noProof/>
            <w:webHidden/>
          </w:rPr>
          <w:instrText xml:space="preserve"> PAGEREF _Toc509837192 \h </w:instrText>
        </w:r>
        <w:r w:rsidR="00472C11">
          <w:rPr>
            <w:noProof/>
            <w:webHidden/>
          </w:rPr>
        </w:r>
        <w:r w:rsidR="00472C11">
          <w:rPr>
            <w:noProof/>
            <w:webHidden/>
          </w:rPr>
          <w:fldChar w:fldCharType="separate"/>
        </w:r>
        <w:r w:rsidR="009F514E">
          <w:rPr>
            <w:noProof/>
            <w:webHidden/>
          </w:rPr>
          <w:t>4</w:t>
        </w:r>
        <w:r w:rsidR="00472C11">
          <w:rPr>
            <w:noProof/>
            <w:webHidden/>
          </w:rPr>
          <w:fldChar w:fldCharType="end"/>
        </w:r>
      </w:hyperlink>
    </w:p>
    <w:p w14:paraId="7B4E6715" w14:textId="77777777" w:rsidR="00472C11" w:rsidRDefault="001D210C">
      <w:pPr>
        <w:pStyle w:val="Verzeichnis1"/>
        <w:rPr>
          <w:rFonts w:asciiTheme="minorHAnsi" w:eastAsiaTheme="minorEastAsia" w:hAnsiTheme="minorHAnsi" w:cstheme="minorBidi"/>
          <w:b w:val="0"/>
          <w:caps w:val="0"/>
          <w:noProof/>
          <w:szCs w:val="22"/>
          <w:lang w:eastAsia="de-CH"/>
        </w:rPr>
      </w:pPr>
      <w:hyperlink w:anchor="_Toc509837193" w:history="1">
        <w:r w:rsidR="00472C11" w:rsidRPr="00441924">
          <w:rPr>
            <w:rStyle w:val="Hyperlink"/>
            <w:noProof/>
          </w:rPr>
          <w:t>5</w:t>
        </w:r>
        <w:r w:rsidR="00472C11">
          <w:rPr>
            <w:rFonts w:asciiTheme="minorHAnsi" w:eastAsiaTheme="minorEastAsia" w:hAnsiTheme="minorHAnsi" w:cstheme="minorBidi"/>
            <w:b w:val="0"/>
            <w:caps w:val="0"/>
            <w:noProof/>
            <w:szCs w:val="22"/>
            <w:lang w:eastAsia="de-CH"/>
          </w:rPr>
          <w:tab/>
        </w:r>
        <w:r w:rsidR="00472C11" w:rsidRPr="00441924">
          <w:rPr>
            <w:rStyle w:val="Hyperlink"/>
            <w:noProof/>
          </w:rPr>
          <w:t xml:space="preserve">Einzelfragen im Zusammenhang mit der Finanzierung von </w:t>
        </w:r>
        <w:r w:rsidR="009641C3">
          <w:rPr>
            <w:rStyle w:val="Hyperlink"/>
            <w:noProof/>
          </w:rPr>
          <w:t>Wohn</w:t>
        </w:r>
        <w:r w:rsidR="00472C11" w:rsidRPr="00441924">
          <w:rPr>
            <w:rStyle w:val="Hyperlink"/>
            <w:noProof/>
          </w:rPr>
          <w:t>kosten</w:t>
        </w:r>
        <w:r w:rsidR="00472C11">
          <w:rPr>
            <w:noProof/>
            <w:webHidden/>
          </w:rPr>
          <w:tab/>
        </w:r>
        <w:r w:rsidR="00472C11">
          <w:rPr>
            <w:noProof/>
            <w:webHidden/>
          </w:rPr>
          <w:fldChar w:fldCharType="begin"/>
        </w:r>
        <w:r w:rsidR="00472C11">
          <w:rPr>
            <w:noProof/>
            <w:webHidden/>
          </w:rPr>
          <w:instrText xml:space="preserve"> PAGEREF _Toc509837193 \h </w:instrText>
        </w:r>
        <w:r w:rsidR="00472C11">
          <w:rPr>
            <w:noProof/>
            <w:webHidden/>
          </w:rPr>
        </w:r>
        <w:r w:rsidR="00472C11">
          <w:rPr>
            <w:noProof/>
            <w:webHidden/>
          </w:rPr>
          <w:fldChar w:fldCharType="separate"/>
        </w:r>
        <w:r w:rsidR="009F514E">
          <w:rPr>
            <w:noProof/>
            <w:webHidden/>
          </w:rPr>
          <w:t>4</w:t>
        </w:r>
        <w:r w:rsidR="00472C11">
          <w:rPr>
            <w:noProof/>
            <w:webHidden/>
          </w:rPr>
          <w:fldChar w:fldCharType="end"/>
        </w:r>
      </w:hyperlink>
    </w:p>
    <w:p w14:paraId="7B4E6716" w14:textId="77777777" w:rsidR="00472C11" w:rsidRDefault="00472C11">
      <w:r>
        <w:fldChar w:fldCharType="end"/>
      </w:r>
    </w:p>
    <w:p w14:paraId="7B4E6717" w14:textId="77777777" w:rsidR="002129A1" w:rsidRPr="00472C11" w:rsidRDefault="00D47ACE" w:rsidP="00472C11">
      <w:pPr>
        <w:pStyle w:val="berschrift1"/>
        <w:rPr>
          <w:rFonts w:cs="Arial"/>
        </w:rPr>
      </w:pPr>
      <w:bookmarkStart w:id="5" w:name="_Toc509836623"/>
      <w:bookmarkStart w:id="6" w:name="_Toc509837189"/>
      <w:r w:rsidRPr="00472C11">
        <w:rPr>
          <w:rFonts w:cs="Arial"/>
        </w:rPr>
        <w:t>Grundlagen</w:t>
      </w:r>
      <w:bookmarkEnd w:id="5"/>
      <w:bookmarkEnd w:id="6"/>
    </w:p>
    <w:p w14:paraId="7B4E6718" w14:textId="11CFB791" w:rsidR="00EA122A" w:rsidRPr="009A2265" w:rsidRDefault="00D47ACE">
      <w:pPr>
        <w:pStyle w:val="Absatz0"/>
      </w:pPr>
      <w:r w:rsidRPr="009A2265">
        <w:t xml:space="preserve">Die Grundsätze zur Bemessung </w:t>
      </w:r>
      <w:r w:rsidRPr="00D85E31">
        <w:t xml:space="preserve">der </w:t>
      </w:r>
      <w:r w:rsidR="00420919" w:rsidRPr="00D85E31">
        <w:t>Wohnkosten</w:t>
      </w:r>
      <w:r w:rsidR="00420919" w:rsidRPr="009A2265">
        <w:t xml:space="preserve"> </w:t>
      </w:r>
      <w:r w:rsidRPr="009A2265">
        <w:t>im Unterstützungsbudget sind in den SKOS-Richtlinien (</w:t>
      </w:r>
      <w:r w:rsidRPr="001C5F9D">
        <w:rPr>
          <w:highlight w:val="yellow"/>
        </w:rPr>
        <w:t xml:space="preserve">Kapitel </w:t>
      </w:r>
      <w:r w:rsidR="002013A3" w:rsidRPr="001C5F9D">
        <w:rPr>
          <w:highlight w:val="yellow"/>
        </w:rPr>
        <w:t>C</w:t>
      </w:r>
      <w:r w:rsidRPr="001C5F9D">
        <w:rPr>
          <w:highlight w:val="yellow"/>
        </w:rPr>
        <w:t>.</w:t>
      </w:r>
      <w:r w:rsidR="002013A3" w:rsidRPr="001C5F9D">
        <w:rPr>
          <w:highlight w:val="yellow"/>
        </w:rPr>
        <w:t>4</w:t>
      </w:r>
      <w:r w:rsidRPr="009A2265">
        <w:t xml:space="preserve">) sowie in der Richtlinie der Sozialbehörde für die </w:t>
      </w:r>
      <w:r w:rsidR="000A2A71" w:rsidRPr="009A2265">
        <w:t>Bem</w:t>
      </w:r>
      <w:r w:rsidRPr="009A2265">
        <w:t xml:space="preserve">essung </w:t>
      </w:r>
      <w:r w:rsidRPr="00D85E31">
        <w:t xml:space="preserve">der </w:t>
      </w:r>
      <w:r w:rsidR="00420919" w:rsidRPr="00D85E31">
        <w:t>Wohnkosten</w:t>
      </w:r>
      <w:r w:rsidR="00420919" w:rsidRPr="009A2265">
        <w:t xml:space="preserve"> </w:t>
      </w:r>
      <w:r w:rsidRPr="009A2265">
        <w:t>im Unterstützun</w:t>
      </w:r>
      <w:r w:rsidR="004F3E85" w:rsidRPr="009A2265">
        <w:t xml:space="preserve">gsbudget vom </w:t>
      </w:r>
      <w:r w:rsidR="00627F00" w:rsidRPr="005722E5">
        <w:t>0</w:t>
      </w:r>
      <w:r w:rsidR="00413CD5" w:rsidRPr="005722E5">
        <w:t xml:space="preserve">1. März </w:t>
      </w:r>
      <w:r w:rsidR="00627F00" w:rsidRPr="005722E5">
        <w:t>2018</w:t>
      </w:r>
      <w:r w:rsidR="00413CD5">
        <w:t xml:space="preserve"> </w:t>
      </w:r>
      <w:r w:rsidRPr="009A2265">
        <w:t>geregelt</w:t>
      </w:r>
      <w:r w:rsidR="007023CE" w:rsidRPr="009A2265">
        <w:t xml:space="preserve"> (</w:t>
      </w:r>
      <w:r w:rsidR="007023CE" w:rsidRPr="00D85E31">
        <w:t xml:space="preserve">RL </w:t>
      </w:r>
      <w:r w:rsidR="00420919" w:rsidRPr="00D85E31">
        <w:t>Wohnkosten</w:t>
      </w:r>
      <w:r w:rsidR="00231941" w:rsidRPr="009A2265">
        <w:t>)</w:t>
      </w:r>
      <w:r w:rsidRPr="009A2265">
        <w:t>.</w:t>
      </w:r>
    </w:p>
    <w:p w14:paraId="7B4E6719" w14:textId="77777777" w:rsidR="00430562" w:rsidRPr="009A2265" w:rsidRDefault="00430562">
      <w:pPr>
        <w:pStyle w:val="Absatz0"/>
        <w:rPr>
          <w:sz w:val="10"/>
          <w:szCs w:val="10"/>
        </w:rPr>
      </w:pPr>
    </w:p>
    <w:p w14:paraId="7B4E671A" w14:textId="77777777" w:rsidR="00430562" w:rsidRPr="009A2265" w:rsidRDefault="0079608B" w:rsidP="00430562">
      <w:pPr>
        <w:pStyle w:val="Aufzhlung"/>
        <w:numPr>
          <w:ilvl w:val="0"/>
          <w:numId w:val="0"/>
        </w:numPr>
      </w:pPr>
      <w:r w:rsidRPr="009A2265">
        <w:t>Die Kosten für die Wohnungsmiete sind anhand des Mietvertrags zu ermitteln und im</w:t>
      </w:r>
      <w:r w:rsidR="00430562" w:rsidRPr="009A2265">
        <w:t xml:space="preserve"> Unterstützungsbudget </w:t>
      </w:r>
      <w:r w:rsidR="00F43B23" w:rsidRPr="009A2265">
        <w:t>der</w:t>
      </w:r>
      <w:r w:rsidR="00430562" w:rsidRPr="009A2265">
        <w:t xml:space="preserve"> zu unterstützenden Person</w:t>
      </w:r>
      <w:r w:rsidR="00F43B23" w:rsidRPr="009A2265">
        <w:t>/en voll anzurechnen</w:t>
      </w:r>
      <w:r w:rsidR="00430562" w:rsidRPr="009A2265">
        <w:t xml:space="preserve">, soweit </w:t>
      </w:r>
      <w:r w:rsidR="007023CE" w:rsidRPr="009A2265">
        <w:t xml:space="preserve">sie </w:t>
      </w:r>
      <w:r w:rsidR="00430562" w:rsidRPr="009A2265">
        <w:t>im ort</w:t>
      </w:r>
      <w:r w:rsidR="007023CE" w:rsidRPr="009A2265">
        <w:t>s</w:t>
      </w:r>
      <w:r w:rsidR="00430562" w:rsidRPr="009A2265">
        <w:t xml:space="preserve">üblichen Rahmen </w:t>
      </w:r>
      <w:r w:rsidR="007023CE" w:rsidRPr="009A2265">
        <w:t>liegen</w:t>
      </w:r>
      <w:r w:rsidR="00430562" w:rsidRPr="009A2265">
        <w:t>. Die Sozialbehörde hat</w:t>
      </w:r>
      <w:r w:rsidR="00480196" w:rsidRPr="009A2265">
        <w:t xml:space="preserve"> diesen</w:t>
      </w:r>
      <w:r w:rsidR="00430562" w:rsidRPr="009A2265">
        <w:t xml:space="preserve"> </w:t>
      </w:r>
      <w:r w:rsidR="00F43B23" w:rsidRPr="009A2265">
        <w:t xml:space="preserve">Rahmen </w:t>
      </w:r>
      <w:r w:rsidR="00430562" w:rsidRPr="009A2265">
        <w:t>für die Stadt Zürich</w:t>
      </w:r>
      <w:r w:rsidR="00480196" w:rsidRPr="009A2265">
        <w:t xml:space="preserve"> </w:t>
      </w:r>
      <w:r w:rsidR="00430562" w:rsidRPr="009A2265">
        <w:t>festgelegt</w:t>
      </w:r>
      <w:r w:rsidR="00231941" w:rsidRPr="009A2265">
        <w:t xml:space="preserve"> (</w:t>
      </w:r>
      <w:r w:rsidR="00231941" w:rsidRPr="00D85E31">
        <w:t xml:space="preserve">RL </w:t>
      </w:r>
      <w:r w:rsidR="0096761B" w:rsidRPr="00D85E31">
        <w:t>Wohnkosten</w:t>
      </w:r>
      <w:r w:rsidR="00231941" w:rsidRPr="009A2265">
        <w:t>)</w:t>
      </w:r>
      <w:r w:rsidR="00430562" w:rsidRPr="009A2265">
        <w:t>.</w:t>
      </w:r>
    </w:p>
    <w:p w14:paraId="7B4E671B" w14:textId="77777777" w:rsidR="00D47ACE" w:rsidRPr="009A2265" w:rsidRDefault="00D47ACE">
      <w:pPr>
        <w:pStyle w:val="Absatz0"/>
        <w:rPr>
          <w:sz w:val="10"/>
          <w:szCs w:val="10"/>
        </w:rPr>
      </w:pPr>
    </w:p>
    <w:p w14:paraId="7B4E671C" w14:textId="77777777" w:rsidR="008F1B48" w:rsidRPr="009A2265" w:rsidRDefault="00D47ACE">
      <w:pPr>
        <w:pStyle w:val="Absatz0"/>
      </w:pPr>
      <w:r w:rsidRPr="009A2265">
        <w:t>Die vorliegend</w:t>
      </w:r>
      <w:r w:rsidR="007023CE" w:rsidRPr="009A2265">
        <w:t>e</w:t>
      </w:r>
      <w:r w:rsidRPr="009A2265">
        <w:t xml:space="preserve"> Handlungsanweisung (HAW)</w:t>
      </w:r>
    </w:p>
    <w:p w14:paraId="7B4E671D" w14:textId="77777777" w:rsidR="00536F90" w:rsidRPr="009A2265" w:rsidRDefault="00536F90" w:rsidP="00536F90">
      <w:pPr>
        <w:pStyle w:val="Aufzhlung"/>
      </w:pPr>
      <w:r w:rsidRPr="009A2265">
        <w:t xml:space="preserve">gibt </w:t>
      </w:r>
      <w:r w:rsidR="00480196" w:rsidRPr="009A2265">
        <w:t>den</w:t>
      </w:r>
      <w:r w:rsidRPr="009A2265">
        <w:t xml:space="preserve"> von der Sozialbehörde </w:t>
      </w:r>
      <w:r w:rsidR="00430562" w:rsidRPr="009A2265">
        <w:t xml:space="preserve">festgelegten </w:t>
      </w:r>
      <w:r w:rsidR="00480196" w:rsidRPr="009A2265">
        <w:t xml:space="preserve">ortsüblichen </w:t>
      </w:r>
      <w:r w:rsidR="00430562" w:rsidRPr="009A2265">
        <w:t>Rahmen wieder</w:t>
      </w:r>
      <w:r w:rsidRPr="009A2265">
        <w:t>;</w:t>
      </w:r>
    </w:p>
    <w:p w14:paraId="7B4E671E" w14:textId="77777777" w:rsidR="00536F90" w:rsidRPr="009A2265" w:rsidRDefault="00536F90" w:rsidP="00420919">
      <w:pPr>
        <w:pStyle w:val="Aufzhlung"/>
      </w:pPr>
      <w:r w:rsidRPr="009A2265">
        <w:t xml:space="preserve">legt die jeweiligen Ausgabenkompetenzen fest, wenn der Mietzins </w:t>
      </w:r>
      <w:r w:rsidR="00430562" w:rsidRPr="009A2265">
        <w:t>der zu</w:t>
      </w:r>
      <w:r w:rsidRPr="009A2265">
        <w:t xml:space="preserve"> unterstützenden Personen innerhalb </w:t>
      </w:r>
      <w:r w:rsidR="00430562" w:rsidRPr="009A2265">
        <w:t>dieses Rahmens liegt und</w:t>
      </w:r>
    </w:p>
    <w:p w14:paraId="7B4E671F" w14:textId="77777777" w:rsidR="008F1B48" w:rsidRPr="009A2265" w:rsidRDefault="00536F90" w:rsidP="008F1B48">
      <w:pPr>
        <w:pStyle w:val="Aufzhlung"/>
      </w:pPr>
      <w:r w:rsidRPr="009A2265">
        <w:t>regelt Einzelfragen im Zusammenhang mit de</w:t>
      </w:r>
      <w:r w:rsidR="00430562" w:rsidRPr="009A2265">
        <w:t xml:space="preserve">n </w:t>
      </w:r>
      <w:r w:rsidRPr="009A2265">
        <w:t>Mietkosten.</w:t>
      </w:r>
    </w:p>
    <w:p w14:paraId="7B4E6720" w14:textId="77777777" w:rsidR="00536F90" w:rsidRPr="009A2265" w:rsidRDefault="00536F90" w:rsidP="00536F90">
      <w:pPr>
        <w:pStyle w:val="berschrift1"/>
        <w:rPr>
          <w:rFonts w:cs="Arial"/>
        </w:rPr>
      </w:pPr>
      <w:bookmarkStart w:id="7" w:name="_Toc509836624"/>
      <w:bookmarkStart w:id="8" w:name="_Toc509837190"/>
      <w:r w:rsidRPr="009A2265">
        <w:rPr>
          <w:rFonts w:cs="Arial"/>
        </w:rPr>
        <w:t>Maximal unbefristet zu übernehmender Mietzins</w:t>
      </w:r>
      <w:bookmarkEnd w:id="7"/>
      <w:bookmarkEnd w:id="8"/>
    </w:p>
    <w:p w14:paraId="7B4E6721" w14:textId="77777777" w:rsidR="00E402A0" w:rsidRPr="009A2265" w:rsidRDefault="00E402A0" w:rsidP="00B6574D">
      <w:pPr>
        <w:pStyle w:val="Absatz0"/>
      </w:pPr>
      <w:r w:rsidRPr="009A2265">
        <w:t xml:space="preserve">Besteht </w:t>
      </w:r>
      <w:r w:rsidR="00A66F32" w:rsidRPr="009A2265">
        <w:t>zum Zeitpunkt des</w:t>
      </w:r>
      <w:r w:rsidRPr="009A2265">
        <w:t xml:space="preserve"> Unterstützungsbeginn</w:t>
      </w:r>
      <w:r w:rsidR="00A66F32" w:rsidRPr="009A2265">
        <w:t>s</w:t>
      </w:r>
      <w:r w:rsidRPr="009A2265">
        <w:t xml:space="preserve"> bereits ein Mietverhältnis, wird der Miet</w:t>
      </w:r>
      <w:r w:rsidR="007023CE" w:rsidRPr="009A2265">
        <w:t>zins (inkl. Neben</w:t>
      </w:r>
      <w:r w:rsidRPr="009A2265">
        <w:t xml:space="preserve">kostenakonto nach Mietvertrag) unbefristet in der Bedarfsrechnung berücksichtigt, </w:t>
      </w:r>
      <w:r w:rsidR="00480196" w:rsidRPr="009A2265">
        <w:t>sofern</w:t>
      </w:r>
      <w:r w:rsidRPr="009A2265">
        <w:t xml:space="preserve"> er innerhalb der nachfolgenden </w:t>
      </w:r>
      <w:r w:rsidR="004C2256" w:rsidRPr="009A2265">
        <w:t>Maximalbeträge</w:t>
      </w:r>
      <w:r w:rsidRPr="009A2265">
        <w:t xml:space="preserve"> liegt:</w:t>
      </w:r>
    </w:p>
    <w:p w14:paraId="7B4E6722" w14:textId="77777777" w:rsidR="00E03184" w:rsidRDefault="00E03184" w:rsidP="00B6574D">
      <w:pPr>
        <w:pStyle w:val="Absatz0"/>
      </w:pPr>
      <w:r>
        <w:br w:type="page"/>
      </w:r>
    </w:p>
    <w:p w14:paraId="7B4E6723" w14:textId="77777777" w:rsidR="00536F90" w:rsidRPr="009A2265" w:rsidRDefault="00536F90" w:rsidP="00E03184">
      <w:pPr>
        <w:spacing w:after="240"/>
        <w:ind w:left="284" w:hanging="284"/>
      </w:pPr>
      <w:r w:rsidRPr="009A2265">
        <w:lastRenderedPageBreak/>
        <w:t>a)</w:t>
      </w:r>
      <w:r w:rsidR="00E03184">
        <w:tab/>
      </w:r>
      <w:r w:rsidRPr="009A2265">
        <w:t xml:space="preserve">bei Einzelpersonen, Ehepaaren, eingetragenen Partnerschaften, Familien, Konkubinaten, Einelternfamilien, </w:t>
      </w:r>
      <w:r w:rsidR="007023CE" w:rsidRPr="009A2265">
        <w:t>sowie Geschwistern und anderen familienähnlichen Wohngemeinschaften</w:t>
      </w:r>
      <w:r w:rsidR="00DC53BD">
        <w:t xml:space="preserve"> </w:t>
      </w:r>
      <w:r w:rsidR="00DC53BD" w:rsidRPr="005722E5">
        <w:t xml:space="preserve">in regulärer Wohnung </w:t>
      </w:r>
      <w:r w:rsidR="00DC53BD" w:rsidRPr="007A768F">
        <w:t>(mit Bad/Du/WC und Küche zur eigenen Benützung)</w:t>
      </w:r>
      <w:r w:rsidR="007023CE" w:rsidRPr="007A768F">
        <w:t>:</w:t>
      </w:r>
      <w:r w:rsidR="007023CE" w:rsidRPr="009A2265">
        <w:t xml:space="preserve"> </w:t>
      </w:r>
    </w:p>
    <w:tbl>
      <w:tblPr>
        <w:tblW w:w="9130" w:type="dxa"/>
        <w:tblInd w:w="108" w:type="dxa"/>
        <w:tblBorders>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153"/>
        <w:gridCol w:w="4977"/>
      </w:tblGrid>
      <w:tr w:rsidR="0066644E" w:rsidRPr="009A2265" w14:paraId="7B4E6726" w14:textId="77777777" w:rsidTr="00C62D56">
        <w:tc>
          <w:tcPr>
            <w:tcW w:w="4153" w:type="dxa"/>
            <w:tcBorders>
              <w:top w:val="single" w:sz="4" w:space="0" w:color="auto"/>
              <w:left w:val="single" w:sz="4" w:space="0" w:color="auto"/>
            </w:tcBorders>
          </w:tcPr>
          <w:p w14:paraId="7B4E6724" w14:textId="77777777" w:rsidR="0066644E" w:rsidRPr="009A2265" w:rsidRDefault="00E402A0" w:rsidP="008C5167">
            <w:pPr>
              <w:pStyle w:val="Absatz0"/>
              <w:rPr>
                <w:i/>
                <w:sz w:val="21"/>
                <w:szCs w:val="21"/>
              </w:rPr>
            </w:pPr>
            <w:r w:rsidRPr="009A2265">
              <w:rPr>
                <w:i/>
                <w:sz w:val="21"/>
                <w:szCs w:val="21"/>
              </w:rPr>
              <w:t>Haushaltform</w:t>
            </w:r>
          </w:p>
        </w:tc>
        <w:tc>
          <w:tcPr>
            <w:tcW w:w="4977" w:type="dxa"/>
            <w:tcBorders>
              <w:top w:val="single" w:sz="4" w:space="0" w:color="auto"/>
            </w:tcBorders>
          </w:tcPr>
          <w:p w14:paraId="7B4E6725" w14:textId="77777777" w:rsidR="0066644E" w:rsidRPr="009A2265" w:rsidRDefault="0066644E" w:rsidP="008C5167">
            <w:pPr>
              <w:pStyle w:val="Absatz0"/>
              <w:rPr>
                <w:i/>
                <w:sz w:val="21"/>
                <w:szCs w:val="21"/>
              </w:rPr>
            </w:pPr>
            <w:r w:rsidRPr="009A2265">
              <w:rPr>
                <w:i/>
                <w:sz w:val="21"/>
                <w:szCs w:val="21"/>
              </w:rPr>
              <w:t xml:space="preserve">Gesamtmiete für </w:t>
            </w:r>
            <w:r w:rsidR="00473892" w:rsidRPr="009A2265">
              <w:rPr>
                <w:i/>
                <w:sz w:val="21"/>
                <w:szCs w:val="21"/>
              </w:rPr>
              <w:t>H</w:t>
            </w:r>
            <w:r w:rsidRPr="009A2265">
              <w:rPr>
                <w:i/>
                <w:sz w:val="21"/>
                <w:szCs w:val="21"/>
              </w:rPr>
              <w:t>aushalt</w:t>
            </w:r>
            <w:r w:rsidR="00C8574D">
              <w:rPr>
                <w:i/>
                <w:sz w:val="21"/>
                <w:szCs w:val="21"/>
              </w:rPr>
              <w:t xml:space="preserve"> </w:t>
            </w:r>
            <w:r w:rsidR="00C8574D" w:rsidRPr="005722E5">
              <w:rPr>
                <w:i/>
                <w:sz w:val="21"/>
                <w:szCs w:val="21"/>
              </w:rPr>
              <w:t>pro Monat</w:t>
            </w:r>
          </w:p>
        </w:tc>
      </w:tr>
      <w:tr w:rsidR="00473892" w:rsidRPr="009A2265" w14:paraId="7B4E6729" w14:textId="77777777" w:rsidTr="00C62D56">
        <w:tc>
          <w:tcPr>
            <w:tcW w:w="4153" w:type="dxa"/>
            <w:tcBorders>
              <w:top w:val="single" w:sz="4" w:space="0" w:color="auto"/>
              <w:left w:val="single" w:sz="4" w:space="0" w:color="auto"/>
              <w:bottom w:val="single" w:sz="4" w:space="0" w:color="auto"/>
            </w:tcBorders>
          </w:tcPr>
          <w:p w14:paraId="7B4E6727" w14:textId="77777777" w:rsidR="00473892" w:rsidRPr="009A2265" w:rsidRDefault="00473892" w:rsidP="00C62D56">
            <w:pPr>
              <w:jc w:val="both"/>
            </w:pPr>
            <w:r w:rsidRPr="009A2265">
              <w:t xml:space="preserve">1 Personenhaushalt </w:t>
            </w:r>
            <w:r w:rsidR="004F605B" w:rsidRPr="009A2265">
              <w:t>(18 - 25 Jahren)</w:t>
            </w:r>
          </w:p>
        </w:tc>
        <w:tc>
          <w:tcPr>
            <w:tcW w:w="4977" w:type="dxa"/>
          </w:tcPr>
          <w:p w14:paraId="7B4E6728" w14:textId="77777777" w:rsidR="00473892" w:rsidRPr="009A2265" w:rsidRDefault="004F605B" w:rsidP="007023CE">
            <w:pPr>
              <w:pStyle w:val="Absatz0"/>
              <w:tabs>
                <w:tab w:val="left" w:pos="419"/>
                <w:tab w:val="decimal" w:pos="1379"/>
              </w:tabs>
              <w:rPr>
                <w:sz w:val="21"/>
                <w:szCs w:val="21"/>
              </w:rPr>
            </w:pPr>
            <w:r w:rsidRPr="009A2265">
              <w:rPr>
                <w:sz w:val="21"/>
                <w:szCs w:val="21"/>
              </w:rPr>
              <w:tab/>
              <w:t>bis</w:t>
            </w:r>
            <w:r w:rsidRPr="009A2265">
              <w:rPr>
                <w:sz w:val="21"/>
                <w:szCs w:val="21"/>
              </w:rPr>
              <w:tab/>
              <w:t>800.-</w:t>
            </w:r>
            <w:r w:rsidRPr="009A2265">
              <w:rPr>
                <w:sz w:val="21"/>
                <w:szCs w:val="21"/>
              </w:rPr>
              <w:tab/>
            </w:r>
          </w:p>
        </w:tc>
      </w:tr>
      <w:tr w:rsidR="00473892" w:rsidRPr="009A2265" w14:paraId="7B4E672C" w14:textId="77777777" w:rsidTr="00C62D56">
        <w:tc>
          <w:tcPr>
            <w:tcW w:w="4153" w:type="dxa"/>
            <w:tcBorders>
              <w:top w:val="single" w:sz="4" w:space="0" w:color="auto"/>
              <w:left w:val="single" w:sz="4" w:space="0" w:color="auto"/>
              <w:bottom w:val="single" w:sz="4" w:space="0" w:color="auto"/>
            </w:tcBorders>
          </w:tcPr>
          <w:p w14:paraId="7B4E672A" w14:textId="77777777" w:rsidR="00473892" w:rsidRPr="009A2265" w:rsidRDefault="00473892" w:rsidP="00C62D56">
            <w:pPr>
              <w:jc w:val="both"/>
            </w:pPr>
            <w:r w:rsidRPr="009A2265">
              <w:t xml:space="preserve">1 Personenhaushalt </w:t>
            </w:r>
            <w:r w:rsidR="004F605B" w:rsidRPr="009A2265">
              <w:t>(ab 25 Jahre</w:t>
            </w:r>
            <w:r w:rsidR="004F3E85" w:rsidRPr="009A2265">
              <w:t>n</w:t>
            </w:r>
            <w:r w:rsidR="004F605B" w:rsidRPr="009A2265">
              <w:t>)</w:t>
            </w:r>
          </w:p>
        </w:tc>
        <w:tc>
          <w:tcPr>
            <w:tcW w:w="4977" w:type="dxa"/>
          </w:tcPr>
          <w:p w14:paraId="7B4E672B" w14:textId="77777777" w:rsidR="00473892" w:rsidRPr="009A2265" w:rsidRDefault="004F605B" w:rsidP="004F3E85">
            <w:pPr>
              <w:pStyle w:val="Absatz0"/>
              <w:tabs>
                <w:tab w:val="left" w:pos="419"/>
                <w:tab w:val="decimal" w:pos="1379"/>
                <w:tab w:val="left" w:pos="2114"/>
              </w:tabs>
              <w:rPr>
                <w:sz w:val="21"/>
                <w:szCs w:val="21"/>
              </w:rPr>
            </w:pPr>
            <w:r w:rsidRPr="009A2265">
              <w:rPr>
                <w:sz w:val="21"/>
                <w:szCs w:val="21"/>
              </w:rPr>
              <w:tab/>
            </w:r>
            <w:r w:rsidRPr="000C77B6">
              <w:rPr>
                <w:sz w:val="21"/>
                <w:szCs w:val="21"/>
              </w:rPr>
              <w:t>bis</w:t>
            </w:r>
            <w:r w:rsidRPr="000C77B6">
              <w:rPr>
                <w:sz w:val="21"/>
                <w:szCs w:val="21"/>
              </w:rPr>
              <w:tab/>
              <w:t>1'</w:t>
            </w:r>
            <w:r w:rsidR="00627F00" w:rsidRPr="000C77B6">
              <w:rPr>
                <w:sz w:val="21"/>
                <w:szCs w:val="21"/>
              </w:rPr>
              <w:t>2</w:t>
            </w:r>
            <w:r w:rsidRPr="000C77B6">
              <w:rPr>
                <w:sz w:val="21"/>
                <w:szCs w:val="21"/>
              </w:rPr>
              <w:t>00.-</w:t>
            </w:r>
          </w:p>
        </w:tc>
      </w:tr>
      <w:tr w:rsidR="00473892" w:rsidRPr="009A2265" w14:paraId="7B4E672F" w14:textId="77777777" w:rsidTr="00C62D56">
        <w:tc>
          <w:tcPr>
            <w:tcW w:w="4153" w:type="dxa"/>
            <w:tcBorders>
              <w:top w:val="single" w:sz="4" w:space="0" w:color="auto"/>
              <w:left w:val="single" w:sz="4" w:space="0" w:color="auto"/>
              <w:bottom w:val="single" w:sz="4" w:space="0" w:color="auto"/>
            </w:tcBorders>
          </w:tcPr>
          <w:p w14:paraId="7B4E672D" w14:textId="77777777" w:rsidR="00473892" w:rsidRPr="009A2265" w:rsidRDefault="00473892" w:rsidP="008C5167">
            <w:pPr>
              <w:pStyle w:val="Absatz0"/>
              <w:rPr>
                <w:sz w:val="21"/>
                <w:szCs w:val="21"/>
              </w:rPr>
            </w:pPr>
            <w:r w:rsidRPr="009A2265">
              <w:t>2 Personenhaushalt</w:t>
            </w:r>
          </w:p>
        </w:tc>
        <w:tc>
          <w:tcPr>
            <w:tcW w:w="4977" w:type="dxa"/>
          </w:tcPr>
          <w:p w14:paraId="7B4E672E" w14:textId="77777777" w:rsidR="00473892" w:rsidRPr="009A2265" w:rsidRDefault="00473892" w:rsidP="004F3E85">
            <w:pPr>
              <w:pStyle w:val="Absatz0"/>
              <w:tabs>
                <w:tab w:val="left" w:pos="419"/>
                <w:tab w:val="decimal" w:pos="1379"/>
                <w:tab w:val="left" w:pos="2114"/>
              </w:tabs>
              <w:rPr>
                <w:sz w:val="21"/>
                <w:szCs w:val="21"/>
              </w:rPr>
            </w:pPr>
            <w:r w:rsidRPr="009A2265">
              <w:rPr>
                <w:sz w:val="21"/>
                <w:szCs w:val="21"/>
              </w:rPr>
              <w:tab/>
            </w:r>
            <w:r w:rsidRPr="000C77B6">
              <w:rPr>
                <w:sz w:val="21"/>
                <w:szCs w:val="21"/>
              </w:rPr>
              <w:t>bis</w:t>
            </w:r>
            <w:r w:rsidRPr="000C77B6">
              <w:rPr>
                <w:sz w:val="21"/>
                <w:szCs w:val="21"/>
              </w:rPr>
              <w:tab/>
              <w:t>1'</w:t>
            </w:r>
            <w:r w:rsidR="00627F00" w:rsidRPr="000C77B6">
              <w:rPr>
                <w:sz w:val="21"/>
                <w:szCs w:val="21"/>
              </w:rPr>
              <w:t>5</w:t>
            </w:r>
            <w:r w:rsidRPr="000C77B6">
              <w:rPr>
                <w:sz w:val="21"/>
                <w:szCs w:val="21"/>
              </w:rPr>
              <w:t>00.-</w:t>
            </w:r>
            <w:r w:rsidRPr="009A2265">
              <w:rPr>
                <w:sz w:val="21"/>
                <w:szCs w:val="21"/>
              </w:rPr>
              <w:tab/>
            </w:r>
            <w:r w:rsidRPr="000C77B6">
              <w:rPr>
                <w:sz w:val="21"/>
                <w:szCs w:val="21"/>
              </w:rPr>
              <w:t>(7</w:t>
            </w:r>
            <w:r w:rsidR="00627F00" w:rsidRPr="000C77B6">
              <w:rPr>
                <w:sz w:val="21"/>
                <w:szCs w:val="21"/>
              </w:rPr>
              <w:t>5</w:t>
            </w:r>
            <w:r w:rsidRPr="000C77B6">
              <w:rPr>
                <w:sz w:val="21"/>
                <w:szCs w:val="21"/>
              </w:rPr>
              <w:t>0.-/Pers.)</w:t>
            </w:r>
          </w:p>
        </w:tc>
      </w:tr>
      <w:tr w:rsidR="00473892" w:rsidRPr="009A2265" w14:paraId="7B4E6732" w14:textId="77777777" w:rsidTr="00C62D56">
        <w:tc>
          <w:tcPr>
            <w:tcW w:w="4153" w:type="dxa"/>
            <w:tcBorders>
              <w:top w:val="single" w:sz="4" w:space="0" w:color="auto"/>
              <w:left w:val="single" w:sz="4" w:space="0" w:color="auto"/>
              <w:bottom w:val="single" w:sz="4" w:space="0" w:color="auto"/>
            </w:tcBorders>
          </w:tcPr>
          <w:p w14:paraId="7B4E6730" w14:textId="77777777" w:rsidR="00473892" w:rsidRPr="009A2265" w:rsidRDefault="00473892" w:rsidP="008C5167">
            <w:pPr>
              <w:pStyle w:val="Absatz0"/>
              <w:rPr>
                <w:sz w:val="21"/>
                <w:szCs w:val="21"/>
              </w:rPr>
            </w:pPr>
            <w:r w:rsidRPr="009A2265">
              <w:t>3 Personenhaushalt</w:t>
            </w:r>
          </w:p>
        </w:tc>
        <w:tc>
          <w:tcPr>
            <w:tcW w:w="4977" w:type="dxa"/>
          </w:tcPr>
          <w:p w14:paraId="7B4E6731" w14:textId="77777777" w:rsidR="00473892" w:rsidRPr="009A2265" w:rsidRDefault="00473892" w:rsidP="00C62D56">
            <w:pPr>
              <w:pStyle w:val="Absatz0"/>
              <w:tabs>
                <w:tab w:val="left" w:pos="419"/>
                <w:tab w:val="decimal" w:pos="1379"/>
                <w:tab w:val="left" w:pos="2114"/>
              </w:tabs>
              <w:rPr>
                <w:sz w:val="21"/>
                <w:szCs w:val="21"/>
              </w:rPr>
            </w:pPr>
            <w:r w:rsidRPr="009A2265">
              <w:rPr>
                <w:sz w:val="21"/>
                <w:szCs w:val="21"/>
              </w:rPr>
              <w:tab/>
            </w:r>
            <w:r w:rsidRPr="000C77B6">
              <w:rPr>
                <w:sz w:val="21"/>
                <w:szCs w:val="21"/>
              </w:rPr>
              <w:t>bis</w:t>
            </w:r>
            <w:r w:rsidRPr="000C77B6">
              <w:rPr>
                <w:sz w:val="21"/>
                <w:szCs w:val="21"/>
              </w:rPr>
              <w:tab/>
              <w:t>1'6</w:t>
            </w:r>
            <w:r w:rsidR="00627F00" w:rsidRPr="000C77B6">
              <w:rPr>
                <w:sz w:val="21"/>
                <w:szCs w:val="21"/>
              </w:rPr>
              <w:t>5</w:t>
            </w:r>
            <w:r w:rsidRPr="000C77B6">
              <w:rPr>
                <w:sz w:val="21"/>
                <w:szCs w:val="21"/>
              </w:rPr>
              <w:t>0.-</w:t>
            </w:r>
            <w:r w:rsidRPr="009A2265">
              <w:rPr>
                <w:sz w:val="21"/>
                <w:szCs w:val="21"/>
              </w:rPr>
              <w:tab/>
            </w:r>
            <w:r w:rsidRPr="000C77B6">
              <w:rPr>
                <w:sz w:val="21"/>
                <w:szCs w:val="21"/>
              </w:rPr>
              <w:t>(5</w:t>
            </w:r>
            <w:r w:rsidR="00627F00" w:rsidRPr="000C77B6">
              <w:rPr>
                <w:sz w:val="21"/>
                <w:szCs w:val="21"/>
              </w:rPr>
              <w:t>50</w:t>
            </w:r>
            <w:r w:rsidRPr="000C77B6">
              <w:rPr>
                <w:sz w:val="21"/>
                <w:szCs w:val="21"/>
              </w:rPr>
              <w:t>.-/Pers.)</w:t>
            </w:r>
          </w:p>
        </w:tc>
      </w:tr>
      <w:tr w:rsidR="00473892" w:rsidRPr="009A2265" w14:paraId="7B4E6735" w14:textId="77777777" w:rsidTr="00C62D56">
        <w:tc>
          <w:tcPr>
            <w:tcW w:w="4153" w:type="dxa"/>
            <w:tcBorders>
              <w:top w:val="single" w:sz="4" w:space="0" w:color="auto"/>
              <w:left w:val="single" w:sz="4" w:space="0" w:color="auto"/>
              <w:bottom w:val="single" w:sz="4" w:space="0" w:color="auto"/>
            </w:tcBorders>
          </w:tcPr>
          <w:p w14:paraId="7B4E6733" w14:textId="77777777" w:rsidR="00473892" w:rsidRPr="009A2265" w:rsidRDefault="00473892" w:rsidP="008C5167">
            <w:pPr>
              <w:pStyle w:val="Absatz0"/>
              <w:rPr>
                <w:sz w:val="21"/>
                <w:szCs w:val="21"/>
              </w:rPr>
            </w:pPr>
            <w:r w:rsidRPr="009A2265">
              <w:t>4 Personenhaushalt</w:t>
            </w:r>
          </w:p>
        </w:tc>
        <w:tc>
          <w:tcPr>
            <w:tcW w:w="4977" w:type="dxa"/>
          </w:tcPr>
          <w:p w14:paraId="7B4E6734" w14:textId="77777777" w:rsidR="00473892" w:rsidRPr="009A2265" w:rsidRDefault="00473892" w:rsidP="00C62D56">
            <w:pPr>
              <w:pStyle w:val="Absatz0"/>
              <w:tabs>
                <w:tab w:val="left" w:pos="419"/>
                <w:tab w:val="decimal" w:pos="1379"/>
                <w:tab w:val="left" w:pos="2114"/>
              </w:tabs>
              <w:rPr>
                <w:sz w:val="21"/>
                <w:szCs w:val="21"/>
              </w:rPr>
            </w:pPr>
            <w:r w:rsidRPr="009A2265">
              <w:rPr>
                <w:sz w:val="21"/>
                <w:szCs w:val="21"/>
              </w:rPr>
              <w:tab/>
              <w:t>bis</w:t>
            </w:r>
            <w:r w:rsidRPr="009A2265">
              <w:rPr>
                <w:sz w:val="21"/>
                <w:szCs w:val="21"/>
              </w:rPr>
              <w:tab/>
              <w:t>1'800.-</w:t>
            </w:r>
            <w:r w:rsidRPr="009A2265">
              <w:rPr>
                <w:sz w:val="21"/>
                <w:szCs w:val="21"/>
              </w:rPr>
              <w:tab/>
              <w:t>(450.-/Pers.)</w:t>
            </w:r>
          </w:p>
        </w:tc>
      </w:tr>
      <w:tr w:rsidR="00473892" w:rsidRPr="009A2265" w14:paraId="7B4E6738" w14:textId="77777777" w:rsidTr="00C62D56">
        <w:tc>
          <w:tcPr>
            <w:tcW w:w="4153" w:type="dxa"/>
            <w:tcBorders>
              <w:top w:val="single" w:sz="4" w:space="0" w:color="auto"/>
              <w:left w:val="single" w:sz="4" w:space="0" w:color="auto"/>
              <w:bottom w:val="single" w:sz="4" w:space="0" w:color="auto"/>
            </w:tcBorders>
          </w:tcPr>
          <w:p w14:paraId="7B4E6736" w14:textId="77777777" w:rsidR="00473892" w:rsidRPr="009A2265" w:rsidRDefault="00473892" w:rsidP="008C5167">
            <w:pPr>
              <w:pStyle w:val="Absatz0"/>
              <w:rPr>
                <w:sz w:val="21"/>
                <w:szCs w:val="21"/>
              </w:rPr>
            </w:pPr>
            <w:r w:rsidRPr="009A2265">
              <w:t>5 Personenhaushalt</w:t>
            </w:r>
          </w:p>
        </w:tc>
        <w:tc>
          <w:tcPr>
            <w:tcW w:w="4977" w:type="dxa"/>
          </w:tcPr>
          <w:p w14:paraId="7B4E6737" w14:textId="77777777" w:rsidR="00473892" w:rsidRPr="009A2265" w:rsidRDefault="00473892" w:rsidP="00824775">
            <w:pPr>
              <w:pStyle w:val="Absatz0"/>
              <w:tabs>
                <w:tab w:val="left" w:pos="419"/>
                <w:tab w:val="decimal" w:pos="1379"/>
                <w:tab w:val="left" w:pos="2114"/>
              </w:tabs>
              <w:ind w:left="420" w:hanging="420"/>
              <w:rPr>
                <w:sz w:val="21"/>
                <w:szCs w:val="21"/>
              </w:rPr>
            </w:pPr>
            <w:r w:rsidRPr="009A2265">
              <w:rPr>
                <w:sz w:val="21"/>
                <w:szCs w:val="21"/>
              </w:rPr>
              <w:tab/>
              <w:t>bis</w:t>
            </w:r>
            <w:r w:rsidRPr="009A2265">
              <w:rPr>
                <w:sz w:val="21"/>
                <w:szCs w:val="21"/>
              </w:rPr>
              <w:tab/>
              <w:t>2'000.-</w:t>
            </w:r>
            <w:r w:rsidRPr="009A2265">
              <w:rPr>
                <w:sz w:val="21"/>
                <w:szCs w:val="21"/>
              </w:rPr>
              <w:tab/>
              <w:t>(400.-/Pers.)</w:t>
            </w:r>
          </w:p>
        </w:tc>
      </w:tr>
      <w:tr w:rsidR="00473892" w:rsidRPr="009A2265" w14:paraId="7B4E673B" w14:textId="77777777" w:rsidTr="00FB77D9">
        <w:tc>
          <w:tcPr>
            <w:tcW w:w="4153" w:type="dxa"/>
            <w:tcBorders>
              <w:top w:val="single" w:sz="4" w:space="0" w:color="auto"/>
              <w:left w:val="single" w:sz="4" w:space="0" w:color="auto"/>
              <w:bottom w:val="single" w:sz="4" w:space="0" w:color="auto"/>
            </w:tcBorders>
          </w:tcPr>
          <w:p w14:paraId="7B4E6739" w14:textId="77777777" w:rsidR="00473892" w:rsidRPr="009A2265" w:rsidRDefault="00473892" w:rsidP="008C5167">
            <w:pPr>
              <w:pStyle w:val="Absatz0"/>
            </w:pPr>
            <w:r w:rsidRPr="009A2265">
              <w:t>pro zusätzliche Person</w:t>
            </w:r>
          </w:p>
        </w:tc>
        <w:tc>
          <w:tcPr>
            <w:tcW w:w="4977" w:type="dxa"/>
          </w:tcPr>
          <w:p w14:paraId="7B4E673A" w14:textId="77777777" w:rsidR="00473892" w:rsidRPr="009A2265" w:rsidRDefault="00473892" w:rsidP="00C62D56">
            <w:pPr>
              <w:pStyle w:val="Absatz0"/>
              <w:tabs>
                <w:tab w:val="left" w:pos="419"/>
                <w:tab w:val="decimal" w:pos="1379"/>
                <w:tab w:val="left" w:pos="2114"/>
              </w:tabs>
              <w:rPr>
                <w:sz w:val="21"/>
                <w:szCs w:val="21"/>
              </w:rPr>
            </w:pPr>
            <w:r w:rsidRPr="009A2265">
              <w:rPr>
                <w:sz w:val="21"/>
                <w:szCs w:val="21"/>
              </w:rPr>
              <w:tab/>
              <w:t>+</w:t>
            </w:r>
            <w:r w:rsidRPr="009A2265">
              <w:rPr>
                <w:sz w:val="21"/>
                <w:szCs w:val="21"/>
              </w:rPr>
              <w:tab/>
              <w:t>200.-</w:t>
            </w:r>
          </w:p>
        </w:tc>
      </w:tr>
      <w:tr w:rsidR="00FB77D9" w:rsidRPr="009A2265" w14:paraId="7B4E673E" w14:textId="77777777" w:rsidTr="00FB77D9">
        <w:tc>
          <w:tcPr>
            <w:tcW w:w="4153" w:type="dxa"/>
            <w:tcBorders>
              <w:top w:val="single" w:sz="4" w:space="0" w:color="auto"/>
              <w:left w:val="single" w:sz="4" w:space="0" w:color="auto"/>
              <w:bottom w:val="single" w:sz="4" w:space="0" w:color="auto"/>
            </w:tcBorders>
          </w:tcPr>
          <w:p w14:paraId="7B4E673C" w14:textId="77777777" w:rsidR="00FB77D9" w:rsidRPr="009A2265" w:rsidRDefault="00FB77D9" w:rsidP="00FB77D9">
            <w:pPr>
              <w:jc w:val="both"/>
            </w:pPr>
            <w:r w:rsidRPr="009A2265">
              <w:t>Personen im Begleiteten Wohnen der Stadt Zürich</w:t>
            </w:r>
          </w:p>
        </w:tc>
        <w:tc>
          <w:tcPr>
            <w:tcW w:w="4977" w:type="dxa"/>
          </w:tcPr>
          <w:p w14:paraId="7B4E673D" w14:textId="77777777" w:rsidR="00414C3B" w:rsidRPr="009A2265" w:rsidRDefault="00FB77D9" w:rsidP="00824775">
            <w:pPr>
              <w:pStyle w:val="Absatz0"/>
              <w:tabs>
                <w:tab w:val="left" w:pos="420"/>
              </w:tabs>
              <w:ind w:left="420" w:hanging="420"/>
            </w:pPr>
            <w:r w:rsidRPr="009A2265">
              <w:rPr>
                <w:sz w:val="21"/>
                <w:szCs w:val="21"/>
              </w:rPr>
              <w:tab/>
            </w:r>
            <w:r w:rsidRPr="009A2265">
              <w:t xml:space="preserve">Miettarif gemäss </w:t>
            </w:r>
            <w:hyperlink r:id="rId18" w:history="1">
              <w:r w:rsidRPr="009A2265">
                <w:rPr>
                  <w:rStyle w:val="Hyperlink"/>
                </w:rPr>
                <w:t>Tarifordnun</w:t>
              </w:r>
              <w:r w:rsidR="00F61071" w:rsidRPr="009A2265">
                <w:rPr>
                  <w:rStyle w:val="Hyperlink"/>
                </w:rPr>
                <w:t>g für die städti</w:t>
              </w:r>
              <w:r w:rsidR="00F61071" w:rsidRPr="009A2265">
                <w:rPr>
                  <w:rStyle w:val="Hyperlink"/>
                </w:rPr>
                <w:softHyphen/>
                <w:t>schen Wohninte</w:t>
              </w:r>
              <w:r w:rsidRPr="009A2265">
                <w:rPr>
                  <w:rStyle w:val="Hyperlink"/>
                </w:rPr>
                <w:t xml:space="preserve">grationsangebote </w:t>
              </w:r>
              <w:r w:rsidR="00414C3B" w:rsidRPr="009A2265">
                <w:rPr>
                  <w:rStyle w:val="Hyperlink"/>
                </w:rPr>
                <w:t>3</w:t>
              </w:r>
              <w:r w:rsidRPr="009A2265">
                <w:rPr>
                  <w:rStyle w:val="Hyperlink"/>
                </w:rPr>
                <w:t>1.1.12</w:t>
              </w:r>
            </w:hyperlink>
          </w:p>
        </w:tc>
      </w:tr>
    </w:tbl>
    <w:p w14:paraId="7B4E673F" w14:textId="77777777" w:rsidR="007023CE" w:rsidRPr="009A2265" w:rsidRDefault="007023CE"/>
    <w:p w14:paraId="7B4E6740" w14:textId="77777777" w:rsidR="00473892" w:rsidRPr="009A2265" w:rsidRDefault="00FB77D9" w:rsidP="008C2B13">
      <w:pPr>
        <w:spacing w:before="120" w:after="240"/>
        <w:ind w:left="284" w:hanging="284"/>
      </w:pPr>
      <w:r w:rsidRPr="009A2265">
        <w:t>b)</w:t>
      </w:r>
      <w:r w:rsidR="00E03184">
        <w:tab/>
      </w:r>
      <w:r w:rsidR="00536F90" w:rsidRPr="009A2265">
        <w:t xml:space="preserve">bei Personen in </w:t>
      </w:r>
      <w:r w:rsidR="007023CE" w:rsidRPr="009A2265">
        <w:t>Zweckwohngemeinschaften</w:t>
      </w:r>
      <w:r w:rsidR="00536F90" w:rsidRPr="009A2265">
        <w:t>:</w:t>
      </w:r>
    </w:p>
    <w:tbl>
      <w:tblPr>
        <w:tblW w:w="9130" w:type="dxa"/>
        <w:tblInd w:w="108" w:type="dxa"/>
        <w:tblBorders>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153"/>
        <w:gridCol w:w="4977"/>
      </w:tblGrid>
      <w:tr w:rsidR="00E402A0" w:rsidRPr="009A2265" w14:paraId="7B4E6743" w14:textId="77777777" w:rsidTr="00C62D56">
        <w:tc>
          <w:tcPr>
            <w:tcW w:w="4153" w:type="dxa"/>
            <w:tcBorders>
              <w:top w:val="single" w:sz="4" w:space="0" w:color="auto"/>
              <w:left w:val="single" w:sz="4" w:space="0" w:color="auto"/>
            </w:tcBorders>
          </w:tcPr>
          <w:p w14:paraId="7B4E6741" w14:textId="77777777" w:rsidR="00E402A0" w:rsidRPr="009A2265" w:rsidRDefault="00E402A0" w:rsidP="008C5167">
            <w:pPr>
              <w:pStyle w:val="Absatz0"/>
              <w:rPr>
                <w:i/>
                <w:sz w:val="21"/>
                <w:szCs w:val="21"/>
              </w:rPr>
            </w:pPr>
            <w:r w:rsidRPr="009A2265">
              <w:rPr>
                <w:i/>
                <w:sz w:val="21"/>
                <w:szCs w:val="21"/>
              </w:rPr>
              <w:t>Haushaltform</w:t>
            </w:r>
          </w:p>
        </w:tc>
        <w:tc>
          <w:tcPr>
            <w:tcW w:w="4977" w:type="dxa"/>
            <w:tcBorders>
              <w:top w:val="single" w:sz="4" w:space="0" w:color="auto"/>
            </w:tcBorders>
          </w:tcPr>
          <w:p w14:paraId="7B4E6742" w14:textId="77777777" w:rsidR="00E402A0" w:rsidRPr="009A2265" w:rsidRDefault="00E402A0" w:rsidP="008C5167">
            <w:pPr>
              <w:pStyle w:val="Absatz0"/>
              <w:rPr>
                <w:i/>
                <w:sz w:val="21"/>
                <w:szCs w:val="21"/>
              </w:rPr>
            </w:pPr>
            <w:r w:rsidRPr="009A2265">
              <w:rPr>
                <w:i/>
                <w:sz w:val="21"/>
                <w:szCs w:val="21"/>
              </w:rPr>
              <w:t>Gesamtmiete für Haushalt</w:t>
            </w:r>
            <w:r w:rsidR="00E71098">
              <w:rPr>
                <w:i/>
                <w:sz w:val="21"/>
                <w:szCs w:val="21"/>
              </w:rPr>
              <w:t xml:space="preserve"> </w:t>
            </w:r>
            <w:r w:rsidR="00E71098" w:rsidRPr="000C77B6">
              <w:rPr>
                <w:i/>
                <w:sz w:val="21"/>
                <w:szCs w:val="21"/>
              </w:rPr>
              <w:t>pro Monat</w:t>
            </w:r>
          </w:p>
        </w:tc>
      </w:tr>
      <w:tr w:rsidR="00E402A0" w:rsidRPr="009A2265" w14:paraId="7B4E6746" w14:textId="77777777" w:rsidTr="00C62D56">
        <w:tc>
          <w:tcPr>
            <w:tcW w:w="4153" w:type="dxa"/>
            <w:tcBorders>
              <w:top w:val="single" w:sz="4" w:space="0" w:color="auto"/>
              <w:left w:val="single" w:sz="4" w:space="0" w:color="auto"/>
              <w:bottom w:val="single" w:sz="4" w:space="0" w:color="auto"/>
            </w:tcBorders>
          </w:tcPr>
          <w:p w14:paraId="7B4E6744" w14:textId="77777777" w:rsidR="00E402A0" w:rsidRPr="008C2B13" w:rsidRDefault="00E402A0" w:rsidP="008C5167">
            <w:pPr>
              <w:pStyle w:val="Absatz0"/>
              <w:rPr>
                <w:sz w:val="21"/>
                <w:szCs w:val="21"/>
                <w:highlight w:val="yellow"/>
              </w:rPr>
            </w:pPr>
            <w:r w:rsidRPr="006D0D5E">
              <w:t>2 Personenhaushalt</w:t>
            </w:r>
            <w:r w:rsidR="002F3F68" w:rsidRPr="006D0D5E">
              <w:t xml:space="preserve"> (18 - 25 Jahren)</w:t>
            </w:r>
          </w:p>
        </w:tc>
        <w:tc>
          <w:tcPr>
            <w:tcW w:w="4977" w:type="dxa"/>
          </w:tcPr>
          <w:p w14:paraId="7B4E6745" w14:textId="77777777" w:rsidR="00E402A0" w:rsidRPr="008C2B13" w:rsidRDefault="00E402A0" w:rsidP="00C62D56">
            <w:pPr>
              <w:pStyle w:val="Absatz0"/>
              <w:tabs>
                <w:tab w:val="left" w:pos="419"/>
                <w:tab w:val="decimal" w:pos="1379"/>
                <w:tab w:val="left" w:pos="2114"/>
              </w:tabs>
              <w:rPr>
                <w:sz w:val="21"/>
                <w:szCs w:val="21"/>
                <w:highlight w:val="yellow"/>
              </w:rPr>
            </w:pPr>
            <w:r w:rsidRPr="002F3F68">
              <w:rPr>
                <w:sz w:val="21"/>
                <w:szCs w:val="21"/>
              </w:rPr>
              <w:tab/>
            </w:r>
            <w:r w:rsidRPr="007A768F">
              <w:rPr>
                <w:sz w:val="21"/>
                <w:szCs w:val="21"/>
              </w:rPr>
              <w:t>bis</w:t>
            </w:r>
            <w:r w:rsidRPr="007A768F">
              <w:rPr>
                <w:sz w:val="21"/>
                <w:szCs w:val="21"/>
              </w:rPr>
              <w:tab/>
              <w:t>1'600.-</w:t>
            </w:r>
            <w:r w:rsidRPr="007A768F">
              <w:rPr>
                <w:sz w:val="21"/>
                <w:szCs w:val="21"/>
              </w:rPr>
              <w:tab/>
              <w:t>(800.-/Pers.)</w:t>
            </w:r>
          </w:p>
        </w:tc>
      </w:tr>
      <w:tr w:rsidR="002F3F68" w:rsidRPr="009A2265" w14:paraId="7B4E6749" w14:textId="77777777" w:rsidTr="00C62D56">
        <w:tc>
          <w:tcPr>
            <w:tcW w:w="4153" w:type="dxa"/>
            <w:tcBorders>
              <w:top w:val="single" w:sz="4" w:space="0" w:color="auto"/>
              <w:left w:val="single" w:sz="4" w:space="0" w:color="auto"/>
              <w:bottom w:val="single" w:sz="4" w:space="0" w:color="auto"/>
            </w:tcBorders>
          </w:tcPr>
          <w:p w14:paraId="7B4E6747" w14:textId="77777777" w:rsidR="002F3F68" w:rsidRPr="008C2B13" w:rsidRDefault="002F3F68" w:rsidP="008C5167">
            <w:pPr>
              <w:pStyle w:val="Absatz0"/>
              <w:rPr>
                <w:highlight w:val="yellow"/>
              </w:rPr>
            </w:pPr>
            <w:r w:rsidRPr="006D0D5E">
              <w:t>2 Personenhaushalt (ab 25 Jahren)</w:t>
            </w:r>
          </w:p>
        </w:tc>
        <w:tc>
          <w:tcPr>
            <w:tcW w:w="4977" w:type="dxa"/>
          </w:tcPr>
          <w:p w14:paraId="7B4E6748" w14:textId="77777777" w:rsidR="002F3F68" w:rsidRPr="008C2B13" w:rsidRDefault="002F3F68" w:rsidP="008C2B13">
            <w:pPr>
              <w:pStyle w:val="Absatz0"/>
              <w:tabs>
                <w:tab w:val="left" w:pos="419"/>
                <w:tab w:val="decimal" w:pos="1379"/>
                <w:tab w:val="left" w:pos="2114"/>
              </w:tabs>
              <w:ind w:left="419"/>
              <w:rPr>
                <w:sz w:val="21"/>
                <w:szCs w:val="21"/>
                <w:highlight w:val="yellow"/>
              </w:rPr>
            </w:pPr>
            <w:r w:rsidRPr="000C77B6">
              <w:rPr>
                <w:sz w:val="21"/>
                <w:szCs w:val="21"/>
              </w:rPr>
              <w:t>bis</w:t>
            </w:r>
            <w:r w:rsidRPr="000C77B6">
              <w:rPr>
                <w:sz w:val="21"/>
                <w:szCs w:val="21"/>
              </w:rPr>
              <w:tab/>
              <w:t>1'800.-</w:t>
            </w:r>
            <w:r w:rsidRPr="008C2B13">
              <w:rPr>
                <w:sz w:val="21"/>
                <w:szCs w:val="21"/>
              </w:rPr>
              <w:tab/>
            </w:r>
            <w:r w:rsidRPr="006D0D5E">
              <w:rPr>
                <w:sz w:val="21"/>
                <w:szCs w:val="21"/>
              </w:rPr>
              <w:t>(900.-/Pers.)</w:t>
            </w:r>
          </w:p>
        </w:tc>
      </w:tr>
      <w:tr w:rsidR="00E402A0" w:rsidRPr="009A2265" w14:paraId="7B4E674C" w14:textId="77777777" w:rsidTr="00C62D56">
        <w:tc>
          <w:tcPr>
            <w:tcW w:w="4153" w:type="dxa"/>
            <w:tcBorders>
              <w:top w:val="single" w:sz="4" w:space="0" w:color="auto"/>
              <w:left w:val="single" w:sz="4" w:space="0" w:color="auto"/>
              <w:bottom w:val="single" w:sz="4" w:space="0" w:color="auto"/>
            </w:tcBorders>
          </w:tcPr>
          <w:p w14:paraId="7B4E674A" w14:textId="77777777" w:rsidR="00E402A0" w:rsidRPr="009A2265" w:rsidRDefault="00E402A0" w:rsidP="008C5167">
            <w:pPr>
              <w:pStyle w:val="Absatz0"/>
              <w:rPr>
                <w:sz w:val="21"/>
                <w:szCs w:val="21"/>
              </w:rPr>
            </w:pPr>
            <w:r w:rsidRPr="009A2265">
              <w:t>3 Personenhaushalt</w:t>
            </w:r>
          </w:p>
        </w:tc>
        <w:tc>
          <w:tcPr>
            <w:tcW w:w="4977" w:type="dxa"/>
          </w:tcPr>
          <w:p w14:paraId="7B4E674B" w14:textId="77777777" w:rsidR="00E402A0" w:rsidRPr="009A2265" w:rsidRDefault="00E402A0" w:rsidP="00C62D56">
            <w:pPr>
              <w:pStyle w:val="Absatz0"/>
              <w:tabs>
                <w:tab w:val="left" w:pos="419"/>
                <w:tab w:val="decimal" w:pos="1379"/>
                <w:tab w:val="left" w:pos="2114"/>
              </w:tabs>
              <w:rPr>
                <w:sz w:val="21"/>
                <w:szCs w:val="21"/>
              </w:rPr>
            </w:pPr>
            <w:r w:rsidRPr="009A2265">
              <w:rPr>
                <w:sz w:val="21"/>
                <w:szCs w:val="21"/>
              </w:rPr>
              <w:tab/>
            </w:r>
            <w:r w:rsidRPr="000C77B6">
              <w:rPr>
                <w:sz w:val="21"/>
                <w:szCs w:val="21"/>
              </w:rPr>
              <w:t>bis</w:t>
            </w:r>
            <w:r w:rsidRPr="000C77B6">
              <w:rPr>
                <w:sz w:val="21"/>
                <w:szCs w:val="21"/>
              </w:rPr>
              <w:tab/>
              <w:t>1'9</w:t>
            </w:r>
            <w:r w:rsidR="002F3F68" w:rsidRPr="000C77B6">
              <w:rPr>
                <w:sz w:val="21"/>
                <w:szCs w:val="21"/>
              </w:rPr>
              <w:t>8</w:t>
            </w:r>
            <w:r w:rsidRPr="000C77B6">
              <w:rPr>
                <w:sz w:val="21"/>
                <w:szCs w:val="21"/>
              </w:rPr>
              <w:t>0.-</w:t>
            </w:r>
            <w:r w:rsidRPr="009A2265">
              <w:rPr>
                <w:sz w:val="21"/>
                <w:szCs w:val="21"/>
              </w:rPr>
              <w:tab/>
            </w:r>
            <w:r w:rsidRPr="006D0D5E">
              <w:rPr>
                <w:sz w:val="21"/>
                <w:szCs w:val="21"/>
              </w:rPr>
              <w:t>(6</w:t>
            </w:r>
            <w:r w:rsidR="002F3F68" w:rsidRPr="006D0D5E">
              <w:rPr>
                <w:sz w:val="21"/>
                <w:szCs w:val="21"/>
              </w:rPr>
              <w:t>6</w:t>
            </w:r>
            <w:r w:rsidRPr="006D0D5E">
              <w:rPr>
                <w:sz w:val="21"/>
                <w:szCs w:val="21"/>
              </w:rPr>
              <w:t>0.-/Pers.)</w:t>
            </w:r>
          </w:p>
        </w:tc>
      </w:tr>
      <w:tr w:rsidR="00E402A0" w:rsidRPr="009A2265" w14:paraId="7B4E674F" w14:textId="77777777" w:rsidTr="00C62D56">
        <w:tc>
          <w:tcPr>
            <w:tcW w:w="4153" w:type="dxa"/>
            <w:tcBorders>
              <w:top w:val="single" w:sz="4" w:space="0" w:color="auto"/>
              <w:left w:val="single" w:sz="4" w:space="0" w:color="auto"/>
              <w:bottom w:val="single" w:sz="4" w:space="0" w:color="auto"/>
            </w:tcBorders>
          </w:tcPr>
          <w:p w14:paraId="7B4E674D" w14:textId="77777777" w:rsidR="00E402A0" w:rsidRPr="009A2265" w:rsidRDefault="00E402A0" w:rsidP="008C5167">
            <w:pPr>
              <w:pStyle w:val="Absatz0"/>
              <w:rPr>
                <w:sz w:val="21"/>
                <w:szCs w:val="21"/>
              </w:rPr>
            </w:pPr>
            <w:r w:rsidRPr="009A2265">
              <w:t>4 Personenhaushalt</w:t>
            </w:r>
          </w:p>
        </w:tc>
        <w:tc>
          <w:tcPr>
            <w:tcW w:w="4977" w:type="dxa"/>
          </w:tcPr>
          <w:p w14:paraId="7B4E674E" w14:textId="77777777" w:rsidR="00E402A0" w:rsidRPr="009A2265" w:rsidRDefault="00E402A0" w:rsidP="00C62D56">
            <w:pPr>
              <w:pStyle w:val="Absatz0"/>
              <w:tabs>
                <w:tab w:val="left" w:pos="419"/>
                <w:tab w:val="decimal" w:pos="1379"/>
                <w:tab w:val="left" w:pos="2114"/>
              </w:tabs>
              <w:rPr>
                <w:sz w:val="21"/>
                <w:szCs w:val="21"/>
              </w:rPr>
            </w:pPr>
            <w:r w:rsidRPr="009A2265">
              <w:rPr>
                <w:sz w:val="21"/>
                <w:szCs w:val="21"/>
              </w:rPr>
              <w:tab/>
              <w:t>bis</w:t>
            </w:r>
            <w:r w:rsidRPr="009A2265">
              <w:rPr>
                <w:sz w:val="21"/>
                <w:szCs w:val="21"/>
              </w:rPr>
              <w:tab/>
              <w:t>2'300.-</w:t>
            </w:r>
            <w:r w:rsidRPr="009A2265">
              <w:rPr>
                <w:sz w:val="21"/>
                <w:szCs w:val="21"/>
              </w:rPr>
              <w:tab/>
              <w:t>(575.-/Pers.)</w:t>
            </w:r>
          </w:p>
        </w:tc>
      </w:tr>
      <w:tr w:rsidR="00E402A0" w:rsidRPr="009A2265" w14:paraId="7B4E6752" w14:textId="77777777" w:rsidTr="00C62D56">
        <w:tc>
          <w:tcPr>
            <w:tcW w:w="4153" w:type="dxa"/>
            <w:tcBorders>
              <w:top w:val="single" w:sz="4" w:space="0" w:color="auto"/>
              <w:left w:val="single" w:sz="4" w:space="0" w:color="auto"/>
              <w:bottom w:val="single" w:sz="4" w:space="0" w:color="auto"/>
            </w:tcBorders>
          </w:tcPr>
          <w:p w14:paraId="7B4E6750" w14:textId="77777777" w:rsidR="00E402A0" w:rsidRPr="009A2265" w:rsidRDefault="00E402A0" w:rsidP="008C5167">
            <w:pPr>
              <w:pStyle w:val="Absatz0"/>
              <w:rPr>
                <w:sz w:val="21"/>
                <w:szCs w:val="21"/>
              </w:rPr>
            </w:pPr>
            <w:r w:rsidRPr="009A2265">
              <w:t>5 Personenhaushalt</w:t>
            </w:r>
          </w:p>
        </w:tc>
        <w:tc>
          <w:tcPr>
            <w:tcW w:w="4977" w:type="dxa"/>
            <w:tcBorders>
              <w:bottom w:val="single" w:sz="4" w:space="0" w:color="auto"/>
            </w:tcBorders>
          </w:tcPr>
          <w:p w14:paraId="7B4E6751" w14:textId="77777777" w:rsidR="00E402A0" w:rsidRPr="009A2265" w:rsidRDefault="00E402A0" w:rsidP="00C62D56">
            <w:pPr>
              <w:pStyle w:val="Absatz0"/>
              <w:tabs>
                <w:tab w:val="left" w:pos="419"/>
                <w:tab w:val="decimal" w:pos="1379"/>
                <w:tab w:val="left" w:pos="2114"/>
              </w:tabs>
              <w:rPr>
                <w:sz w:val="21"/>
                <w:szCs w:val="21"/>
              </w:rPr>
            </w:pPr>
            <w:r w:rsidRPr="009A2265">
              <w:rPr>
                <w:sz w:val="21"/>
                <w:szCs w:val="21"/>
              </w:rPr>
              <w:tab/>
              <w:t>bis</w:t>
            </w:r>
            <w:r w:rsidRPr="009A2265">
              <w:rPr>
                <w:sz w:val="21"/>
                <w:szCs w:val="21"/>
              </w:rPr>
              <w:tab/>
              <w:t>2'650.-</w:t>
            </w:r>
            <w:r w:rsidRPr="009A2265">
              <w:rPr>
                <w:sz w:val="21"/>
                <w:szCs w:val="21"/>
              </w:rPr>
              <w:tab/>
              <w:t>(530.-/Pers.)</w:t>
            </w:r>
          </w:p>
        </w:tc>
      </w:tr>
      <w:tr w:rsidR="00E402A0" w:rsidRPr="009A2265" w14:paraId="7B4E6755" w14:textId="77777777" w:rsidTr="00C62D56">
        <w:tc>
          <w:tcPr>
            <w:tcW w:w="4153" w:type="dxa"/>
            <w:tcBorders>
              <w:top w:val="single" w:sz="4" w:space="0" w:color="auto"/>
              <w:left w:val="single" w:sz="4" w:space="0" w:color="auto"/>
              <w:bottom w:val="single" w:sz="4" w:space="0" w:color="auto"/>
              <w:right w:val="single" w:sz="4" w:space="0" w:color="auto"/>
            </w:tcBorders>
          </w:tcPr>
          <w:p w14:paraId="7B4E6753" w14:textId="77777777" w:rsidR="00E402A0" w:rsidRPr="009A2265" w:rsidRDefault="00E402A0" w:rsidP="008C5167">
            <w:pPr>
              <w:pStyle w:val="Absatz0"/>
            </w:pPr>
            <w:r w:rsidRPr="009A2265">
              <w:t>pro zusätzliche Person</w:t>
            </w:r>
          </w:p>
        </w:tc>
        <w:tc>
          <w:tcPr>
            <w:tcW w:w="4977" w:type="dxa"/>
            <w:tcBorders>
              <w:top w:val="single" w:sz="4" w:space="0" w:color="auto"/>
              <w:left w:val="single" w:sz="4" w:space="0" w:color="auto"/>
              <w:bottom w:val="single" w:sz="4" w:space="0" w:color="auto"/>
              <w:right w:val="single" w:sz="4" w:space="0" w:color="auto"/>
            </w:tcBorders>
          </w:tcPr>
          <w:p w14:paraId="7B4E6754" w14:textId="77777777" w:rsidR="00E402A0" w:rsidRPr="009A2265" w:rsidRDefault="00E402A0" w:rsidP="00C62D56">
            <w:pPr>
              <w:pStyle w:val="Absatz0"/>
              <w:tabs>
                <w:tab w:val="left" w:pos="419"/>
                <w:tab w:val="decimal" w:pos="1379"/>
                <w:tab w:val="left" w:pos="2114"/>
              </w:tabs>
              <w:rPr>
                <w:sz w:val="21"/>
                <w:szCs w:val="21"/>
              </w:rPr>
            </w:pPr>
            <w:r w:rsidRPr="009A2265">
              <w:rPr>
                <w:sz w:val="21"/>
                <w:szCs w:val="21"/>
              </w:rPr>
              <w:tab/>
              <w:t>+</w:t>
            </w:r>
            <w:r w:rsidRPr="009A2265">
              <w:rPr>
                <w:sz w:val="21"/>
                <w:szCs w:val="21"/>
              </w:rPr>
              <w:tab/>
              <w:t>500.-</w:t>
            </w:r>
          </w:p>
        </w:tc>
      </w:tr>
    </w:tbl>
    <w:p w14:paraId="7B4E6756" w14:textId="77777777" w:rsidR="00F43B23" w:rsidRPr="009A2265" w:rsidRDefault="00F43B23" w:rsidP="00F43B23">
      <w:pPr>
        <w:pStyle w:val="Absatz0"/>
      </w:pPr>
    </w:p>
    <w:p w14:paraId="7B4E6757" w14:textId="77777777" w:rsidR="004F3E85" w:rsidRPr="009A2265" w:rsidRDefault="00F43B23" w:rsidP="00CC7ABF">
      <w:pPr>
        <w:pStyle w:val="Absatz0"/>
        <w:tabs>
          <w:tab w:val="left" w:pos="1430"/>
        </w:tabs>
      </w:pPr>
      <w:r w:rsidRPr="009A2265">
        <w:rPr>
          <w:i/>
        </w:rPr>
        <w:t>Kompetenz</w:t>
      </w:r>
      <w:r w:rsidRPr="009A2265">
        <w:rPr>
          <w:i/>
        </w:rPr>
        <w:tab/>
      </w:r>
      <w:r w:rsidRPr="009A2265">
        <w:t>Die Ausgabenkompetenz liegt bei den Sozialarbeitenden.</w:t>
      </w:r>
    </w:p>
    <w:p w14:paraId="7B4E6758" w14:textId="77777777" w:rsidR="004F3E85" w:rsidRDefault="004F3E85" w:rsidP="00CC7ABF">
      <w:pPr>
        <w:pStyle w:val="Absatz0"/>
        <w:tabs>
          <w:tab w:val="left" w:pos="1430"/>
        </w:tabs>
      </w:pPr>
    </w:p>
    <w:p w14:paraId="7B4E6759" w14:textId="77777777" w:rsidR="00C8574D" w:rsidRPr="006D0D5E" w:rsidRDefault="0051698B" w:rsidP="008C2B13">
      <w:r w:rsidRPr="006D0D5E">
        <w:t>Sofern eine</w:t>
      </w:r>
      <w:r w:rsidR="00DF4A59" w:rsidRPr="006D0D5E">
        <w:t xml:space="preserve"> </w:t>
      </w:r>
      <w:r w:rsidRPr="006D0D5E">
        <w:t>Zweckwohngemeinschaft die allgemein kostengünstigere Variante (betreffend Mietzinsanteil und Grundbedarf für den Lebensunterhalt) als der Umzug in e</w:t>
      </w:r>
      <w:r w:rsidR="00503907" w:rsidRPr="006D0D5E">
        <w:t>inen Einperso</w:t>
      </w:r>
      <w:r w:rsidRPr="006D0D5E">
        <w:t>nenhaushalt darstellt, kann die Mietzinsobergrenze für Zweckwohngemeinschaften bei</w:t>
      </w:r>
      <w:r w:rsidR="00503907" w:rsidRPr="006D0D5E">
        <w:t xml:space="preserve"> Per</w:t>
      </w:r>
      <w:r w:rsidRPr="006D0D5E">
        <w:t>sonen ab 25 Jahren ausnahmsweise bis zu einem Maximalbetrag von Fr. 1‘200.00 überschritten werden. Die Kosten für die gesamte Wohnung sollten jedoch in einem für Sozialhilfeempfängerinnen</w:t>
      </w:r>
      <w:r w:rsidR="00192991" w:rsidRPr="006D0D5E">
        <w:t xml:space="preserve"> und Sozialhilfeempfänger</w:t>
      </w:r>
      <w:r w:rsidRPr="006D0D5E">
        <w:t xml:space="preserve"> angemessenen Rahmen liegen.</w:t>
      </w:r>
      <w:r w:rsidR="001272E6" w:rsidRPr="006D0D5E">
        <w:t xml:space="preserve"> </w:t>
      </w:r>
    </w:p>
    <w:p w14:paraId="7B4E675A" w14:textId="77777777" w:rsidR="00C8574D" w:rsidRPr="006D0D5E" w:rsidRDefault="00C8574D" w:rsidP="008C2B13"/>
    <w:p w14:paraId="7B4E675B" w14:textId="77777777" w:rsidR="007E290D" w:rsidRDefault="00C8574D">
      <w:r w:rsidRPr="006D0D5E">
        <w:rPr>
          <w:i/>
        </w:rPr>
        <w:t>Kompetenz</w:t>
      </w:r>
      <w:r w:rsidRPr="006D0D5E">
        <w:t xml:space="preserve"> </w:t>
      </w:r>
      <w:r w:rsidRPr="006D0D5E">
        <w:tab/>
      </w:r>
      <w:r w:rsidR="001272E6" w:rsidRPr="006D0D5E">
        <w:t xml:space="preserve">Die </w:t>
      </w:r>
      <w:r w:rsidR="002063A5" w:rsidRPr="006D0D5E">
        <w:t>Bewilligungskompetenz bei Überschreiten</w:t>
      </w:r>
      <w:r w:rsidR="001272E6" w:rsidRPr="006D0D5E">
        <w:t xml:space="preserve"> der </w:t>
      </w:r>
      <w:r w:rsidR="00601F27" w:rsidRPr="006D0D5E">
        <w:t>Mietzinsobergrenze</w:t>
      </w:r>
      <w:r w:rsidR="001272E6" w:rsidRPr="006D0D5E">
        <w:t xml:space="preserve"> in Zweckwohngemeinschaften</w:t>
      </w:r>
      <w:r w:rsidR="004C65DB" w:rsidRPr="006D0D5E">
        <w:t xml:space="preserve"> bis maxim</w:t>
      </w:r>
      <w:r w:rsidR="00551493" w:rsidRPr="006D0D5E">
        <w:t>al Fr.</w:t>
      </w:r>
      <w:r w:rsidR="00601F27" w:rsidRPr="006D0D5E">
        <w:t xml:space="preserve"> 1'200.00</w:t>
      </w:r>
      <w:r w:rsidRPr="006D0D5E">
        <w:t xml:space="preserve"> </w:t>
      </w:r>
      <w:r w:rsidR="001272E6" w:rsidRPr="006D0D5E">
        <w:t>liegt bei den Sozialarbeitenden.</w:t>
      </w:r>
      <w:r w:rsidR="001272E6">
        <w:t xml:space="preserve"> </w:t>
      </w:r>
      <w:r w:rsidR="0027637A">
        <w:t xml:space="preserve"> </w:t>
      </w:r>
      <w:r w:rsidR="007E290D">
        <w:br w:type="page"/>
      </w:r>
    </w:p>
    <w:p w14:paraId="7B4E675C" w14:textId="77777777" w:rsidR="00681128" w:rsidRPr="006D0D5E" w:rsidRDefault="00681128" w:rsidP="00681128">
      <w:pPr>
        <w:spacing w:after="240"/>
        <w:ind w:left="284" w:hanging="284"/>
      </w:pPr>
      <w:r w:rsidRPr="006D0D5E">
        <w:lastRenderedPageBreak/>
        <w:t>c)</w:t>
      </w:r>
      <w:r w:rsidRPr="006D0D5E">
        <w:tab/>
        <w:t>bei Personen in Zimmern:</w:t>
      </w:r>
    </w:p>
    <w:p w14:paraId="7B4E675D" w14:textId="77777777" w:rsidR="007E290D" w:rsidRPr="006D0D5E" w:rsidRDefault="00681128" w:rsidP="00681128">
      <w:pPr>
        <w:spacing w:after="240"/>
      </w:pPr>
      <w:r w:rsidRPr="006D0D5E">
        <w:t>Ein Mietobjekt gilt als „Zimmer“, wenn es über keine Kü</w:t>
      </w:r>
      <w:r w:rsidR="002063A5" w:rsidRPr="006D0D5E">
        <w:t>che verfügt oder Bad/Du/WC und/o</w:t>
      </w:r>
      <w:r w:rsidRPr="006D0D5E">
        <w:t>der Küche lediglich zur Mitbenützung sind. Die Personen, mit denen die Klientin oder der Klient Küche/Bad/Du/WC teilt, bilden mit ihr/ihm keine Wohngemeinschaft und verfügen für die von ihnen bewohnten Zimmer über einen eigenen Mietvertrag.</w:t>
      </w:r>
    </w:p>
    <w:tbl>
      <w:tblPr>
        <w:tblW w:w="9104"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6"/>
        <w:gridCol w:w="4678"/>
      </w:tblGrid>
      <w:tr w:rsidR="00681128" w:rsidRPr="00681128" w14:paraId="7B4E675F" w14:textId="77777777" w:rsidTr="00DC53BD">
        <w:tc>
          <w:tcPr>
            <w:tcW w:w="9104" w:type="dxa"/>
            <w:gridSpan w:val="2"/>
          </w:tcPr>
          <w:p w14:paraId="7B4E675E" w14:textId="77777777" w:rsidR="00681128" w:rsidRPr="008C2B13" w:rsidRDefault="00681128" w:rsidP="00DC53BD">
            <w:pPr>
              <w:pStyle w:val="berschrift"/>
              <w:jc w:val="center"/>
              <w:rPr>
                <w:sz w:val="20"/>
                <w:highlight w:val="yellow"/>
              </w:rPr>
            </w:pPr>
            <w:r w:rsidRPr="006D0D5E">
              <w:rPr>
                <w:sz w:val="20"/>
              </w:rPr>
              <w:t>Gesamtmiete für Haushalt pro Monat, unabhängig von der Haushaltgrösse</w:t>
            </w:r>
            <w:r w:rsidRPr="006D0D5E">
              <w:rPr>
                <w:rStyle w:val="Funotenzeichen"/>
                <w:sz w:val="20"/>
              </w:rPr>
              <w:footnoteReference w:id="1"/>
            </w:r>
          </w:p>
        </w:tc>
      </w:tr>
      <w:tr w:rsidR="00681128" w:rsidRPr="00681128" w14:paraId="7B4E6762" w14:textId="77777777" w:rsidTr="00DC53BD">
        <w:tc>
          <w:tcPr>
            <w:tcW w:w="4426" w:type="dxa"/>
          </w:tcPr>
          <w:p w14:paraId="7B4E6760" w14:textId="77777777" w:rsidR="00681128" w:rsidRPr="008C2B13" w:rsidRDefault="00681128" w:rsidP="00DC53BD">
            <w:pPr>
              <w:pStyle w:val="berschrift"/>
              <w:jc w:val="center"/>
              <w:rPr>
                <w:sz w:val="20"/>
                <w:highlight w:val="yellow"/>
              </w:rPr>
            </w:pPr>
            <w:r w:rsidRPr="006D0D5E">
              <w:rPr>
                <w:sz w:val="20"/>
              </w:rPr>
              <w:t>Personen ab 25 Jahren</w:t>
            </w:r>
          </w:p>
        </w:tc>
        <w:tc>
          <w:tcPr>
            <w:tcW w:w="4678" w:type="dxa"/>
          </w:tcPr>
          <w:p w14:paraId="7B4E6761" w14:textId="77777777" w:rsidR="00681128" w:rsidRPr="008C2B13" w:rsidRDefault="00681128" w:rsidP="00DC53BD">
            <w:pPr>
              <w:pStyle w:val="berschrift"/>
              <w:jc w:val="center"/>
              <w:rPr>
                <w:sz w:val="20"/>
                <w:highlight w:val="yellow"/>
              </w:rPr>
            </w:pPr>
            <w:r w:rsidRPr="006D0D5E">
              <w:rPr>
                <w:sz w:val="20"/>
              </w:rPr>
              <w:t>Personen von 18 bis 25 Jahren</w:t>
            </w:r>
          </w:p>
        </w:tc>
      </w:tr>
      <w:tr w:rsidR="00681128" w:rsidRPr="00943BBF" w14:paraId="7B4E6767" w14:textId="77777777" w:rsidTr="00DC53BD">
        <w:tc>
          <w:tcPr>
            <w:tcW w:w="4426" w:type="dxa"/>
            <w:tcMar>
              <w:left w:w="113" w:type="dxa"/>
              <w:right w:w="284" w:type="dxa"/>
            </w:tcMar>
            <w:vAlign w:val="center"/>
          </w:tcPr>
          <w:p w14:paraId="7B4E6763" w14:textId="77777777" w:rsidR="00681128" w:rsidRPr="008C2B13" w:rsidRDefault="00681128" w:rsidP="00DC53BD">
            <w:pPr>
              <w:jc w:val="center"/>
              <w:rPr>
                <w:sz w:val="20"/>
                <w:highlight w:val="yellow"/>
              </w:rPr>
            </w:pPr>
            <w:r w:rsidRPr="006D0D5E">
              <w:rPr>
                <w:sz w:val="20"/>
              </w:rPr>
              <w:t xml:space="preserve">900.- </w:t>
            </w:r>
          </w:p>
        </w:tc>
        <w:tc>
          <w:tcPr>
            <w:tcW w:w="4678" w:type="dxa"/>
            <w:shd w:val="clear" w:color="auto" w:fill="auto"/>
            <w:vAlign w:val="center"/>
          </w:tcPr>
          <w:p w14:paraId="7B4E6764" w14:textId="77777777" w:rsidR="00681128" w:rsidRPr="00681128" w:rsidRDefault="00681128" w:rsidP="00DC53BD">
            <w:pPr>
              <w:jc w:val="center"/>
              <w:rPr>
                <w:sz w:val="20"/>
                <w:highlight w:val="yellow"/>
              </w:rPr>
            </w:pPr>
          </w:p>
          <w:p w14:paraId="7B4E6765" w14:textId="77777777" w:rsidR="00681128" w:rsidRPr="006D0D5E" w:rsidRDefault="00681128" w:rsidP="00DC53BD">
            <w:pPr>
              <w:jc w:val="center"/>
              <w:rPr>
                <w:b/>
                <w:sz w:val="20"/>
              </w:rPr>
            </w:pPr>
            <w:r w:rsidRPr="006D0D5E">
              <w:rPr>
                <w:sz w:val="20"/>
              </w:rPr>
              <w:t>800.-       (Ausnahme)</w:t>
            </w:r>
          </w:p>
          <w:p w14:paraId="7B4E6766" w14:textId="77777777" w:rsidR="00681128" w:rsidRPr="00DD1038" w:rsidRDefault="00681128" w:rsidP="00DC53BD">
            <w:pPr>
              <w:jc w:val="center"/>
              <w:rPr>
                <w:sz w:val="20"/>
              </w:rPr>
            </w:pPr>
          </w:p>
        </w:tc>
      </w:tr>
    </w:tbl>
    <w:p w14:paraId="7B4E6768" w14:textId="77777777" w:rsidR="000E12BF" w:rsidRDefault="000E12BF"/>
    <w:p w14:paraId="7B4E6769" w14:textId="77777777" w:rsidR="000E12BF" w:rsidRDefault="000E12BF" w:rsidP="008C2B13">
      <w:pPr>
        <w:pStyle w:val="Absatz0"/>
        <w:tabs>
          <w:tab w:val="left" w:pos="1430"/>
        </w:tabs>
      </w:pPr>
      <w:r w:rsidRPr="006D0D5E">
        <w:rPr>
          <w:i/>
        </w:rPr>
        <w:t>Kompetenz</w:t>
      </w:r>
      <w:r w:rsidRPr="006D0D5E">
        <w:rPr>
          <w:i/>
        </w:rPr>
        <w:tab/>
      </w:r>
      <w:r w:rsidRPr="006D0D5E">
        <w:t>Die Ausgabenkompetenz liegt bei den Sozialarbeitenden.</w:t>
      </w:r>
    </w:p>
    <w:p w14:paraId="7B4E676A" w14:textId="77777777" w:rsidR="0022589A" w:rsidRPr="006D0D5E" w:rsidRDefault="00043F20" w:rsidP="008C2B13">
      <w:pPr>
        <w:pStyle w:val="berschrift1"/>
      </w:pPr>
      <w:bookmarkStart w:id="9" w:name="_Toc509836626"/>
      <w:bookmarkStart w:id="10" w:name="_Toc509837191"/>
      <w:r w:rsidRPr="006D0D5E">
        <w:t xml:space="preserve">Vorgehen </w:t>
      </w:r>
      <w:r w:rsidR="007A768F" w:rsidRPr="006D0D5E">
        <w:t>bei zu hohem Mietzins</w:t>
      </w:r>
      <w:bookmarkEnd w:id="9"/>
      <w:bookmarkEnd w:id="10"/>
    </w:p>
    <w:p w14:paraId="7B4E676B" w14:textId="77777777" w:rsidR="007A768F" w:rsidRPr="006D0D5E" w:rsidRDefault="007A768F" w:rsidP="007A768F">
      <w:pPr>
        <w:pStyle w:val="Absatz0"/>
      </w:pPr>
      <w:r w:rsidRPr="006D0D5E">
        <w:t>Liegt der Mietzins über dem Maximalbetrag gemäss Ziff. 2 und ist der Umzug in</w:t>
      </w:r>
    </w:p>
    <w:p w14:paraId="7B4E676C" w14:textId="77777777" w:rsidR="00035D04" w:rsidRPr="006D0D5E" w:rsidRDefault="007A768F" w:rsidP="008C2B13">
      <w:pPr>
        <w:pStyle w:val="Absatz0"/>
      </w:pPr>
      <w:r w:rsidRPr="006D0D5E">
        <w:t>eine günstigere Unterkunft verhältnismässig und zumutbar,</w:t>
      </w:r>
      <w:r w:rsidR="00035D04" w:rsidRPr="006D0D5E">
        <w:t xml:space="preserve"> ist das Verfahren </w:t>
      </w:r>
      <w:r w:rsidR="00696C72" w:rsidRPr="006D0D5E">
        <w:t>zur Reduktion des Mietkosten</w:t>
      </w:r>
      <w:r w:rsidR="00035D04" w:rsidRPr="006D0D5E">
        <w:t xml:space="preserve"> </w:t>
      </w:r>
      <w:r w:rsidR="00F82AAB" w:rsidRPr="006D0D5E">
        <w:t xml:space="preserve">gemäss HAW </w:t>
      </w:r>
      <w:r w:rsidR="00035D04" w:rsidRPr="006D0D5E">
        <w:t>Auflagen</w:t>
      </w:r>
      <w:r w:rsidR="007C153E" w:rsidRPr="006D0D5E">
        <w:t>-</w:t>
      </w:r>
      <w:r w:rsidR="00035D04" w:rsidRPr="006D0D5E">
        <w:t xml:space="preserve"> und </w:t>
      </w:r>
      <w:r w:rsidR="007C153E" w:rsidRPr="005D7D07">
        <w:t>Kürzungsverfahren</w:t>
      </w:r>
      <w:r w:rsidR="001002BF" w:rsidRPr="005D7D07">
        <w:t xml:space="preserve"> (</w:t>
      </w:r>
      <w:r w:rsidR="001002BF" w:rsidRPr="001C5F9D">
        <w:t xml:space="preserve">Ziff. </w:t>
      </w:r>
      <w:r w:rsidR="00712E6B" w:rsidRPr="001C5F9D">
        <w:t>4</w:t>
      </w:r>
      <w:r w:rsidR="00035D04" w:rsidRPr="005D7D07">
        <w:t>)</w:t>
      </w:r>
      <w:r w:rsidR="00035D04" w:rsidRPr="006D0D5E">
        <w:t xml:space="preserve"> einzuleiten</w:t>
      </w:r>
      <w:r w:rsidRPr="006D0D5E">
        <w:t>.</w:t>
      </w:r>
    </w:p>
    <w:p w14:paraId="7B4E676D" w14:textId="77777777" w:rsidR="0022589A" w:rsidRPr="006D0D5E" w:rsidRDefault="0022589A" w:rsidP="0022589A">
      <w:pPr>
        <w:pStyle w:val="berschrift2"/>
        <w:tabs>
          <w:tab w:val="clear" w:pos="576"/>
        </w:tabs>
        <w:ind w:left="709" w:hanging="709"/>
      </w:pPr>
      <w:bookmarkStart w:id="11" w:name="_Toc509836627"/>
      <w:r w:rsidRPr="006D0D5E">
        <w:t xml:space="preserve">Befristete Übernahme von zu hohen </w:t>
      </w:r>
      <w:r w:rsidR="00420919" w:rsidRPr="006D0D5E">
        <w:t>Wohn</w:t>
      </w:r>
      <w:r w:rsidRPr="006D0D5E">
        <w:t>kosten</w:t>
      </w:r>
      <w:bookmarkEnd w:id="11"/>
    </w:p>
    <w:p w14:paraId="7B4E676E" w14:textId="77777777" w:rsidR="0022589A" w:rsidRPr="006D0D5E" w:rsidRDefault="0022589A" w:rsidP="0022589A">
      <w:pPr>
        <w:pStyle w:val="Absatz0"/>
      </w:pPr>
      <w:r w:rsidRPr="006D0D5E">
        <w:t xml:space="preserve">Hat der sozialarbeiterische Klärungsprozess ergeben, dass ein Wohnungswechsel (vorderhand) nicht verhältnismässig und zumutbar ist, können die höheren </w:t>
      </w:r>
      <w:r w:rsidR="00420919" w:rsidRPr="006D0D5E">
        <w:t>Wohn</w:t>
      </w:r>
      <w:r w:rsidRPr="006D0D5E">
        <w:t>kosten - inkl. diejenigen von jungen Erwachsenen, die in einem Einpersonen</w:t>
      </w:r>
      <w:r w:rsidR="007A768F" w:rsidRPr="006D0D5E">
        <w:t>haushalt leben - befristet über</w:t>
      </w:r>
      <w:r w:rsidRPr="006D0D5E">
        <w:t xml:space="preserve">nommen </w:t>
      </w:r>
      <w:r w:rsidRPr="00043CB0">
        <w:t xml:space="preserve">werden </w:t>
      </w:r>
      <w:r w:rsidRPr="00D87D7E">
        <w:t>(</w:t>
      </w:r>
      <w:r w:rsidR="00010A3E" w:rsidRPr="00D87D7E">
        <w:t>Entscheid</w:t>
      </w:r>
      <w:r w:rsidRPr="00D87D7E">
        <w:t>)</w:t>
      </w:r>
      <w:r w:rsidRPr="00043CB0">
        <w:t>.</w:t>
      </w:r>
    </w:p>
    <w:p w14:paraId="7B4E676F" w14:textId="77777777" w:rsidR="0022589A" w:rsidRPr="006D0D5E" w:rsidRDefault="0022589A" w:rsidP="0022589A">
      <w:pPr>
        <w:pStyle w:val="Absatz0"/>
      </w:pPr>
    </w:p>
    <w:p w14:paraId="7B4E6770" w14:textId="77777777" w:rsidR="0022589A" w:rsidRPr="006D0D5E" w:rsidRDefault="0022589A" w:rsidP="008C2B13">
      <w:r w:rsidRPr="006D0D5E">
        <w:t>Die Befristung muss auf den konkreten Fall angepasst sein.</w:t>
      </w:r>
      <w:r w:rsidR="00035D04" w:rsidRPr="006D0D5E">
        <w:t xml:space="preserve"> Vor Ablauf der Frist wird über</w:t>
      </w:r>
      <w:r w:rsidRPr="006D0D5E">
        <w:t xml:space="preserve">prüft, ob die Voraussetzungen für die Übernahme der höheren </w:t>
      </w:r>
      <w:r w:rsidR="00420919" w:rsidRPr="006D0D5E">
        <w:t>Wohn</w:t>
      </w:r>
      <w:r w:rsidRPr="006D0D5E">
        <w:t xml:space="preserve">kosten resp. für den Verzicht auf einen Wohnungswechsel weiterhin vorliegen. Wird dies bejaht, ist die weitere Übernahme der vollen </w:t>
      </w:r>
      <w:r w:rsidR="0096761B" w:rsidRPr="006D0D5E">
        <w:t>Wohn</w:t>
      </w:r>
      <w:r w:rsidRPr="006D0D5E">
        <w:t>kosten wieder zu befristen. Die Abklärungs- und Entscheidungsgrundlagen</w:t>
      </w:r>
      <w:r w:rsidR="004C65DB" w:rsidRPr="006D0D5E">
        <w:t xml:space="preserve"> sowie die Erwägungen</w:t>
      </w:r>
      <w:r w:rsidRPr="006D0D5E">
        <w:t xml:space="preserve"> sind in den Akten vollständig zu dokumentieren. </w:t>
      </w:r>
    </w:p>
    <w:p w14:paraId="7B4E6771" w14:textId="77777777" w:rsidR="00A24FE9" w:rsidRPr="006D0D5E" w:rsidRDefault="00A24FE9" w:rsidP="008C2B13"/>
    <w:p w14:paraId="7B4E6772" w14:textId="77777777" w:rsidR="0022589A" w:rsidRPr="006D0D5E" w:rsidRDefault="0022589A" w:rsidP="0022589A">
      <w:pPr>
        <w:pStyle w:val="Absatz0"/>
        <w:rPr>
          <w:i/>
        </w:rPr>
      </w:pPr>
      <w:r w:rsidRPr="006D0D5E">
        <w:rPr>
          <w:i/>
        </w:rPr>
        <w:t>Abgestufte Kompetenz</w:t>
      </w:r>
    </w:p>
    <w:tbl>
      <w:tblPr>
        <w:tblW w:w="9132" w:type="dxa"/>
        <w:tblInd w:w="108" w:type="dxa"/>
        <w:tblBorders>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00"/>
        <w:gridCol w:w="2144"/>
        <w:gridCol w:w="2086"/>
        <w:gridCol w:w="2202"/>
      </w:tblGrid>
      <w:tr w:rsidR="0022589A" w:rsidRPr="00093CD6" w14:paraId="7B4E6775" w14:textId="77777777" w:rsidTr="0022589A">
        <w:tc>
          <w:tcPr>
            <w:tcW w:w="2700" w:type="dxa"/>
            <w:tcBorders>
              <w:top w:val="nil"/>
              <w:left w:val="nil"/>
            </w:tcBorders>
          </w:tcPr>
          <w:p w14:paraId="7B4E6773" w14:textId="77777777" w:rsidR="0022589A" w:rsidRPr="008C2B13" w:rsidRDefault="0022589A" w:rsidP="0022589A">
            <w:pPr>
              <w:pStyle w:val="Absatz0"/>
              <w:rPr>
                <w:i/>
                <w:sz w:val="21"/>
                <w:szCs w:val="21"/>
                <w:highlight w:val="yellow"/>
              </w:rPr>
            </w:pPr>
          </w:p>
        </w:tc>
        <w:tc>
          <w:tcPr>
            <w:tcW w:w="6432" w:type="dxa"/>
            <w:gridSpan w:val="3"/>
            <w:tcBorders>
              <w:top w:val="single" w:sz="4" w:space="0" w:color="auto"/>
            </w:tcBorders>
          </w:tcPr>
          <w:p w14:paraId="7B4E6774" w14:textId="77777777" w:rsidR="0022589A" w:rsidRPr="008C2B13" w:rsidRDefault="0022589A" w:rsidP="0022589A">
            <w:pPr>
              <w:pStyle w:val="Absatz0"/>
              <w:rPr>
                <w:i/>
                <w:sz w:val="21"/>
                <w:szCs w:val="21"/>
                <w:highlight w:val="yellow"/>
              </w:rPr>
            </w:pPr>
            <w:r w:rsidRPr="006D0D5E">
              <w:rPr>
                <w:i/>
                <w:sz w:val="21"/>
                <w:szCs w:val="21"/>
              </w:rPr>
              <w:t>Ausgabenkompetenz (pro Fall)</w:t>
            </w:r>
          </w:p>
        </w:tc>
      </w:tr>
      <w:tr w:rsidR="0022589A" w:rsidRPr="00093CD6" w14:paraId="7B4E677C" w14:textId="77777777" w:rsidTr="0022589A">
        <w:tc>
          <w:tcPr>
            <w:tcW w:w="2700" w:type="dxa"/>
            <w:tcBorders>
              <w:top w:val="single" w:sz="4" w:space="0" w:color="auto"/>
              <w:left w:val="single" w:sz="4" w:space="0" w:color="auto"/>
            </w:tcBorders>
          </w:tcPr>
          <w:p w14:paraId="7B4E6776" w14:textId="77777777" w:rsidR="0022589A" w:rsidRPr="006D0D5E" w:rsidRDefault="0022589A" w:rsidP="0022589A">
            <w:pPr>
              <w:pStyle w:val="Absatz0"/>
              <w:rPr>
                <w:i/>
                <w:sz w:val="21"/>
                <w:szCs w:val="21"/>
              </w:rPr>
            </w:pPr>
            <w:r w:rsidRPr="006D0D5E">
              <w:rPr>
                <w:i/>
                <w:sz w:val="21"/>
                <w:szCs w:val="21"/>
              </w:rPr>
              <w:t>Thema</w:t>
            </w:r>
          </w:p>
        </w:tc>
        <w:tc>
          <w:tcPr>
            <w:tcW w:w="2144" w:type="dxa"/>
          </w:tcPr>
          <w:p w14:paraId="7B4E6777" w14:textId="77777777" w:rsidR="0022589A" w:rsidRPr="006D0D5E" w:rsidRDefault="0022589A" w:rsidP="0022589A">
            <w:pPr>
              <w:pStyle w:val="Absatz0"/>
              <w:rPr>
                <w:i/>
                <w:sz w:val="21"/>
                <w:szCs w:val="21"/>
              </w:rPr>
            </w:pPr>
            <w:r w:rsidRPr="006D0D5E">
              <w:rPr>
                <w:i/>
                <w:sz w:val="21"/>
                <w:szCs w:val="21"/>
              </w:rPr>
              <w:t xml:space="preserve">SA </w:t>
            </w:r>
          </w:p>
          <w:p w14:paraId="7B4E6778" w14:textId="77777777" w:rsidR="0022589A" w:rsidRPr="006D0D5E" w:rsidRDefault="0022589A" w:rsidP="0022589A">
            <w:pPr>
              <w:pStyle w:val="Absatz0"/>
              <w:rPr>
                <w:i/>
                <w:sz w:val="21"/>
                <w:szCs w:val="21"/>
              </w:rPr>
            </w:pPr>
          </w:p>
        </w:tc>
        <w:tc>
          <w:tcPr>
            <w:tcW w:w="2086" w:type="dxa"/>
          </w:tcPr>
          <w:p w14:paraId="7B4E6779" w14:textId="77777777" w:rsidR="0022589A" w:rsidRPr="006D0D5E" w:rsidRDefault="0022589A" w:rsidP="0022589A">
            <w:pPr>
              <w:pStyle w:val="Absatz0"/>
              <w:rPr>
                <w:i/>
                <w:sz w:val="21"/>
                <w:szCs w:val="21"/>
              </w:rPr>
            </w:pPr>
            <w:r w:rsidRPr="006D0D5E">
              <w:rPr>
                <w:i/>
                <w:sz w:val="21"/>
                <w:szCs w:val="21"/>
              </w:rPr>
              <w:t xml:space="preserve">SL </w:t>
            </w:r>
          </w:p>
          <w:p w14:paraId="7B4E677A" w14:textId="77777777" w:rsidR="0022589A" w:rsidRPr="006D0D5E" w:rsidRDefault="0022589A" w:rsidP="0022589A">
            <w:pPr>
              <w:pStyle w:val="Absatz0"/>
              <w:rPr>
                <w:i/>
                <w:sz w:val="21"/>
                <w:szCs w:val="21"/>
              </w:rPr>
            </w:pPr>
          </w:p>
        </w:tc>
        <w:tc>
          <w:tcPr>
            <w:tcW w:w="2202" w:type="dxa"/>
          </w:tcPr>
          <w:p w14:paraId="7B4E677B" w14:textId="77777777" w:rsidR="0022589A" w:rsidRPr="006D0D5E" w:rsidRDefault="0022589A" w:rsidP="0022589A">
            <w:pPr>
              <w:pStyle w:val="Absatz0"/>
              <w:rPr>
                <w:i/>
                <w:sz w:val="21"/>
                <w:szCs w:val="21"/>
              </w:rPr>
            </w:pPr>
            <w:r w:rsidRPr="006D0D5E">
              <w:rPr>
                <w:i/>
                <w:sz w:val="21"/>
                <w:szCs w:val="21"/>
              </w:rPr>
              <w:t>ZL</w:t>
            </w:r>
          </w:p>
        </w:tc>
      </w:tr>
      <w:tr w:rsidR="0022589A" w:rsidRPr="00093CD6" w14:paraId="7B4E6781" w14:textId="77777777" w:rsidTr="0022589A">
        <w:tc>
          <w:tcPr>
            <w:tcW w:w="2700" w:type="dxa"/>
            <w:tcBorders>
              <w:top w:val="single" w:sz="4" w:space="0" w:color="auto"/>
              <w:left w:val="single" w:sz="4" w:space="0" w:color="auto"/>
              <w:bottom w:val="single" w:sz="4" w:space="0" w:color="auto"/>
            </w:tcBorders>
          </w:tcPr>
          <w:p w14:paraId="7B4E677D" w14:textId="77777777" w:rsidR="0022589A" w:rsidRPr="006D0D5E" w:rsidRDefault="0022589A" w:rsidP="0022589A">
            <w:pPr>
              <w:pStyle w:val="Absatz0"/>
              <w:rPr>
                <w:sz w:val="21"/>
                <w:szCs w:val="21"/>
              </w:rPr>
            </w:pPr>
            <w:r w:rsidRPr="006D0D5E">
              <w:t>Befristete Übernahme eines zu hohen Miet</w:t>
            </w:r>
            <w:r w:rsidRPr="006D0D5E">
              <w:softHyphen/>
              <w:t>zinses (ohne Auflage; gilt auch für junge Erwachsene in Einpersonenhaushalt)</w:t>
            </w:r>
          </w:p>
        </w:tc>
        <w:tc>
          <w:tcPr>
            <w:tcW w:w="2144" w:type="dxa"/>
          </w:tcPr>
          <w:p w14:paraId="7B4E677E" w14:textId="77777777" w:rsidR="0022589A" w:rsidRPr="006D0D5E" w:rsidRDefault="0022589A" w:rsidP="0022589A">
            <w:pPr>
              <w:pStyle w:val="Absatz0"/>
              <w:rPr>
                <w:sz w:val="21"/>
                <w:szCs w:val="21"/>
              </w:rPr>
            </w:pPr>
            <w:r w:rsidRPr="006D0D5E">
              <w:t>0 bis 12 Monate</w:t>
            </w:r>
          </w:p>
        </w:tc>
        <w:tc>
          <w:tcPr>
            <w:tcW w:w="2086" w:type="dxa"/>
          </w:tcPr>
          <w:p w14:paraId="7B4E677F" w14:textId="77777777" w:rsidR="0022589A" w:rsidRPr="006D0D5E" w:rsidRDefault="0022589A" w:rsidP="0022589A">
            <w:pPr>
              <w:pStyle w:val="Absatz0"/>
              <w:rPr>
                <w:sz w:val="21"/>
                <w:szCs w:val="21"/>
              </w:rPr>
            </w:pPr>
            <w:r w:rsidRPr="006D0D5E">
              <w:t>weitere 6 Monate oder über 12 M</w:t>
            </w:r>
            <w:r w:rsidR="00035D04" w:rsidRPr="006D0D5E">
              <w:t>o</w:t>
            </w:r>
            <w:r w:rsidRPr="006D0D5E">
              <w:t>nate</w:t>
            </w:r>
          </w:p>
        </w:tc>
        <w:tc>
          <w:tcPr>
            <w:tcW w:w="2202" w:type="dxa"/>
          </w:tcPr>
          <w:p w14:paraId="7B4E6780" w14:textId="77777777" w:rsidR="0022589A" w:rsidRPr="006D0D5E" w:rsidRDefault="0022589A" w:rsidP="0022589A">
            <w:pPr>
              <w:pStyle w:val="Absatz0"/>
              <w:rPr>
                <w:sz w:val="21"/>
                <w:szCs w:val="21"/>
              </w:rPr>
            </w:pPr>
            <w:r w:rsidRPr="006D0D5E">
              <w:t>über 18 Monate</w:t>
            </w:r>
          </w:p>
        </w:tc>
      </w:tr>
    </w:tbl>
    <w:p w14:paraId="7B4E6782" w14:textId="77777777" w:rsidR="0022589A" w:rsidRPr="008C2B13" w:rsidRDefault="0022589A" w:rsidP="0022589A">
      <w:pPr>
        <w:pStyle w:val="Absatz0"/>
        <w:rPr>
          <w:highlight w:val="yellow"/>
        </w:rPr>
      </w:pPr>
    </w:p>
    <w:p w14:paraId="7B4E6783" w14:textId="77777777" w:rsidR="0022589A" w:rsidRPr="006D0D5E" w:rsidRDefault="0022589A" w:rsidP="0022589A">
      <w:pPr>
        <w:pStyle w:val="Absatz0"/>
      </w:pPr>
      <w:r w:rsidRPr="006D0D5E">
        <w:t xml:space="preserve">Hat sich die Situation im Verlaufe der Befristung verändert und erscheint der Wechsel in eine </w:t>
      </w:r>
      <w:r w:rsidR="005F250C" w:rsidRPr="006D0D5E">
        <w:t>günstigere</w:t>
      </w:r>
      <w:r w:rsidRPr="006D0D5E">
        <w:t xml:space="preserve"> Wohnung neu als verhältnismässig und zumutbar, ist</w:t>
      </w:r>
      <w:r w:rsidR="00696C72" w:rsidRPr="006D0D5E">
        <w:t xml:space="preserve"> das Verfahren zur Reduktion der</w:t>
      </w:r>
      <w:r w:rsidRPr="006D0D5E">
        <w:t xml:space="preserve"> Miet</w:t>
      </w:r>
      <w:r w:rsidR="00696C72" w:rsidRPr="006D0D5E">
        <w:t>kosten</w:t>
      </w:r>
      <w:r w:rsidR="00390E81" w:rsidRPr="006D0D5E">
        <w:t xml:space="preserve"> gemäss HAW </w:t>
      </w:r>
      <w:r w:rsidR="007C153E" w:rsidRPr="006D0D5E">
        <w:t>Auflagen- und Kürzungsverfahren</w:t>
      </w:r>
      <w:r w:rsidR="001002BF" w:rsidRPr="006D0D5E">
        <w:t xml:space="preserve"> (Ziff. 3</w:t>
      </w:r>
      <w:r w:rsidR="00390E81" w:rsidRPr="006D0D5E">
        <w:t>) einzuleiten.</w:t>
      </w:r>
    </w:p>
    <w:p w14:paraId="7B4E6784" w14:textId="77777777" w:rsidR="00E556A0" w:rsidRPr="006D0D5E" w:rsidRDefault="00BD437C" w:rsidP="008C2B13">
      <w:pPr>
        <w:pStyle w:val="berschrift2"/>
      </w:pPr>
      <w:bookmarkStart w:id="12" w:name="_Toc509836628"/>
      <w:r w:rsidRPr="00D87D7E">
        <w:lastRenderedPageBreak/>
        <w:t>Freiwilliger</w:t>
      </w:r>
      <w:r w:rsidRPr="00043CB0">
        <w:t xml:space="preserve"> Wechsel in eine </w:t>
      </w:r>
      <w:r w:rsidRPr="00D87D7E">
        <w:t xml:space="preserve">zu </w:t>
      </w:r>
      <w:r w:rsidR="00CD353B" w:rsidRPr="00D87D7E">
        <w:t>teure</w:t>
      </w:r>
      <w:r w:rsidR="007253C2" w:rsidRPr="006D0D5E">
        <w:t xml:space="preserve"> Wohnung ohne Absprache</w:t>
      </w:r>
    </w:p>
    <w:p w14:paraId="7B4E6785" w14:textId="77777777" w:rsidR="00BD437C" w:rsidRPr="006D0D5E" w:rsidRDefault="00AA34C7" w:rsidP="00BD437C">
      <w:pPr>
        <w:pStyle w:val="Absatz0"/>
      </w:pPr>
      <w:r w:rsidRPr="00D87D7E">
        <w:t xml:space="preserve">Verlassen unterstützte Personen freiwillig während der Unterstützung eine für sie zumutbare Wohnung, um in </w:t>
      </w:r>
      <w:r w:rsidR="0047785A" w:rsidRPr="00D87D7E">
        <w:t xml:space="preserve">eine </w:t>
      </w:r>
      <w:r w:rsidR="005D60C4" w:rsidRPr="00D87D7E">
        <w:t>zu teure</w:t>
      </w:r>
      <w:r w:rsidRPr="00D87D7E">
        <w:t xml:space="preserve"> Wohnung einzuziehen, kann die Übernahme des neuen Mietzinses </w:t>
      </w:r>
      <w:r w:rsidR="00944A3E" w:rsidRPr="00D87D7E">
        <w:t xml:space="preserve">mittels anfechtbarem Entscheid </w:t>
      </w:r>
      <w:r w:rsidR="0047785A" w:rsidRPr="00D87D7E">
        <w:t>verweigert werden</w:t>
      </w:r>
      <w:r w:rsidRPr="00D87D7E">
        <w:t>.</w:t>
      </w:r>
      <w:r w:rsidR="00E556A0" w:rsidRPr="00D87D7E">
        <w:t xml:space="preserve"> </w:t>
      </w:r>
      <w:r w:rsidR="00BD437C" w:rsidRPr="00D87D7E">
        <w:t xml:space="preserve">Im Unterstützungsbudget wird ab Bezug der neuen Wohnung nur </w:t>
      </w:r>
      <w:r w:rsidR="005D60C4" w:rsidRPr="00D87D7E">
        <w:t>der angemessene Mietzins gemäss Ziff. 2 in der Bedarfsrechnung berücksichtigt.</w:t>
      </w:r>
      <w:r w:rsidR="005D60C4" w:rsidRPr="006D0D5E">
        <w:t xml:space="preserve"> </w:t>
      </w:r>
    </w:p>
    <w:p w14:paraId="7B4E6786" w14:textId="77777777" w:rsidR="00E556A0" w:rsidRPr="006D0D5E" w:rsidRDefault="00E556A0" w:rsidP="00E556A0">
      <w:pPr>
        <w:pStyle w:val="Absatz0"/>
      </w:pPr>
    </w:p>
    <w:p w14:paraId="7B4E6787" w14:textId="77777777" w:rsidR="00E556A0" w:rsidRPr="006D0D5E" w:rsidRDefault="00E556A0" w:rsidP="00E556A0">
      <w:pPr>
        <w:pStyle w:val="Absatz0"/>
      </w:pPr>
      <w:r w:rsidRPr="006D0D5E">
        <w:t>Anders als beim Reduktionsverfahren</w:t>
      </w:r>
      <w:r w:rsidR="00F82AAB" w:rsidRPr="006D0D5E">
        <w:t xml:space="preserve"> gemäss HAW </w:t>
      </w:r>
      <w:r w:rsidRPr="006D0D5E">
        <w:t>Auflagen-</w:t>
      </w:r>
      <w:r w:rsidR="001002BF" w:rsidRPr="006D0D5E">
        <w:t xml:space="preserve"> und Kürzungsverfahren (Ziff. 3</w:t>
      </w:r>
      <w:r w:rsidRPr="006D0D5E">
        <w:t>) erfolgt hier keine Reduktion einer bisher gewährten Leistung, weshalb das zweistufige Verfahren nicht zur Anwendung gelangt.</w:t>
      </w:r>
    </w:p>
    <w:p w14:paraId="7B4E6788" w14:textId="77777777" w:rsidR="00E556A0" w:rsidRPr="006D0D5E" w:rsidRDefault="00E556A0" w:rsidP="00E556A0">
      <w:pPr>
        <w:pStyle w:val="Absatz0"/>
      </w:pPr>
    </w:p>
    <w:p w14:paraId="7B4E6789" w14:textId="77777777" w:rsidR="00E556A0" w:rsidRPr="006D0D5E" w:rsidRDefault="00E556A0" w:rsidP="008C2B13">
      <w:pPr>
        <w:pStyle w:val="Absatz0"/>
        <w:tabs>
          <w:tab w:val="left" w:pos="1430"/>
        </w:tabs>
      </w:pPr>
      <w:r w:rsidRPr="006D0D5E">
        <w:rPr>
          <w:i/>
        </w:rPr>
        <w:t>Kompetenz</w:t>
      </w:r>
      <w:r w:rsidRPr="006D0D5E">
        <w:rPr>
          <w:i/>
        </w:rPr>
        <w:tab/>
      </w:r>
      <w:r w:rsidRPr="006D0D5E">
        <w:t xml:space="preserve">Der Erlass </w:t>
      </w:r>
      <w:r w:rsidR="00944A3E" w:rsidRPr="00043CB0">
        <w:t xml:space="preserve">des </w:t>
      </w:r>
      <w:r w:rsidR="00944A3E" w:rsidRPr="00D87D7E">
        <w:t>Entscheids</w:t>
      </w:r>
      <w:r w:rsidRPr="00043CB0">
        <w:t xml:space="preserve"> liegt</w:t>
      </w:r>
      <w:r w:rsidRPr="006D0D5E">
        <w:t xml:space="preserve"> in der Kompetenz der Stellenleitung.</w:t>
      </w:r>
    </w:p>
    <w:p w14:paraId="7B4E678A" w14:textId="77777777" w:rsidR="0022589A" w:rsidRPr="006D0D5E" w:rsidRDefault="0022589A" w:rsidP="008C2B13">
      <w:pPr>
        <w:pStyle w:val="berschrift2"/>
      </w:pPr>
      <w:r w:rsidRPr="006D0D5E">
        <w:t>Zu hoher Mietzins und finanzielle Unterstützung durch Dritte</w:t>
      </w:r>
      <w:bookmarkEnd w:id="12"/>
    </w:p>
    <w:p w14:paraId="7B4E678B" w14:textId="77777777" w:rsidR="00043F20" w:rsidRPr="006D0D5E" w:rsidRDefault="005F250C" w:rsidP="0022589A">
      <w:pPr>
        <w:pStyle w:val="Absatz0"/>
      </w:pPr>
      <w:r w:rsidRPr="006D0D5E">
        <w:t xml:space="preserve">Ein zu hoher Mietzins darf nicht durch Zuwendungen Dritter finanziert werden. Zuwendungen Dritter zur Finanzierung der Miete werden wie üblich in der Bedarfsrechnung als Einnahmen berücksichtigt. </w:t>
      </w:r>
    </w:p>
    <w:p w14:paraId="7B4E678C" w14:textId="77777777" w:rsidR="00E7587F" w:rsidRPr="009A2265" w:rsidRDefault="00E7587F" w:rsidP="00E7587F">
      <w:pPr>
        <w:pStyle w:val="berschrift1"/>
        <w:rPr>
          <w:rFonts w:cs="Arial"/>
        </w:rPr>
      </w:pPr>
      <w:bookmarkStart w:id="13" w:name="_Toc509836629"/>
      <w:bookmarkStart w:id="14" w:name="_Toc509837192"/>
      <w:r w:rsidRPr="009A2265">
        <w:rPr>
          <w:rFonts w:cs="Arial"/>
        </w:rPr>
        <w:t>Spezialsituation: junge Erwachsene</w:t>
      </w:r>
      <w:bookmarkEnd w:id="13"/>
      <w:bookmarkEnd w:id="14"/>
    </w:p>
    <w:p w14:paraId="7B4E678D" w14:textId="77777777" w:rsidR="003E0B79" w:rsidRPr="009A2265" w:rsidRDefault="00E7587F" w:rsidP="00E7587F">
      <w:pPr>
        <w:pStyle w:val="Absatz0"/>
      </w:pPr>
      <w:r w:rsidRPr="009A2265">
        <w:t>Jungen Erwachsenen (Personen zwischen dem vollendeten 18. und dem vollendeten 25. Lebensjahr) ist es zuzumuten, besonders günstig zu wohnen, um im Vergleich zu nicht unterstützten Gleichaltrigen nicht besser gestellt zu sein.</w:t>
      </w:r>
    </w:p>
    <w:p w14:paraId="7B4E678E" w14:textId="77777777" w:rsidR="003E0B79" w:rsidRPr="009A2265" w:rsidRDefault="003E0B79" w:rsidP="00E7587F">
      <w:pPr>
        <w:pStyle w:val="Absatz0"/>
      </w:pPr>
    </w:p>
    <w:p w14:paraId="7B4E678F" w14:textId="1EB9F95A" w:rsidR="003E0B79" w:rsidRPr="009A2265" w:rsidRDefault="00CD76F9" w:rsidP="00E7587F">
      <w:pPr>
        <w:pStyle w:val="Absatz0"/>
      </w:pPr>
      <w:r w:rsidRPr="00CD76F9">
        <w:t>Deshalb wird von ihnen erwartet, weiterhin bei ihren Eltern zu wohnen, solange sie noch über keine abgeschlossene Erstausbildung verfügen und sofern keine unüberbrückbaren Konflikte bestehen. Die anteilmässigen Wohnkosten werden nur übernommen, wenn den Eltern deren volle Übernahme nach den gesamten Umständen nicht zugemutet werden kann (</w:t>
      </w:r>
      <w:r w:rsidRPr="001C5F9D">
        <w:rPr>
          <w:highlight w:val="yellow"/>
        </w:rPr>
        <w:t xml:space="preserve">SKOS-Richtlinie Kapitel </w:t>
      </w:r>
      <w:r w:rsidR="002013A3" w:rsidRPr="005D7D07">
        <w:rPr>
          <w:highlight w:val="yellow"/>
        </w:rPr>
        <w:t>C</w:t>
      </w:r>
      <w:r w:rsidRPr="00CD76F9">
        <w:t xml:space="preserve">). </w:t>
      </w:r>
    </w:p>
    <w:p w14:paraId="7B4E6790" w14:textId="77777777" w:rsidR="003E0B79" w:rsidRPr="009A2265" w:rsidRDefault="003E0B79"/>
    <w:p w14:paraId="7B4E6791" w14:textId="77777777" w:rsidR="00456A63" w:rsidRPr="006D0D5E" w:rsidRDefault="003E0B79" w:rsidP="00B14973">
      <w:pPr>
        <w:pStyle w:val="Absatz0"/>
      </w:pPr>
      <w:r w:rsidRPr="009A2265">
        <w:t xml:space="preserve">Ist der Verbleib im elterlichen Haushalt nicht möglich oder nicht zumutbar, wird erwartet, dass </w:t>
      </w:r>
      <w:r w:rsidR="00B14973" w:rsidRPr="009A2265">
        <w:t>junge Erwachsene</w:t>
      </w:r>
      <w:r w:rsidRPr="009A2265">
        <w:t xml:space="preserve"> </w:t>
      </w:r>
      <w:r w:rsidR="00E7587F" w:rsidRPr="009A2265">
        <w:t>eine preiswerte Wohnmöglichkeit in einem Mehrpersonenhaushalt in Anspruch nehmen (</w:t>
      </w:r>
      <w:r w:rsidRPr="009A2265">
        <w:t xml:space="preserve">sogenannte Zweckwohngemeinschaft). </w:t>
      </w:r>
      <w:r w:rsidR="00E7587F" w:rsidRPr="009A2265">
        <w:t xml:space="preserve">Diese Wohnform gilt für sie als </w:t>
      </w:r>
      <w:r w:rsidR="00E7587F" w:rsidRPr="006D0D5E">
        <w:t xml:space="preserve">angemessen (vgl. Ziff. </w:t>
      </w:r>
      <w:r w:rsidR="00F4631F" w:rsidRPr="006D0D5E">
        <w:t>2b</w:t>
      </w:r>
      <w:r w:rsidR="00E7587F" w:rsidRPr="006D0D5E">
        <w:t>).</w:t>
      </w:r>
      <w:r w:rsidRPr="006D0D5E">
        <w:t xml:space="preserve"> </w:t>
      </w:r>
      <w:r w:rsidR="00E7587F" w:rsidRPr="006D0D5E">
        <w:t>Das Führen eines Einpersonenhaushaltes hingegen ist nur ausnahmsweise und bei Vor</w:t>
      </w:r>
      <w:r w:rsidR="00B14973" w:rsidRPr="006D0D5E">
        <w:t>liegen beson</w:t>
      </w:r>
      <w:r w:rsidR="00E7587F" w:rsidRPr="006D0D5E">
        <w:t>derer Umstände gerechtfertigt.</w:t>
      </w:r>
    </w:p>
    <w:p w14:paraId="7B4E6792" w14:textId="77777777" w:rsidR="00456A63" w:rsidRPr="006D0D5E" w:rsidRDefault="00456A63" w:rsidP="00CC7ABF">
      <w:pPr>
        <w:pStyle w:val="Absatz0"/>
        <w:tabs>
          <w:tab w:val="left" w:pos="1430"/>
        </w:tabs>
        <w:ind w:left="1430" w:hanging="1430"/>
        <w:rPr>
          <w:i/>
        </w:rPr>
      </w:pPr>
    </w:p>
    <w:p w14:paraId="7B4E6793" w14:textId="77777777" w:rsidR="00FE3932" w:rsidRPr="006D0D5E" w:rsidRDefault="00F43B23" w:rsidP="00CC7ABF">
      <w:pPr>
        <w:pStyle w:val="Absatz0"/>
        <w:tabs>
          <w:tab w:val="left" w:pos="1430"/>
        </w:tabs>
        <w:ind w:left="1430" w:hanging="1430"/>
      </w:pPr>
      <w:r w:rsidRPr="006D0D5E">
        <w:rPr>
          <w:i/>
        </w:rPr>
        <w:t>Kompetenz</w:t>
      </w:r>
      <w:r w:rsidRPr="006D0D5E">
        <w:rPr>
          <w:i/>
        </w:rPr>
        <w:tab/>
      </w:r>
      <w:r w:rsidRPr="006D0D5E">
        <w:t>Die Kompetenz, einen Einpersonenhaushalt zu bewilligen, liegt bei den Sozialarbeitenden.</w:t>
      </w:r>
    </w:p>
    <w:p w14:paraId="7B4E6794" w14:textId="77777777" w:rsidR="004F3E85" w:rsidRPr="006D0D5E" w:rsidRDefault="004F3E85" w:rsidP="00A66F32">
      <w:pPr>
        <w:pStyle w:val="Absatz0"/>
      </w:pPr>
    </w:p>
    <w:p w14:paraId="7B4E6795" w14:textId="77777777" w:rsidR="00A66F32" w:rsidRPr="009A2265" w:rsidRDefault="00FE3932" w:rsidP="00A66F32">
      <w:pPr>
        <w:pStyle w:val="Absatz0"/>
      </w:pPr>
      <w:r w:rsidRPr="006D0D5E">
        <w:t xml:space="preserve">Liegen keine besonderen Umstände für das Führen eines Einpersonenhaushaltes vor, so ist </w:t>
      </w:r>
      <w:r w:rsidR="00B66CF9" w:rsidRPr="006D0D5E">
        <w:t xml:space="preserve">das Verfahren </w:t>
      </w:r>
      <w:r w:rsidR="00696C72" w:rsidRPr="006D0D5E">
        <w:t>zur Reduktion der</w:t>
      </w:r>
      <w:r w:rsidR="00B66CF9" w:rsidRPr="006D0D5E">
        <w:t xml:space="preserve"> Mietz</w:t>
      </w:r>
      <w:r w:rsidR="00696C72" w:rsidRPr="006D0D5E">
        <w:t>kosten</w:t>
      </w:r>
      <w:r w:rsidR="00B66CF9" w:rsidRPr="006D0D5E">
        <w:t xml:space="preserve"> </w:t>
      </w:r>
      <w:r w:rsidR="00F82AAB" w:rsidRPr="006D0D5E">
        <w:t>gemäss HAW Auflagen- und Kürzungsverfahren</w:t>
      </w:r>
      <w:r w:rsidR="007C153E" w:rsidRPr="006D0D5E">
        <w:t xml:space="preserve"> </w:t>
      </w:r>
      <w:r w:rsidR="001002BF" w:rsidRPr="006D0D5E">
        <w:t>(Ziff. 3</w:t>
      </w:r>
      <w:r w:rsidR="00B66CF9" w:rsidRPr="006D0D5E">
        <w:t>) anzuwenden</w:t>
      </w:r>
      <w:r w:rsidRPr="006D0D5E">
        <w:t>.</w:t>
      </w:r>
    </w:p>
    <w:p w14:paraId="7B4E6796" w14:textId="77777777" w:rsidR="004F3E85" w:rsidRPr="009A2265" w:rsidRDefault="00D87D7E" w:rsidP="00A66F32">
      <w:pPr>
        <w:pStyle w:val="Absatz0"/>
      </w:pPr>
      <w:r>
        <w:br w:type="page"/>
      </w:r>
    </w:p>
    <w:p w14:paraId="7B4E6797" w14:textId="77777777" w:rsidR="004C2256" w:rsidRPr="009A2265" w:rsidRDefault="008218DF" w:rsidP="008218DF">
      <w:pPr>
        <w:pStyle w:val="berschrift1"/>
        <w:rPr>
          <w:rFonts w:cs="Arial"/>
        </w:rPr>
      </w:pPr>
      <w:bookmarkStart w:id="15" w:name="_Toc509836630"/>
      <w:bookmarkStart w:id="16" w:name="_Toc509837193"/>
      <w:r w:rsidRPr="009A2265">
        <w:rPr>
          <w:rFonts w:cs="Arial"/>
        </w:rPr>
        <w:lastRenderedPageBreak/>
        <w:t xml:space="preserve">Einzelfragen im Zusammenhang mit der Finanzierung von </w:t>
      </w:r>
      <w:bookmarkEnd w:id="15"/>
      <w:bookmarkEnd w:id="16"/>
      <w:r w:rsidR="004F0B95">
        <w:rPr>
          <w:rFonts w:cs="Arial"/>
        </w:rPr>
        <w:t>Wohn</w:t>
      </w:r>
      <w:r w:rsidR="004F0B95" w:rsidRPr="009A2265">
        <w:rPr>
          <w:rFonts w:cs="Arial"/>
        </w:rPr>
        <w:t>kosten</w:t>
      </w:r>
    </w:p>
    <w:p w14:paraId="7B4E6798" w14:textId="77777777" w:rsidR="00953F1B" w:rsidRPr="009A2265" w:rsidRDefault="00953F1B" w:rsidP="00953F1B">
      <w:pPr>
        <w:pStyle w:val="Absatz0"/>
        <w:rPr>
          <w:sz w:val="2"/>
          <w:szCs w:val="2"/>
        </w:rPr>
      </w:pPr>
    </w:p>
    <w:p w14:paraId="7B4E6799" w14:textId="77777777" w:rsidR="008218DF" w:rsidRPr="009A2265" w:rsidRDefault="008218DF" w:rsidP="00B6574D">
      <w:pPr>
        <w:pStyle w:val="berschrift2"/>
        <w:rPr>
          <w:rFonts w:cs="Arial"/>
        </w:rPr>
      </w:pPr>
      <w:bookmarkStart w:id="17" w:name="_Toc509836631"/>
      <w:r w:rsidRPr="009A2265">
        <w:rPr>
          <w:rFonts w:cs="Arial"/>
        </w:rPr>
        <w:t>Mietzinsübernahme bei solidarischer Haftung der unterstützten Person für den gesamten Mietzins</w:t>
      </w:r>
      <w:bookmarkEnd w:id="17"/>
    </w:p>
    <w:p w14:paraId="7B4E679A" w14:textId="77777777" w:rsidR="008218DF" w:rsidRPr="009A2265" w:rsidRDefault="008218DF" w:rsidP="00B6574D">
      <w:pPr>
        <w:pStyle w:val="Absatz0"/>
      </w:pPr>
      <w:r w:rsidRPr="006D0D5E">
        <w:t>Haftet die unterstützte Person mit ihren Mitbewohner</w:t>
      </w:r>
      <w:r w:rsidR="005C5245" w:rsidRPr="006D0D5E">
        <w:t>i</w:t>
      </w:r>
      <w:r w:rsidRPr="006D0D5E">
        <w:t>nnen</w:t>
      </w:r>
      <w:r w:rsidR="00192991" w:rsidRPr="006D0D5E">
        <w:t xml:space="preserve"> und Mitbewohnern</w:t>
      </w:r>
      <w:r w:rsidRPr="006D0D5E">
        <w:t xml:space="preserve"> solidarisch für</w:t>
      </w:r>
      <w:r w:rsidRPr="009A2265">
        <w:t xml:space="preserve"> den gesamten Mietzins der Wohnung</w:t>
      </w:r>
      <w:r w:rsidR="00090F92" w:rsidRPr="009A2265">
        <w:t xml:space="preserve">, weil der </w:t>
      </w:r>
      <w:r w:rsidRPr="009A2265">
        <w:t>Mietvertrag</w:t>
      </w:r>
      <w:r w:rsidR="00090F92" w:rsidRPr="009A2265">
        <w:t xml:space="preserve"> gemeinsam unterschrieben wurde</w:t>
      </w:r>
      <w:r w:rsidRPr="009A2265">
        <w:t>, wird der auf sie entfallende Mietanteil übernommen, soweit die Finanzierung des restlichen Mietzinses gewährleistet ist. Dies wird der unterstützten Person schriftlich</w:t>
      </w:r>
      <w:r w:rsidR="00090F92" w:rsidRPr="009A2265">
        <w:t xml:space="preserve"> mitgeteilt.</w:t>
      </w:r>
    </w:p>
    <w:p w14:paraId="7B4E679B" w14:textId="77777777" w:rsidR="00C00220" w:rsidRDefault="00C00220" w:rsidP="00C00220"/>
    <w:p w14:paraId="7B4E679C" w14:textId="77777777" w:rsidR="007478A1" w:rsidRDefault="008218DF" w:rsidP="00C00220">
      <w:r w:rsidRPr="009A2265">
        <w:t xml:space="preserve">Übersteigt ihr Mietanteil </w:t>
      </w:r>
      <w:r w:rsidR="00C00220">
        <w:t>den</w:t>
      </w:r>
      <w:r w:rsidR="00C83FDC">
        <w:t xml:space="preserve"> </w:t>
      </w:r>
      <w:r w:rsidRPr="009A2265">
        <w:t xml:space="preserve">Mietzins gemäss </w:t>
      </w:r>
      <w:r w:rsidR="00AE32F0" w:rsidRPr="009A2265">
        <w:t xml:space="preserve">Ziff. 2 </w:t>
      </w:r>
      <w:r w:rsidRPr="009A2265">
        <w:t xml:space="preserve">oder ist die Finanzierung des restlichen Mietzinses nicht mehr gewährleistet, ist nach </w:t>
      </w:r>
      <w:r w:rsidR="00090F92" w:rsidRPr="009A2265">
        <w:t xml:space="preserve">der </w:t>
      </w:r>
      <w:r w:rsidR="00F82AAB" w:rsidRPr="008D2FA5">
        <w:t xml:space="preserve">HAW </w:t>
      </w:r>
      <w:r w:rsidR="001951C5" w:rsidRPr="008D2FA5">
        <w:t>Auflagen- und Kürzungsverfahren</w:t>
      </w:r>
      <w:r w:rsidR="001951C5" w:rsidRPr="008C2B13">
        <w:t xml:space="preserve"> </w:t>
      </w:r>
      <w:r w:rsidR="001002BF">
        <w:t>(Ziff. 3</w:t>
      </w:r>
      <w:r w:rsidR="00E71098" w:rsidRPr="008C2B13">
        <w:t xml:space="preserve">) </w:t>
      </w:r>
      <w:r w:rsidR="0003548D" w:rsidRPr="009A2265">
        <w:t>zu verfahren</w:t>
      </w:r>
      <w:r w:rsidRPr="009A2265">
        <w:t>.</w:t>
      </w:r>
    </w:p>
    <w:p w14:paraId="7B4E679D" w14:textId="77777777" w:rsidR="007478A1" w:rsidRPr="006D0D5E" w:rsidRDefault="007478A1" w:rsidP="007478A1">
      <w:pPr>
        <w:pStyle w:val="berschrift2"/>
      </w:pPr>
      <w:bookmarkStart w:id="18" w:name="_Toc509836632"/>
      <w:r w:rsidRPr="006D0D5E">
        <w:t>Untervermietung</w:t>
      </w:r>
      <w:bookmarkEnd w:id="18"/>
      <w:r w:rsidRPr="006D0D5E">
        <w:t xml:space="preserve"> </w:t>
      </w:r>
    </w:p>
    <w:p w14:paraId="7B4E679E" w14:textId="77777777" w:rsidR="007E290D" w:rsidRPr="006D0D5E" w:rsidRDefault="007478A1" w:rsidP="00C2364D">
      <w:pPr>
        <w:pStyle w:val="Absatz0"/>
      </w:pPr>
      <w:r w:rsidRPr="006D0D5E">
        <w:t>Generiert eine Klientin</w:t>
      </w:r>
      <w:r w:rsidR="00192991" w:rsidRPr="006D0D5E">
        <w:t xml:space="preserve"> oder ein Klient</w:t>
      </w:r>
      <w:r w:rsidRPr="006D0D5E">
        <w:t xml:space="preserve"> Mieteinnahmen durch Untervermietung, so</w:t>
      </w:r>
      <w:r w:rsidR="005C56A6" w:rsidRPr="006D0D5E">
        <w:t xml:space="preserve"> reduziert sich </w:t>
      </w:r>
      <w:r w:rsidR="00192991" w:rsidRPr="006D0D5E">
        <w:t>d</w:t>
      </w:r>
      <w:r w:rsidR="005C56A6" w:rsidRPr="006D0D5E">
        <w:t xml:space="preserve">er in der Bedarfsrechnung berücksichtigte Mietzins im Umfang dieser Einnahmen. Übersteigen die Einnahmen durch Untervermietung die gemäss Ziff. 2 berücksichtigten Wohnkosten, dann wird der </w:t>
      </w:r>
      <w:r w:rsidR="00C2364D" w:rsidRPr="006D0D5E">
        <w:t xml:space="preserve">Überschuss als Einnahme in der Bedarfsrechnung angerechnet. </w:t>
      </w:r>
    </w:p>
    <w:p w14:paraId="7B4E679F" w14:textId="77777777" w:rsidR="008218DF" w:rsidRPr="006D0D5E" w:rsidRDefault="008218DF" w:rsidP="008C2B13">
      <w:pPr>
        <w:pStyle w:val="berschrift2"/>
      </w:pPr>
      <w:bookmarkStart w:id="19" w:name="_Toc509836633"/>
      <w:r w:rsidRPr="006D0D5E">
        <w:t>Jährliche Abrechnung der Heiz- und Nebenkosten</w:t>
      </w:r>
      <w:bookmarkEnd w:id="19"/>
    </w:p>
    <w:p w14:paraId="7B4E67A0" w14:textId="77777777" w:rsidR="00DC2936" w:rsidRPr="006D0D5E" w:rsidRDefault="008218DF" w:rsidP="00B6574D">
      <w:pPr>
        <w:pStyle w:val="Absatz0"/>
      </w:pPr>
      <w:r w:rsidRPr="006D0D5E">
        <w:t xml:space="preserve">Die Heiz- und Nebenkosten </w:t>
      </w:r>
      <w:r w:rsidR="0003548D" w:rsidRPr="006D0D5E">
        <w:t xml:space="preserve">werden </w:t>
      </w:r>
      <w:r w:rsidRPr="006D0D5E">
        <w:t xml:space="preserve">gemäss der jährlichen, individuellen Abrechnung der Vermieterschaft </w:t>
      </w:r>
      <w:r w:rsidR="0003548D" w:rsidRPr="006D0D5E">
        <w:t>übernommen</w:t>
      </w:r>
      <w:r w:rsidRPr="006D0D5E">
        <w:t>.</w:t>
      </w:r>
      <w:r w:rsidR="00DC2936" w:rsidRPr="006D0D5E">
        <w:t xml:space="preserve"> </w:t>
      </w:r>
      <w:r w:rsidR="00F12090" w:rsidRPr="006D0D5E">
        <w:t>Bei hohen Nachforderungen für Heiz- und Nebenkosten ist eine Anpassung der monatlichen Akontozahlungen bei der Vermieterschaft zu verlangen. Der Bruttomietzins ist anschliessend erneut gemäss Ziff. 2 z</w:t>
      </w:r>
      <w:r w:rsidR="00F82AAB" w:rsidRPr="006D0D5E">
        <w:t xml:space="preserve">u beurteilen und ggf. nach HAW </w:t>
      </w:r>
      <w:r w:rsidR="001951C5" w:rsidRPr="006D0D5E">
        <w:t>Auflagen- und Kürzungsverfahren</w:t>
      </w:r>
      <w:r w:rsidR="001002BF" w:rsidRPr="006D0D5E">
        <w:t xml:space="preserve"> (Ziff. 3</w:t>
      </w:r>
      <w:r w:rsidR="00F12090" w:rsidRPr="006D0D5E">
        <w:t>) zu verfahren.</w:t>
      </w:r>
    </w:p>
    <w:p w14:paraId="7B4E67A1" w14:textId="77777777" w:rsidR="00DC2936" w:rsidRPr="006D0D5E" w:rsidRDefault="00DC2936" w:rsidP="00B6574D">
      <w:pPr>
        <w:pStyle w:val="Absatz0"/>
      </w:pPr>
    </w:p>
    <w:p w14:paraId="7B4E67A2" w14:textId="77777777" w:rsidR="001810FB" w:rsidRPr="005D7D07" w:rsidRDefault="00DC2936" w:rsidP="00B6574D">
      <w:pPr>
        <w:pStyle w:val="Absatz0"/>
      </w:pPr>
      <w:r w:rsidRPr="006D0D5E">
        <w:t xml:space="preserve">Guthaben aus Heiz- und </w:t>
      </w:r>
      <w:r w:rsidRPr="005D7D07">
        <w:t xml:space="preserve">Nebenkostenabrechnungen stehen den SOD für den Zeitraum zu, in denen diese für die Wohnkosten </w:t>
      </w:r>
      <w:r w:rsidR="001C437E" w:rsidRPr="005D7D07">
        <w:t xml:space="preserve">vollumfänglich </w:t>
      </w:r>
      <w:r w:rsidRPr="005D7D07">
        <w:t>aufgekommen sind.</w:t>
      </w:r>
      <w:r w:rsidR="001C437E" w:rsidRPr="005D7D07">
        <w:t xml:space="preserve"> </w:t>
      </w:r>
    </w:p>
    <w:p w14:paraId="7B4E67A3" w14:textId="77777777" w:rsidR="001810FB" w:rsidRPr="005D7D07" w:rsidRDefault="001810FB" w:rsidP="00B6574D">
      <w:pPr>
        <w:pStyle w:val="Absatz0"/>
      </w:pPr>
    </w:p>
    <w:p w14:paraId="7B4E67A4" w14:textId="77777777" w:rsidR="001810FB" w:rsidRPr="005D7D07" w:rsidRDefault="001810FB" w:rsidP="00B6574D">
      <w:pPr>
        <w:pStyle w:val="Absatz0"/>
      </w:pPr>
      <w:r w:rsidRPr="005D7D07">
        <w:t>Spezialsituation:</w:t>
      </w:r>
    </w:p>
    <w:p w14:paraId="7B4E67A5" w14:textId="77777777" w:rsidR="00CC21C6" w:rsidRPr="005D7D07" w:rsidRDefault="00082673" w:rsidP="00B6574D">
      <w:pPr>
        <w:pStyle w:val="Absatz0"/>
      </w:pPr>
      <w:r w:rsidRPr="005D7D07">
        <w:t>Es gibt Fälle</w:t>
      </w:r>
      <w:r w:rsidR="001C437E" w:rsidRPr="005D7D07">
        <w:t xml:space="preserve">, in </w:t>
      </w:r>
      <w:r w:rsidRPr="005D7D07">
        <w:t>welchen</w:t>
      </w:r>
      <w:r w:rsidR="001C437E" w:rsidRPr="005D7D07">
        <w:t xml:space="preserve"> die SOD nicht für die gesamten Wohnkosten aufgekommen sind, da diese über den in Ziff. 2 aufgeführten Maximalbeträgen </w:t>
      </w:r>
      <w:r w:rsidR="00285ADE" w:rsidRPr="005D7D07">
        <w:t xml:space="preserve">liegen und die </w:t>
      </w:r>
      <w:r w:rsidR="005154F9" w:rsidRPr="005D7D07">
        <w:t>unterstützten Personen</w:t>
      </w:r>
      <w:r w:rsidR="00285ADE" w:rsidRPr="005D7D07">
        <w:t xml:space="preserve"> die </w:t>
      </w:r>
      <w:r w:rsidR="00853E38" w:rsidRPr="005D7D07">
        <w:t>zu hohen</w:t>
      </w:r>
      <w:r w:rsidR="00285ADE" w:rsidRPr="005D7D07">
        <w:t xml:space="preserve"> Wohnkosten mit dem GBL </w:t>
      </w:r>
      <w:r w:rsidR="005154F9" w:rsidRPr="005D7D07">
        <w:t>finanziert haben</w:t>
      </w:r>
      <w:r w:rsidR="00591C14" w:rsidRPr="005D7D07">
        <w:t>.</w:t>
      </w:r>
      <w:r w:rsidR="001C437E" w:rsidRPr="005D7D07">
        <w:t xml:space="preserve"> </w:t>
      </w:r>
      <w:r w:rsidR="00853E38" w:rsidRPr="005D7D07">
        <w:t>In dieser Situation</w:t>
      </w:r>
      <w:r w:rsidR="00591C14" w:rsidRPr="005D7D07">
        <w:t xml:space="preserve"> steht</w:t>
      </w:r>
      <w:r w:rsidR="00CC21C6" w:rsidRPr="005D7D07">
        <w:t xml:space="preserve"> </w:t>
      </w:r>
      <w:r w:rsidR="00043CB0" w:rsidRPr="005D7D07">
        <w:t>das</w:t>
      </w:r>
      <w:r w:rsidR="00CC21C6" w:rsidRPr="005D7D07">
        <w:t xml:space="preserve"> Guthaben bis zur Höhe der aus dem GBL bezahlten Mietdifferenz den unterstützten Personen zu</w:t>
      </w:r>
      <w:r w:rsidR="00043CB0" w:rsidRPr="005D7D07">
        <w:t>. D</w:t>
      </w:r>
      <w:r w:rsidR="00CC21C6" w:rsidRPr="005D7D07">
        <w:t xml:space="preserve">er </w:t>
      </w:r>
      <w:r w:rsidR="00591C14" w:rsidRPr="005D7D07">
        <w:t>darüber hinausgehende</w:t>
      </w:r>
      <w:r w:rsidR="00CC21C6" w:rsidRPr="005D7D07">
        <w:t xml:space="preserve"> Betrag wird im Unterstützungsbudget </w:t>
      </w:r>
      <w:r w:rsidR="00591C14" w:rsidRPr="005D7D07">
        <w:t>angerechnet</w:t>
      </w:r>
      <w:r w:rsidR="00CC21C6" w:rsidRPr="005D7D07">
        <w:t>.</w:t>
      </w:r>
    </w:p>
    <w:p w14:paraId="7B4E67A6" w14:textId="77777777" w:rsidR="008218DF" w:rsidRPr="009A2265" w:rsidRDefault="00AE32F0" w:rsidP="00CC7ABF">
      <w:pPr>
        <w:pStyle w:val="Absatz0"/>
        <w:tabs>
          <w:tab w:val="left" w:pos="1430"/>
        </w:tabs>
        <w:spacing w:before="120"/>
      </w:pPr>
      <w:r w:rsidRPr="005D7D07">
        <w:rPr>
          <w:i/>
        </w:rPr>
        <w:t>Kompetenz</w:t>
      </w:r>
      <w:r w:rsidRPr="005D7D07">
        <w:rPr>
          <w:i/>
        </w:rPr>
        <w:tab/>
      </w:r>
      <w:r w:rsidR="00B14973" w:rsidRPr="005D7D07">
        <w:t>Die</w:t>
      </w:r>
      <w:r w:rsidRPr="005D7D07">
        <w:t xml:space="preserve"> Ausgabenkompetenz liegt bei den Sozialarbeitenden.</w:t>
      </w:r>
    </w:p>
    <w:p w14:paraId="7B4E67A7" w14:textId="77777777" w:rsidR="008218DF" w:rsidRPr="009A2265" w:rsidRDefault="008218DF" w:rsidP="00B6574D">
      <w:pPr>
        <w:pStyle w:val="berschrift2"/>
        <w:rPr>
          <w:rFonts w:cs="Arial"/>
        </w:rPr>
      </w:pPr>
      <w:bookmarkStart w:id="20" w:name="_Toc509836634"/>
      <w:r w:rsidRPr="009A2265">
        <w:rPr>
          <w:rFonts w:cs="Arial"/>
        </w:rPr>
        <w:t>Ausstehende Miet</w:t>
      </w:r>
      <w:r w:rsidR="00F4324C" w:rsidRPr="009A2265">
        <w:rPr>
          <w:rFonts w:cs="Arial"/>
        </w:rPr>
        <w:t>zinsen</w:t>
      </w:r>
      <w:bookmarkEnd w:id="20"/>
    </w:p>
    <w:p w14:paraId="7B4E67A8" w14:textId="77777777" w:rsidR="00A24FE9" w:rsidRPr="009A2265" w:rsidRDefault="008218DF" w:rsidP="008C2B13">
      <w:r w:rsidRPr="009A2265">
        <w:t>Ausstehende Miet</w:t>
      </w:r>
      <w:r w:rsidR="00F4324C" w:rsidRPr="009A2265">
        <w:t>zinsen</w:t>
      </w:r>
      <w:r w:rsidRPr="009A2265">
        <w:t xml:space="preserve"> bei Unterstützungsbeginn können übernommen werden, sofern der Mietzins den Beträgen unter Ziff. </w:t>
      </w:r>
      <w:r w:rsidR="008C5167" w:rsidRPr="009A2265">
        <w:t>2</w:t>
      </w:r>
      <w:r w:rsidRPr="009A2265">
        <w:t xml:space="preserve"> entspricht und das Mietverhältnis dadurch erhalten werden kann.</w:t>
      </w:r>
    </w:p>
    <w:p w14:paraId="7B4E67A9" w14:textId="77777777" w:rsidR="008218DF" w:rsidRPr="009A2265" w:rsidRDefault="008218DF" w:rsidP="008218DF">
      <w:pPr>
        <w:spacing w:before="120"/>
        <w:rPr>
          <w:i/>
        </w:rPr>
      </w:pPr>
      <w:r w:rsidRPr="009A2265">
        <w:rPr>
          <w:i/>
        </w:rPr>
        <w:t>Abgestufte Kompetenz</w:t>
      </w:r>
    </w:p>
    <w:tbl>
      <w:tblPr>
        <w:tblW w:w="9130" w:type="dxa"/>
        <w:tblInd w:w="108" w:type="dxa"/>
        <w:tblBorders>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0"/>
        <w:gridCol w:w="1513"/>
        <w:gridCol w:w="1561"/>
        <w:gridCol w:w="1561"/>
        <w:gridCol w:w="1855"/>
      </w:tblGrid>
      <w:tr w:rsidR="008218DF" w:rsidRPr="009A2265" w14:paraId="7B4E67AC" w14:textId="77777777" w:rsidTr="00C62D56">
        <w:tc>
          <w:tcPr>
            <w:tcW w:w="4153" w:type="dxa"/>
            <w:gridSpan w:val="2"/>
            <w:tcBorders>
              <w:top w:val="nil"/>
              <w:left w:val="nil"/>
            </w:tcBorders>
          </w:tcPr>
          <w:p w14:paraId="7B4E67AA" w14:textId="77777777" w:rsidR="008218DF" w:rsidRPr="009A2265" w:rsidRDefault="008218DF" w:rsidP="008C5167">
            <w:pPr>
              <w:pStyle w:val="Absatz0"/>
              <w:rPr>
                <w:i/>
                <w:sz w:val="21"/>
                <w:szCs w:val="21"/>
              </w:rPr>
            </w:pPr>
          </w:p>
        </w:tc>
        <w:tc>
          <w:tcPr>
            <w:tcW w:w="4977" w:type="dxa"/>
            <w:gridSpan w:val="3"/>
            <w:tcBorders>
              <w:top w:val="single" w:sz="4" w:space="0" w:color="auto"/>
            </w:tcBorders>
          </w:tcPr>
          <w:p w14:paraId="7B4E67AB" w14:textId="77777777" w:rsidR="008218DF" w:rsidRPr="009A2265" w:rsidRDefault="008218DF" w:rsidP="008C5167">
            <w:pPr>
              <w:pStyle w:val="Absatz0"/>
              <w:rPr>
                <w:i/>
                <w:sz w:val="21"/>
                <w:szCs w:val="21"/>
              </w:rPr>
            </w:pPr>
            <w:r w:rsidRPr="009A2265">
              <w:rPr>
                <w:i/>
                <w:sz w:val="21"/>
                <w:szCs w:val="21"/>
              </w:rPr>
              <w:t>Ausgabenkompetenz</w:t>
            </w:r>
            <w:r w:rsidR="00F4324C" w:rsidRPr="009A2265">
              <w:rPr>
                <w:i/>
                <w:sz w:val="21"/>
                <w:szCs w:val="21"/>
              </w:rPr>
              <w:t xml:space="preserve"> (pro Fall)</w:t>
            </w:r>
          </w:p>
        </w:tc>
      </w:tr>
      <w:tr w:rsidR="008218DF" w:rsidRPr="009A2265" w14:paraId="7B4E67B3" w14:textId="77777777" w:rsidTr="00C62D56">
        <w:tc>
          <w:tcPr>
            <w:tcW w:w="2640" w:type="dxa"/>
            <w:tcBorders>
              <w:top w:val="single" w:sz="4" w:space="0" w:color="auto"/>
              <w:left w:val="single" w:sz="4" w:space="0" w:color="auto"/>
            </w:tcBorders>
          </w:tcPr>
          <w:p w14:paraId="7B4E67AD" w14:textId="77777777" w:rsidR="008218DF" w:rsidRPr="009A2265" w:rsidRDefault="008218DF" w:rsidP="008C5167">
            <w:pPr>
              <w:pStyle w:val="Absatz0"/>
              <w:rPr>
                <w:i/>
                <w:sz w:val="21"/>
                <w:szCs w:val="21"/>
              </w:rPr>
            </w:pPr>
            <w:r w:rsidRPr="009A2265">
              <w:rPr>
                <w:i/>
                <w:sz w:val="21"/>
                <w:szCs w:val="21"/>
              </w:rPr>
              <w:t>Thema</w:t>
            </w:r>
          </w:p>
        </w:tc>
        <w:tc>
          <w:tcPr>
            <w:tcW w:w="1513" w:type="dxa"/>
          </w:tcPr>
          <w:p w14:paraId="7B4E67AE" w14:textId="77777777" w:rsidR="008218DF" w:rsidRPr="009A2265" w:rsidRDefault="008218DF" w:rsidP="008C5167">
            <w:pPr>
              <w:pStyle w:val="Absatz0"/>
              <w:rPr>
                <w:i/>
                <w:sz w:val="21"/>
                <w:szCs w:val="21"/>
              </w:rPr>
            </w:pPr>
            <w:r w:rsidRPr="009A2265">
              <w:rPr>
                <w:i/>
                <w:sz w:val="21"/>
                <w:szCs w:val="21"/>
              </w:rPr>
              <w:t>Empfehlung</w:t>
            </w:r>
          </w:p>
        </w:tc>
        <w:tc>
          <w:tcPr>
            <w:tcW w:w="1561" w:type="dxa"/>
          </w:tcPr>
          <w:p w14:paraId="7B4E67AF" w14:textId="77777777" w:rsidR="008218DF" w:rsidRPr="009A2265" w:rsidRDefault="008218DF" w:rsidP="008C5167">
            <w:pPr>
              <w:pStyle w:val="Absatz0"/>
              <w:rPr>
                <w:i/>
                <w:sz w:val="21"/>
                <w:szCs w:val="21"/>
              </w:rPr>
            </w:pPr>
            <w:r w:rsidRPr="009A2265">
              <w:rPr>
                <w:i/>
                <w:sz w:val="21"/>
                <w:szCs w:val="21"/>
              </w:rPr>
              <w:t>SA</w:t>
            </w:r>
          </w:p>
        </w:tc>
        <w:tc>
          <w:tcPr>
            <w:tcW w:w="1561" w:type="dxa"/>
          </w:tcPr>
          <w:p w14:paraId="7B4E67B0" w14:textId="77777777" w:rsidR="008218DF" w:rsidRPr="009A2265" w:rsidRDefault="008218DF" w:rsidP="008C5167">
            <w:pPr>
              <w:pStyle w:val="Absatz0"/>
              <w:rPr>
                <w:i/>
                <w:sz w:val="21"/>
                <w:szCs w:val="21"/>
              </w:rPr>
            </w:pPr>
            <w:r w:rsidRPr="009A2265">
              <w:rPr>
                <w:i/>
                <w:sz w:val="21"/>
                <w:szCs w:val="21"/>
              </w:rPr>
              <w:t xml:space="preserve">SL </w:t>
            </w:r>
          </w:p>
        </w:tc>
        <w:tc>
          <w:tcPr>
            <w:tcW w:w="1855" w:type="dxa"/>
          </w:tcPr>
          <w:p w14:paraId="7B4E67B1" w14:textId="77777777" w:rsidR="008218DF" w:rsidRPr="009A2265" w:rsidRDefault="008218DF" w:rsidP="008C5167">
            <w:pPr>
              <w:pStyle w:val="Absatz0"/>
              <w:rPr>
                <w:i/>
                <w:sz w:val="21"/>
                <w:szCs w:val="21"/>
              </w:rPr>
            </w:pPr>
            <w:r w:rsidRPr="009A2265">
              <w:rPr>
                <w:i/>
                <w:sz w:val="21"/>
                <w:szCs w:val="21"/>
              </w:rPr>
              <w:t>ZL</w:t>
            </w:r>
          </w:p>
          <w:p w14:paraId="7B4E67B2" w14:textId="77777777" w:rsidR="008218DF" w:rsidRPr="009A2265" w:rsidRDefault="008218DF" w:rsidP="008C5167">
            <w:pPr>
              <w:pStyle w:val="Absatz0"/>
              <w:rPr>
                <w:i/>
                <w:sz w:val="21"/>
                <w:szCs w:val="21"/>
              </w:rPr>
            </w:pPr>
          </w:p>
        </w:tc>
      </w:tr>
      <w:tr w:rsidR="008218DF" w:rsidRPr="009A2265" w14:paraId="7B4E67B9" w14:textId="77777777" w:rsidTr="00C62D56">
        <w:tc>
          <w:tcPr>
            <w:tcW w:w="2640" w:type="dxa"/>
            <w:tcBorders>
              <w:top w:val="single" w:sz="4" w:space="0" w:color="auto"/>
              <w:left w:val="single" w:sz="4" w:space="0" w:color="auto"/>
              <w:bottom w:val="single" w:sz="4" w:space="0" w:color="auto"/>
            </w:tcBorders>
          </w:tcPr>
          <w:p w14:paraId="7B4E67B4" w14:textId="77777777" w:rsidR="008218DF" w:rsidRPr="009A2265" w:rsidRDefault="008218DF" w:rsidP="008C5167">
            <w:pPr>
              <w:pStyle w:val="Absatz0"/>
              <w:rPr>
                <w:sz w:val="21"/>
                <w:szCs w:val="21"/>
              </w:rPr>
            </w:pPr>
            <w:r w:rsidRPr="009A2265">
              <w:t>Ausstehende Mieten</w:t>
            </w:r>
          </w:p>
        </w:tc>
        <w:tc>
          <w:tcPr>
            <w:tcW w:w="1513" w:type="dxa"/>
          </w:tcPr>
          <w:p w14:paraId="7B4E67B5" w14:textId="77777777" w:rsidR="008218DF" w:rsidRPr="009A2265" w:rsidRDefault="008218DF" w:rsidP="008C5167">
            <w:pPr>
              <w:pStyle w:val="Absatz0"/>
              <w:rPr>
                <w:sz w:val="21"/>
                <w:szCs w:val="21"/>
              </w:rPr>
            </w:pPr>
            <w:r w:rsidRPr="009A2265">
              <w:t>0 bis 3 Monatsmieten</w:t>
            </w:r>
          </w:p>
        </w:tc>
        <w:tc>
          <w:tcPr>
            <w:tcW w:w="1561" w:type="dxa"/>
          </w:tcPr>
          <w:p w14:paraId="7B4E67B6" w14:textId="77777777" w:rsidR="008218DF" w:rsidRPr="009A2265" w:rsidRDefault="00953F1B">
            <w:pPr>
              <w:pStyle w:val="Absatz0"/>
              <w:rPr>
                <w:sz w:val="21"/>
                <w:szCs w:val="21"/>
              </w:rPr>
            </w:pPr>
            <w:r w:rsidRPr="009A2265">
              <w:t>0</w:t>
            </w:r>
            <w:r w:rsidR="008218DF" w:rsidRPr="009A2265">
              <w:t xml:space="preserve"> bis 3 Monatsmieten</w:t>
            </w:r>
          </w:p>
        </w:tc>
        <w:tc>
          <w:tcPr>
            <w:tcW w:w="1561" w:type="dxa"/>
          </w:tcPr>
          <w:p w14:paraId="7B4E67B7" w14:textId="77777777" w:rsidR="008218DF" w:rsidRPr="009A2265" w:rsidRDefault="00451D1A">
            <w:pPr>
              <w:pStyle w:val="Absatz0"/>
              <w:rPr>
                <w:sz w:val="21"/>
                <w:szCs w:val="21"/>
              </w:rPr>
            </w:pPr>
            <w:r w:rsidRPr="009A2265">
              <w:t>über 3 Monatsmieten</w:t>
            </w:r>
          </w:p>
        </w:tc>
        <w:tc>
          <w:tcPr>
            <w:tcW w:w="1855" w:type="dxa"/>
          </w:tcPr>
          <w:p w14:paraId="7B4E67B8" w14:textId="77777777" w:rsidR="008218DF" w:rsidRPr="009A2265" w:rsidRDefault="00953F1B">
            <w:pPr>
              <w:pStyle w:val="Absatz0"/>
              <w:rPr>
                <w:sz w:val="21"/>
                <w:szCs w:val="21"/>
              </w:rPr>
            </w:pPr>
            <w:r w:rsidRPr="009A2265">
              <w:t>über</w:t>
            </w:r>
            <w:r w:rsidR="008218DF" w:rsidRPr="009A2265">
              <w:t xml:space="preserve"> 6 Monatsmieten</w:t>
            </w:r>
          </w:p>
        </w:tc>
      </w:tr>
    </w:tbl>
    <w:p w14:paraId="7B4E67BA" w14:textId="77777777" w:rsidR="00503907" w:rsidRDefault="00A97CA6">
      <w:pPr>
        <w:rPr>
          <w:b/>
          <w:szCs w:val="24"/>
        </w:rPr>
      </w:pPr>
      <w:r>
        <w:rPr>
          <w:b/>
          <w:szCs w:val="24"/>
        </w:rPr>
        <w:br w:type="page"/>
      </w:r>
    </w:p>
    <w:p w14:paraId="7B4E67BB" w14:textId="77777777" w:rsidR="008218DF" w:rsidRPr="009A2265" w:rsidRDefault="008218DF" w:rsidP="00B6574D">
      <w:pPr>
        <w:pStyle w:val="berschrift2"/>
        <w:rPr>
          <w:rFonts w:cs="Arial"/>
        </w:rPr>
      </w:pPr>
      <w:bookmarkStart w:id="21" w:name="_Toc509836635"/>
      <w:r w:rsidRPr="009A2265">
        <w:rPr>
          <w:rFonts w:cs="Arial"/>
        </w:rPr>
        <w:lastRenderedPageBreak/>
        <w:t>Mietzinsübernahme bei stationärem Aufenthalt (Haft, Klink etc.)</w:t>
      </w:r>
      <w:bookmarkEnd w:id="21"/>
    </w:p>
    <w:p w14:paraId="7B4E67BC" w14:textId="77777777" w:rsidR="008218DF" w:rsidRPr="009A2265" w:rsidRDefault="008218DF" w:rsidP="008218DF">
      <w:pPr>
        <w:spacing w:before="120" w:after="120"/>
      </w:pPr>
      <w:r w:rsidRPr="009A2265">
        <w:t xml:space="preserve">Bei bestehenden Mietverhältnissen können die Monatsmieten vorübergehend weiterhin übernommen werden, wenn die unterstützte Person in eine stationäre Institution eintreten muss. </w:t>
      </w:r>
    </w:p>
    <w:p w14:paraId="7B4E67BD" w14:textId="77777777" w:rsidR="008218DF" w:rsidRPr="009A2265" w:rsidRDefault="008218DF" w:rsidP="008218DF">
      <w:pPr>
        <w:spacing w:before="120"/>
        <w:rPr>
          <w:i/>
        </w:rPr>
      </w:pPr>
      <w:r w:rsidRPr="009A2265">
        <w:rPr>
          <w:i/>
        </w:rPr>
        <w:t>Abgestufte Kompetenz</w:t>
      </w:r>
    </w:p>
    <w:tbl>
      <w:tblPr>
        <w:tblW w:w="9130" w:type="dxa"/>
        <w:tblInd w:w="108" w:type="dxa"/>
        <w:tblBorders>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0"/>
        <w:gridCol w:w="1513"/>
        <w:gridCol w:w="1561"/>
        <w:gridCol w:w="1561"/>
        <w:gridCol w:w="1855"/>
      </w:tblGrid>
      <w:tr w:rsidR="008218DF" w:rsidRPr="009A2265" w14:paraId="7B4E67C0" w14:textId="77777777" w:rsidTr="00C62D56">
        <w:tc>
          <w:tcPr>
            <w:tcW w:w="4153" w:type="dxa"/>
            <w:gridSpan w:val="2"/>
            <w:tcBorders>
              <w:top w:val="nil"/>
              <w:left w:val="nil"/>
            </w:tcBorders>
          </w:tcPr>
          <w:p w14:paraId="7B4E67BE" w14:textId="77777777" w:rsidR="008218DF" w:rsidRPr="009A2265" w:rsidRDefault="008218DF" w:rsidP="008C5167">
            <w:pPr>
              <w:pStyle w:val="Absatz0"/>
              <w:rPr>
                <w:i/>
                <w:sz w:val="21"/>
                <w:szCs w:val="21"/>
              </w:rPr>
            </w:pPr>
          </w:p>
        </w:tc>
        <w:tc>
          <w:tcPr>
            <w:tcW w:w="4977" w:type="dxa"/>
            <w:gridSpan w:val="3"/>
            <w:tcBorders>
              <w:top w:val="single" w:sz="4" w:space="0" w:color="auto"/>
            </w:tcBorders>
          </w:tcPr>
          <w:p w14:paraId="7B4E67BF" w14:textId="77777777" w:rsidR="008218DF" w:rsidRPr="009A2265" w:rsidRDefault="008218DF" w:rsidP="008C5167">
            <w:pPr>
              <w:pStyle w:val="Absatz0"/>
              <w:rPr>
                <w:i/>
                <w:sz w:val="21"/>
                <w:szCs w:val="21"/>
              </w:rPr>
            </w:pPr>
            <w:r w:rsidRPr="009A2265">
              <w:rPr>
                <w:i/>
                <w:sz w:val="21"/>
                <w:szCs w:val="21"/>
              </w:rPr>
              <w:t>Ausgabenkompetenz</w:t>
            </w:r>
            <w:r w:rsidR="00F4324C" w:rsidRPr="009A2265">
              <w:rPr>
                <w:i/>
                <w:sz w:val="21"/>
                <w:szCs w:val="21"/>
              </w:rPr>
              <w:t xml:space="preserve"> (pro Fall)</w:t>
            </w:r>
          </w:p>
        </w:tc>
      </w:tr>
      <w:tr w:rsidR="008218DF" w:rsidRPr="009A2265" w14:paraId="7B4E67C7" w14:textId="77777777" w:rsidTr="00C62D56">
        <w:tc>
          <w:tcPr>
            <w:tcW w:w="2640" w:type="dxa"/>
            <w:tcBorders>
              <w:top w:val="single" w:sz="4" w:space="0" w:color="auto"/>
              <w:left w:val="single" w:sz="4" w:space="0" w:color="auto"/>
            </w:tcBorders>
          </w:tcPr>
          <w:p w14:paraId="7B4E67C1" w14:textId="77777777" w:rsidR="008218DF" w:rsidRPr="009A2265" w:rsidRDefault="008218DF" w:rsidP="008C5167">
            <w:pPr>
              <w:pStyle w:val="Absatz0"/>
              <w:rPr>
                <w:i/>
                <w:sz w:val="21"/>
                <w:szCs w:val="21"/>
              </w:rPr>
            </w:pPr>
            <w:r w:rsidRPr="009A2265">
              <w:rPr>
                <w:i/>
                <w:sz w:val="21"/>
                <w:szCs w:val="21"/>
              </w:rPr>
              <w:t>Thema</w:t>
            </w:r>
          </w:p>
        </w:tc>
        <w:tc>
          <w:tcPr>
            <w:tcW w:w="1513" w:type="dxa"/>
          </w:tcPr>
          <w:p w14:paraId="7B4E67C2" w14:textId="77777777" w:rsidR="008218DF" w:rsidRPr="009A2265" w:rsidRDefault="008218DF" w:rsidP="008C5167">
            <w:pPr>
              <w:pStyle w:val="Absatz0"/>
              <w:rPr>
                <w:i/>
                <w:sz w:val="21"/>
                <w:szCs w:val="21"/>
              </w:rPr>
            </w:pPr>
            <w:r w:rsidRPr="009A2265">
              <w:rPr>
                <w:i/>
                <w:sz w:val="21"/>
                <w:szCs w:val="21"/>
              </w:rPr>
              <w:t>Empfehlung</w:t>
            </w:r>
          </w:p>
        </w:tc>
        <w:tc>
          <w:tcPr>
            <w:tcW w:w="1561" w:type="dxa"/>
          </w:tcPr>
          <w:p w14:paraId="7B4E67C3" w14:textId="77777777" w:rsidR="008218DF" w:rsidRPr="009A2265" w:rsidRDefault="008218DF" w:rsidP="008C5167">
            <w:pPr>
              <w:pStyle w:val="Absatz0"/>
              <w:rPr>
                <w:i/>
                <w:sz w:val="21"/>
                <w:szCs w:val="21"/>
              </w:rPr>
            </w:pPr>
            <w:r w:rsidRPr="009A2265">
              <w:rPr>
                <w:i/>
                <w:sz w:val="21"/>
                <w:szCs w:val="21"/>
              </w:rPr>
              <w:t xml:space="preserve">SA </w:t>
            </w:r>
          </w:p>
        </w:tc>
        <w:tc>
          <w:tcPr>
            <w:tcW w:w="1561" w:type="dxa"/>
          </w:tcPr>
          <w:p w14:paraId="7B4E67C4" w14:textId="77777777" w:rsidR="008218DF" w:rsidRPr="009A2265" w:rsidRDefault="008218DF" w:rsidP="008C5167">
            <w:pPr>
              <w:pStyle w:val="Absatz0"/>
              <w:rPr>
                <w:i/>
                <w:sz w:val="21"/>
                <w:szCs w:val="21"/>
              </w:rPr>
            </w:pPr>
            <w:r w:rsidRPr="009A2265">
              <w:rPr>
                <w:i/>
                <w:sz w:val="21"/>
                <w:szCs w:val="21"/>
              </w:rPr>
              <w:t xml:space="preserve">SL </w:t>
            </w:r>
          </w:p>
        </w:tc>
        <w:tc>
          <w:tcPr>
            <w:tcW w:w="1855" w:type="dxa"/>
          </w:tcPr>
          <w:p w14:paraId="7B4E67C5" w14:textId="77777777" w:rsidR="008218DF" w:rsidRPr="009A2265" w:rsidRDefault="008218DF" w:rsidP="008C5167">
            <w:pPr>
              <w:pStyle w:val="Absatz0"/>
              <w:rPr>
                <w:i/>
                <w:sz w:val="21"/>
                <w:szCs w:val="21"/>
              </w:rPr>
            </w:pPr>
            <w:r w:rsidRPr="009A2265">
              <w:rPr>
                <w:i/>
                <w:sz w:val="21"/>
                <w:szCs w:val="21"/>
              </w:rPr>
              <w:t>ZL</w:t>
            </w:r>
          </w:p>
          <w:p w14:paraId="7B4E67C6" w14:textId="77777777" w:rsidR="008218DF" w:rsidRPr="009A2265" w:rsidRDefault="008218DF" w:rsidP="008C5167">
            <w:pPr>
              <w:pStyle w:val="Absatz0"/>
              <w:rPr>
                <w:i/>
                <w:sz w:val="21"/>
                <w:szCs w:val="21"/>
              </w:rPr>
            </w:pPr>
          </w:p>
        </w:tc>
      </w:tr>
      <w:tr w:rsidR="008218DF" w:rsidRPr="009A2265" w14:paraId="7B4E67CD" w14:textId="77777777" w:rsidTr="00C62D56">
        <w:tc>
          <w:tcPr>
            <w:tcW w:w="2640" w:type="dxa"/>
            <w:tcBorders>
              <w:top w:val="single" w:sz="4" w:space="0" w:color="auto"/>
              <w:left w:val="single" w:sz="4" w:space="0" w:color="auto"/>
              <w:bottom w:val="single" w:sz="4" w:space="0" w:color="auto"/>
            </w:tcBorders>
          </w:tcPr>
          <w:p w14:paraId="7B4E67C8" w14:textId="77777777" w:rsidR="008218DF" w:rsidRPr="009A2265" w:rsidRDefault="008218DF" w:rsidP="008C5167">
            <w:pPr>
              <w:pStyle w:val="Absatz0"/>
              <w:rPr>
                <w:sz w:val="21"/>
                <w:szCs w:val="21"/>
              </w:rPr>
            </w:pPr>
            <w:r w:rsidRPr="009A2265">
              <w:t>Mietzinsübernahme bei einem stationären Aufenthalt</w:t>
            </w:r>
          </w:p>
        </w:tc>
        <w:tc>
          <w:tcPr>
            <w:tcW w:w="1513" w:type="dxa"/>
          </w:tcPr>
          <w:p w14:paraId="7B4E67C9" w14:textId="77777777" w:rsidR="008218DF" w:rsidRPr="009A2265" w:rsidRDefault="008218DF">
            <w:pPr>
              <w:pStyle w:val="Absatz0"/>
              <w:rPr>
                <w:sz w:val="21"/>
                <w:szCs w:val="21"/>
              </w:rPr>
            </w:pPr>
            <w:r w:rsidRPr="009A2265">
              <w:t>0 bis 3 Monatsmieten</w:t>
            </w:r>
          </w:p>
        </w:tc>
        <w:tc>
          <w:tcPr>
            <w:tcW w:w="1561" w:type="dxa"/>
          </w:tcPr>
          <w:p w14:paraId="7B4E67CA" w14:textId="77777777" w:rsidR="008218DF" w:rsidRPr="009A2265" w:rsidRDefault="008218DF">
            <w:pPr>
              <w:pStyle w:val="Absatz0"/>
              <w:rPr>
                <w:sz w:val="21"/>
                <w:szCs w:val="21"/>
              </w:rPr>
            </w:pPr>
            <w:r w:rsidRPr="009A2265">
              <w:t>0 bis 3 Monatsmieten</w:t>
            </w:r>
          </w:p>
        </w:tc>
        <w:tc>
          <w:tcPr>
            <w:tcW w:w="1561" w:type="dxa"/>
          </w:tcPr>
          <w:p w14:paraId="7B4E67CB" w14:textId="77777777" w:rsidR="008218DF" w:rsidRPr="009A2265" w:rsidRDefault="00451D1A" w:rsidP="008C5167">
            <w:pPr>
              <w:pStyle w:val="Absatz0"/>
              <w:rPr>
                <w:sz w:val="21"/>
                <w:szCs w:val="21"/>
              </w:rPr>
            </w:pPr>
            <w:r w:rsidRPr="009A2265">
              <w:t xml:space="preserve">über 3 </w:t>
            </w:r>
            <w:r w:rsidR="008218DF" w:rsidRPr="009A2265">
              <w:t>Monatsmieten</w:t>
            </w:r>
          </w:p>
        </w:tc>
        <w:tc>
          <w:tcPr>
            <w:tcW w:w="1855" w:type="dxa"/>
          </w:tcPr>
          <w:p w14:paraId="7B4E67CC" w14:textId="77777777" w:rsidR="008218DF" w:rsidRPr="009A2265" w:rsidRDefault="00451D1A">
            <w:pPr>
              <w:pStyle w:val="Absatz0"/>
              <w:rPr>
                <w:sz w:val="21"/>
                <w:szCs w:val="21"/>
              </w:rPr>
            </w:pPr>
            <w:r w:rsidRPr="009A2265">
              <w:t>über</w:t>
            </w:r>
            <w:r w:rsidR="008218DF" w:rsidRPr="009A2265">
              <w:t xml:space="preserve"> 6 Monatsmieten</w:t>
            </w:r>
          </w:p>
        </w:tc>
      </w:tr>
    </w:tbl>
    <w:p w14:paraId="7B4E67CE" w14:textId="77777777" w:rsidR="0062009D" w:rsidRDefault="0062009D" w:rsidP="008218DF">
      <w:pPr>
        <w:spacing w:before="120" w:after="120"/>
      </w:pPr>
      <w:r>
        <w:br w:type="page"/>
      </w:r>
    </w:p>
    <w:p w14:paraId="7B4E67CF" w14:textId="77777777" w:rsidR="004F3E85" w:rsidRPr="00043CB0" w:rsidRDefault="004F3E85" w:rsidP="004F3E85">
      <w:pPr>
        <w:pStyle w:val="berschrift2"/>
        <w:rPr>
          <w:rFonts w:cs="Arial"/>
        </w:rPr>
      </w:pPr>
      <w:bookmarkStart w:id="22" w:name="_Toc509836636"/>
      <w:r w:rsidRPr="009A2265">
        <w:rPr>
          <w:rFonts w:cs="Arial"/>
        </w:rPr>
        <w:lastRenderedPageBreak/>
        <w:t>Doppelza</w:t>
      </w:r>
      <w:r w:rsidRPr="00043CB0">
        <w:rPr>
          <w:rFonts w:cs="Arial"/>
        </w:rPr>
        <w:t xml:space="preserve">hlungen bei </w:t>
      </w:r>
      <w:r w:rsidR="00CF2632" w:rsidRPr="00D87D7E">
        <w:rPr>
          <w:rFonts w:cs="Arial"/>
        </w:rPr>
        <w:t>W</w:t>
      </w:r>
      <w:r w:rsidRPr="00D87D7E">
        <w:rPr>
          <w:rFonts w:cs="Arial"/>
        </w:rPr>
        <w:t>echsel</w:t>
      </w:r>
      <w:bookmarkEnd w:id="22"/>
      <w:r w:rsidR="00CF2632" w:rsidRPr="00D87D7E">
        <w:rPr>
          <w:rFonts w:cs="Arial"/>
        </w:rPr>
        <w:t xml:space="preserve"> der Wohnung oder Wohnform</w:t>
      </w:r>
    </w:p>
    <w:p w14:paraId="7B4E67D0" w14:textId="77777777" w:rsidR="004F3E85" w:rsidRPr="00043CB0" w:rsidRDefault="004F3E85" w:rsidP="004F3E85">
      <w:pPr>
        <w:spacing w:before="120" w:after="120"/>
      </w:pPr>
      <w:r w:rsidRPr="00043CB0">
        <w:t xml:space="preserve">Eine Doppelzahlung von Mietzinsen wird nur bei einem Wohnungswechsel in eine günstigere oder in eine den neuen Lebensverhältnissen (z.B. </w:t>
      </w:r>
      <w:r w:rsidR="008C310E" w:rsidRPr="00D87D7E">
        <w:t>infolge Heirat</w:t>
      </w:r>
      <w:r w:rsidR="008C310E" w:rsidRPr="00043CB0">
        <w:t xml:space="preserve"> oder </w:t>
      </w:r>
      <w:r w:rsidRPr="00043CB0">
        <w:t>Geburt eines Kindes</w:t>
      </w:r>
      <w:r w:rsidR="008C310E" w:rsidRPr="00043CB0">
        <w:t>)</w:t>
      </w:r>
      <w:r w:rsidRPr="00043CB0">
        <w:t xml:space="preserve"> angepasste, </w:t>
      </w:r>
      <w:r w:rsidR="00B14973" w:rsidRPr="00043CB0">
        <w:t xml:space="preserve">von den </w:t>
      </w:r>
      <w:r w:rsidR="005C5245" w:rsidRPr="00043CB0">
        <w:t>SOD</w:t>
      </w:r>
      <w:r w:rsidR="00B14973" w:rsidRPr="00043CB0">
        <w:t xml:space="preserve"> akzep</w:t>
      </w:r>
      <w:r w:rsidRPr="00043CB0">
        <w:t xml:space="preserve">tierte </w:t>
      </w:r>
      <w:r w:rsidR="00D11B99" w:rsidRPr="00043CB0">
        <w:t xml:space="preserve">Wohnung </w:t>
      </w:r>
      <w:r w:rsidR="00D11B99" w:rsidRPr="00D87D7E">
        <w:t xml:space="preserve">oder </w:t>
      </w:r>
      <w:r w:rsidR="008C310E" w:rsidRPr="00D87D7E">
        <w:t xml:space="preserve">beim Übertritt in eine betreute </w:t>
      </w:r>
      <w:r w:rsidR="00D11B99" w:rsidRPr="00D87D7E">
        <w:t xml:space="preserve">Wohnform </w:t>
      </w:r>
      <w:r w:rsidR="00A40324" w:rsidRPr="00D87D7E">
        <w:t xml:space="preserve">gewährt </w:t>
      </w:r>
      <w:r w:rsidR="00D11B99" w:rsidRPr="00D87D7E">
        <w:t>(z.B. begleitetes Wohnen, Alters-/Pflegeheim)</w:t>
      </w:r>
      <w:r w:rsidRPr="00043CB0">
        <w:t>.</w:t>
      </w:r>
      <w:r w:rsidR="00BC4993" w:rsidRPr="00043CB0">
        <w:t xml:space="preserve"> </w:t>
      </w:r>
    </w:p>
    <w:p w14:paraId="7B4E67D1" w14:textId="77777777" w:rsidR="008218DF" w:rsidRPr="009A2265" w:rsidRDefault="008218DF" w:rsidP="008218DF">
      <w:pPr>
        <w:pStyle w:val="Absatz0"/>
        <w:rPr>
          <w:i/>
        </w:rPr>
      </w:pPr>
      <w:r w:rsidRPr="00043CB0">
        <w:rPr>
          <w:i/>
        </w:rPr>
        <w:t>Abgestufte Kompetenz</w:t>
      </w:r>
    </w:p>
    <w:tbl>
      <w:tblPr>
        <w:tblW w:w="9130" w:type="dxa"/>
        <w:tblInd w:w="108" w:type="dxa"/>
        <w:tblBorders>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40"/>
        <w:gridCol w:w="1513"/>
        <w:gridCol w:w="1561"/>
        <w:gridCol w:w="1561"/>
        <w:gridCol w:w="1855"/>
      </w:tblGrid>
      <w:tr w:rsidR="008218DF" w:rsidRPr="009A2265" w14:paraId="7B4E67D4" w14:textId="77777777" w:rsidTr="00C62D56">
        <w:tc>
          <w:tcPr>
            <w:tcW w:w="4153" w:type="dxa"/>
            <w:gridSpan w:val="2"/>
            <w:tcBorders>
              <w:top w:val="nil"/>
              <w:left w:val="nil"/>
            </w:tcBorders>
          </w:tcPr>
          <w:p w14:paraId="7B4E67D2" w14:textId="77777777" w:rsidR="008218DF" w:rsidRPr="009A2265" w:rsidRDefault="008218DF" w:rsidP="008C5167">
            <w:pPr>
              <w:pStyle w:val="Absatz0"/>
              <w:rPr>
                <w:i/>
                <w:sz w:val="21"/>
                <w:szCs w:val="21"/>
              </w:rPr>
            </w:pPr>
          </w:p>
        </w:tc>
        <w:tc>
          <w:tcPr>
            <w:tcW w:w="4977" w:type="dxa"/>
            <w:gridSpan w:val="3"/>
            <w:tcBorders>
              <w:top w:val="single" w:sz="4" w:space="0" w:color="auto"/>
            </w:tcBorders>
          </w:tcPr>
          <w:p w14:paraId="7B4E67D3" w14:textId="77777777" w:rsidR="008218DF" w:rsidRPr="009A2265" w:rsidRDefault="008218DF" w:rsidP="008C5167">
            <w:pPr>
              <w:pStyle w:val="Absatz0"/>
              <w:rPr>
                <w:i/>
                <w:sz w:val="21"/>
                <w:szCs w:val="21"/>
              </w:rPr>
            </w:pPr>
            <w:r w:rsidRPr="009A2265">
              <w:rPr>
                <w:i/>
                <w:sz w:val="21"/>
                <w:szCs w:val="21"/>
              </w:rPr>
              <w:t>Ausgabenkompetenz (</w:t>
            </w:r>
            <w:r w:rsidR="00F4324C" w:rsidRPr="009A2265">
              <w:rPr>
                <w:i/>
                <w:sz w:val="21"/>
                <w:szCs w:val="21"/>
              </w:rPr>
              <w:t>pro Fall</w:t>
            </w:r>
            <w:r w:rsidRPr="009A2265">
              <w:rPr>
                <w:i/>
                <w:sz w:val="21"/>
                <w:szCs w:val="21"/>
              </w:rPr>
              <w:t>)</w:t>
            </w:r>
          </w:p>
        </w:tc>
      </w:tr>
      <w:tr w:rsidR="008218DF" w:rsidRPr="009A2265" w14:paraId="7B4E67DB" w14:textId="77777777" w:rsidTr="00C62D56">
        <w:tc>
          <w:tcPr>
            <w:tcW w:w="2640" w:type="dxa"/>
            <w:tcBorders>
              <w:top w:val="single" w:sz="4" w:space="0" w:color="auto"/>
              <w:left w:val="single" w:sz="4" w:space="0" w:color="auto"/>
            </w:tcBorders>
          </w:tcPr>
          <w:p w14:paraId="7B4E67D5" w14:textId="77777777" w:rsidR="008218DF" w:rsidRPr="009A2265" w:rsidRDefault="008218DF" w:rsidP="008C5167">
            <w:pPr>
              <w:pStyle w:val="Absatz0"/>
              <w:rPr>
                <w:i/>
                <w:sz w:val="21"/>
                <w:szCs w:val="21"/>
              </w:rPr>
            </w:pPr>
            <w:r w:rsidRPr="009A2265">
              <w:rPr>
                <w:i/>
                <w:sz w:val="21"/>
                <w:szCs w:val="21"/>
              </w:rPr>
              <w:t>Thema</w:t>
            </w:r>
          </w:p>
        </w:tc>
        <w:tc>
          <w:tcPr>
            <w:tcW w:w="1513" w:type="dxa"/>
          </w:tcPr>
          <w:p w14:paraId="7B4E67D6" w14:textId="77777777" w:rsidR="008218DF" w:rsidRPr="009A2265" w:rsidRDefault="008218DF" w:rsidP="008C5167">
            <w:pPr>
              <w:pStyle w:val="Absatz0"/>
              <w:rPr>
                <w:i/>
                <w:sz w:val="21"/>
                <w:szCs w:val="21"/>
              </w:rPr>
            </w:pPr>
            <w:r w:rsidRPr="009A2265">
              <w:rPr>
                <w:i/>
                <w:sz w:val="21"/>
                <w:szCs w:val="21"/>
              </w:rPr>
              <w:t>Empfehlung</w:t>
            </w:r>
          </w:p>
        </w:tc>
        <w:tc>
          <w:tcPr>
            <w:tcW w:w="1561" w:type="dxa"/>
          </w:tcPr>
          <w:p w14:paraId="7B4E67D7" w14:textId="77777777" w:rsidR="008218DF" w:rsidRPr="009A2265" w:rsidRDefault="008218DF" w:rsidP="008C5167">
            <w:pPr>
              <w:pStyle w:val="Absatz0"/>
              <w:rPr>
                <w:i/>
                <w:sz w:val="21"/>
                <w:szCs w:val="21"/>
              </w:rPr>
            </w:pPr>
            <w:r w:rsidRPr="009A2265">
              <w:rPr>
                <w:i/>
                <w:sz w:val="21"/>
                <w:szCs w:val="21"/>
              </w:rPr>
              <w:t xml:space="preserve">SA </w:t>
            </w:r>
          </w:p>
        </w:tc>
        <w:tc>
          <w:tcPr>
            <w:tcW w:w="1561" w:type="dxa"/>
          </w:tcPr>
          <w:p w14:paraId="7B4E67D8" w14:textId="77777777" w:rsidR="008218DF" w:rsidRPr="009A2265" w:rsidRDefault="008218DF" w:rsidP="008C5167">
            <w:pPr>
              <w:pStyle w:val="Absatz0"/>
              <w:rPr>
                <w:i/>
                <w:sz w:val="21"/>
                <w:szCs w:val="21"/>
              </w:rPr>
            </w:pPr>
            <w:r w:rsidRPr="009A2265">
              <w:rPr>
                <w:i/>
                <w:sz w:val="21"/>
                <w:szCs w:val="21"/>
              </w:rPr>
              <w:t xml:space="preserve">SL </w:t>
            </w:r>
          </w:p>
        </w:tc>
        <w:tc>
          <w:tcPr>
            <w:tcW w:w="1855" w:type="dxa"/>
          </w:tcPr>
          <w:p w14:paraId="7B4E67D9" w14:textId="77777777" w:rsidR="008218DF" w:rsidRPr="009A2265" w:rsidRDefault="008218DF" w:rsidP="008C5167">
            <w:pPr>
              <w:pStyle w:val="Absatz0"/>
              <w:rPr>
                <w:i/>
                <w:sz w:val="21"/>
                <w:szCs w:val="21"/>
              </w:rPr>
            </w:pPr>
            <w:r w:rsidRPr="009A2265">
              <w:rPr>
                <w:i/>
                <w:sz w:val="21"/>
                <w:szCs w:val="21"/>
              </w:rPr>
              <w:t>ZL</w:t>
            </w:r>
          </w:p>
          <w:p w14:paraId="7B4E67DA" w14:textId="77777777" w:rsidR="008218DF" w:rsidRPr="009A2265" w:rsidRDefault="008218DF" w:rsidP="008C5167">
            <w:pPr>
              <w:pStyle w:val="Absatz0"/>
              <w:rPr>
                <w:i/>
                <w:sz w:val="21"/>
                <w:szCs w:val="21"/>
              </w:rPr>
            </w:pPr>
          </w:p>
        </w:tc>
      </w:tr>
      <w:tr w:rsidR="008218DF" w:rsidRPr="009A2265" w14:paraId="7B4E67E1" w14:textId="77777777" w:rsidTr="00C62D56">
        <w:tc>
          <w:tcPr>
            <w:tcW w:w="2640" w:type="dxa"/>
            <w:tcBorders>
              <w:top w:val="single" w:sz="4" w:space="0" w:color="auto"/>
              <w:left w:val="single" w:sz="4" w:space="0" w:color="auto"/>
            </w:tcBorders>
          </w:tcPr>
          <w:p w14:paraId="7B4E67DC" w14:textId="77777777" w:rsidR="008218DF" w:rsidRPr="009A2265" w:rsidRDefault="008218DF" w:rsidP="008C5167">
            <w:pPr>
              <w:pStyle w:val="Absatz0"/>
              <w:rPr>
                <w:sz w:val="21"/>
                <w:szCs w:val="21"/>
              </w:rPr>
            </w:pPr>
            <w:r w:rsidRPr="009A2265">
              <w:t xml:space="preserve">Doppelzahlung </w:t>
            </w:r>
            <w:r w:rsidR="00451D1A" w:rsidRPr="009A2265">
              <w:t xml:space="preserve">bei </w:t>
            </w:r>
            <w:r w:rsidRPr="009A2265">
              <w:t>Wohnungswechsel</w:t>
            </w:r>
          </w:p>
        </w:tc>
        <w:tc>
          <w:tcPr>
            <w:tcW w:w="1513" w:type="dxa"/>
          </w:tcPr>
          <w:p w14:paraId="7B4E67DD" w14:textId="77777777" w:rsidR="008218DF" w:rsidRPr="009A2265" w:rsidRDefault="008218DF" w:rsidP="008C5167">
            <w:pPr>
              <w:pStyle w:val="Absatz0"/>
              <w:rPr>
                <w:sz w:val="21"/>
                <w:szCs w:val="21"/>
              </w:rPr>
            </w:pPr>
            <w:r w:rsidRPr="009A2265">
              <w:t>0 bis 2 Monatsmieten</w:t>
            </w:r>
          </w:p>
        </w:tc>
        <w:tc>
          <w:tcPr>
            <w:tcW w:w="1561" w:type="dxa"/>
          </w:tcPr>
          <w:p w14:paraId="7B4E67DE" w14:textId="77777777" w:rsidR="008218DF" w:rsidRPr="009A2265" w:rsidRDefault="008218DF" w:rsidP="008C5167">
            <w:pPr>
              <w:pStyle w:val="Absatz0"/>
              <w:rPr>
                <w:sz w:val="21"/>
                <w:szCs w:val="21"/>
              </w:rPr>
            </w:pPr>
            <w:r w:rsidRPr="009A2265">
              <w:t>0 bis 2 Monatsmieten</w:t>
            </w:r>
          </w:p>
        </w:tc>
        <w:tc>
          <w:tcPr>
            <w:tcW w:w="1561" w:type="dxa"/>
          </w:tcPr>
          <w:p w14:paraId="7B4E67DF" w14:textId="77777777" w:rsidR="008218DF" w:rsidRPr="009A2265" w:rsidRDefault="0003548D" w:rsidP="008C5167">
            <w:pPr>
              <w:pStyle w:val="Absatz0"/>
              <w:rPr>
                <w:sz w:val="21"/>
                <w:szCs w:val="21"/>
              </w:rPr>
            </w:pPr>
            <w:r w:rsidRPr="009A2265">
              <w:t>3</w:t>
            </w:r>
            <w:r w:rsidR="008218DF" w:rsidRPr="009A2265">
              <w:t xml:space="preserve"> Monatsmieten</w:t>
            </w:r>
          </w:p>
        </w:tc>
        <w:tc>
          <w:tcPr>
            <w:tcW w:w="1855" w:type="dxa"/>
          </w:tcPr>
          <w:p w14:paraId="7B4E67E0" w14:textId="77777777" w:rsidR="008218DF" w:rsidRPr="009A2265" w:rsidRDefault="00451D1A" w:rsidP="008C5167">
            <w:pPr>
              <w:pStyle w:val="Absatz0"/>
              <w:rPr>
                <w:sz w:val="21"/>
                <w:szCs w:val="21"/>
              </w:rPr>
            </w:pPr>
            <w:r w:rsidRPr="009A2265">
              <w:t>über</w:t>
            </w:r>
            <w:r w:rsidR="008218DF" w:rsidRPr="009A2265">
              <w:t xml:space="preserve"> 3 Monatsmieten</w:t>
            </w:r>
          </w:p>
        </w:tc>
      </w:tr>
    </w:tbl>
    <w:p w14:paraId="7B4E67E2" w14:textId="77777777" w:rsidR="00D85E31" w:rsidRDefault="00D85E31" w:rsidP="004C2256">
      <w:pPr>
        <w:pStyle w:val="Absatz0"/>
      </w:pPr>
    </w:p>
    <w:p w14:paraId="7B4E67E3" w14:textId="77777777" w:rsidR="00D85E31" w:rsidRPr="009A2265" w:rsidRDefault="00D85E31" w:rsidP="004C2256">
      <w:pPr>
        <w:pStyle w:val="Absatz0"/>
      </w:pPr>
    </w:p>
    <w:sectPr w:rsidR="00D85E31" w:rsidRPr="009A2265" w:rsidSect="001A2F36">
      <w:type w:val="continuous"/>
      <w:pgSz w:w="11906" w:h="16838" w:code="9"/>
      <w:pgMar w:top="1985" w:right="1134" w:bottom="851" w:left="1701" w:header="567" w:footer="227"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E67E8" w14:textId="77777777" w:rsidR="002C0B88" w:rsidRDefault="002C0B88">
      <w:r>
        <w:separator/>
      </w:r>
    </w:p>
    <w:p w14:paraId="7B4E67E9" w14:textId="77777777" w:rsidR="002C0B88" w:rsidRDefault="002C0B88"/>
  </w:endnote>
  <w:endnote w:type="continuationSeparator" w:id="0">
    <w:p w14:paraId="7B4E67EA" w14:textId="77777777" w:rsidR="002C0B88" w:rsidRDefault="002C0B88">
      <w:r>
        <w:continuationSeparator/>
      </w:r>
    </w:p>
    <w:p w14:paraId="7B4E67EB" w14:textId="77777777" w:rsidR="002C0B88" w:rsidRDefault="002C0B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67"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9067"/>
    </w:tblGrid>
    <w:tr w:rsidR="00452ED6" w14:paraId="7B4E67FA" w14:textId="77777777" w:rsidTr="00207F06">
      <w:trPr>
        <w:trHeight w:val="284"/>
      </w:trPr>
      <w:tc>
        <w:tcPr>
          <w:tcW w:w="9067" w:type="dxa"/>
        </w:tcPr>
        <w:p w14:paraId="7B4E67F7" w14:textId="03DC17F8" w:rsidR="00452ED6" w:rsidRDefault="00452ED6" w:rsidP="00452ED6">
          <w:pPr>
            <w:pStyle w:val="Fuzeile"/>
            <w:tabs>
              <w:tab w:val="clear" w:pos="4536"/>
              <w:tab w:val="clear" w:pos="9072"/>
              <w:tab w:val="right" w:pos="8504"/>
            </w:tabs>
            <w:rPr>
              <w:sz w:val="17"/>
            </w:rPr>
          </w:pPr>
          <w:r>
            <w:rPr>
              <w:sz w:val="17"/>
            </w:rPr>
            <w:t xml:space="preserve">HAW </w:t>
          </w:r>
          <w:r w:rsidRPr="002C461A">
            <w:rPr>
              <w:sz w:val="17"/>
            </w:rPr>
            <w:t>Wohnkosten: Vorgaben der Sozialbehörde zum regulären Mietzins und Kompetenzen</w:t>
          </w:r>
          <w:r>
            <w:rPr>
              <w:sz w:val="17"/>
            </w:rPr>
            <w:t xml:space="preserve"> </w:t>
          </w:r>
        </w:p>
      </w:tc>
    </w:tr>
  </w:tbl>
  <w:p w14:paraId="7B4E67FB" w14:textId="77777777" w:rsidR="00BB6354" w:rsidRDefault="00BB635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41" w:type="dxa"/>
      <w:tblInd w:w="5" w:type="dxa"/>
      <w:tblBorders>
        <w:top w:val="single" w:sz="4" w:space="0" w:color="auto"/>
      </w:tblBorders>
      <w:tblLayout w:type="fixed"/>
      <w:tblCellMar>
        <w:left w:w="3" w:type="dxa"/>
        <w:right w:w="3" w:type="dxa"/>
      </w:tblCellMar>
      <w:tblLook w:val="0000" w:firstRow="0" w:lastRow="0" w:firstColumn="0" w:lastColumn="0" w:noHBand="0" w:noVBand="0"/>
    </w:tblPr>
    <w:tblGrid>
      <w:gridCol w:w="29"/>
      <w:gridCol w:w="3935"/>
      <w:gridCol w:w="1555"/>
      <w:gridCol w:w="1417"/>
      <w:gridCol w:w="2126"/>
      <w:gridCol w:w="179"/>
    </w:tblGrid>
    <w:tr w:rsidR="00452ED6" w14:paraId="0B64D7C2" w14:textId="77777777" w:rsidTr="00E2019A">
      <w:trPr>
        <w:gridAfter w:val="1"/>
        <w:wAfter w:w="179" w:type="dxa"/>
        <w:trHeight w:val="284"/>
      </w:trPr>
      <w:tc>
        <w:tcPr>
          <w:tcW w:w="3964" w:type="dxa"/>
          <w:gridSpan w:val="2"/>
        </w:tcPr>
        <w:p w14:paraId="6E349E26" w14:textId="739FDC93" w:rsidR="00452ED6" w:rsidRDefault="00452ED6" w:rsidP="00452ED6">
          <w:pPr>
            <w:pStyle w:val="Fuzeile"/>
            <w:tabs>
              <w:tab w:val="clear" w:pos="4536"/>
              <w:tab w:val="clear" w:pos="9072"/>
              <w:tab w:val="right" w:pos="8504"/>
            </w:tabs>
            <w:rPr>
              <w:sz w:val="17"/>
            </w:rPr>
          </w:pPr>
          <w:r>
            <w:rPr>
              <w:sz w:val="17"/>
            </w:rPr>
            <w:t xml:space="preserve">HAW </w:t>
          </w:r>
          <w:r w:rsidRPr="00BA12C0">
            <w:rPr>
              <w:sz w:val="17"/>
            </w:rPr>
            <w:t>Wohnkosten: Vorgaben der Sozialbehörde zum regulären Mietzins und Kompetenzen</w:t>
          </w:r>
          <w:r>
            <w:rPr>
              <w:sz w:val="17"/>
            </w:rPr>
            <w:t xml:space="preserve"> </w:t>
          </w:r>
        </w:p>
      </w:tc>
      <w:tc>
        <w:tcPr>
          <w:tcW w:w="1555" w:type="dxa"/>
        </w:tcPr>
        <w:p w14:paraId="73A4123C" w14:textId="77777777" w:rsidR="00452ED6" w:rsidRDefault="00452ED6" w:rsidP="00452ED6">
          <w:pPr>
            <w:pStyle w:val="Fuzeile"/>
            <w:tabs>
              <w:tab w:val="clear" w:pos="4536"/>
              <w:tab w:val="clear" w:pos="9072"/>
              <w:tab w:val="right" w:pos="8504"/>
            </w:tabs>
            <w:jc w:val="center"/>
            <w:rPr>
              <w:sz w:val="17"/>
            </w:rPr>
          </w:pPr>
          <w:r>
            <w:rPr>
              <w:sz w:val="17"/>
            </w:rPr>
            <w:t>öffentlich</w:t>
          </w:r>
        </w:p>
      </w:tc>
      <w:tc>
        <w:tcPr>
          <w:tcW w:w="1417" w:type="dxa"/>
        </w:tcPr>
        <w:p w14:paraId="785C8081" w14:textId="5F9FC098" w:rsidR="00452ED6" w:rsidRDefault="00452ED6" w:rsidP="00452ED6">
          <w:pPr>
            <w:pStyle w:val="Fuzeile"/>
            <w:tabs>
              <w:tab w:val="clear" w:pos="4536"/>
              <w:tab w:val="clear" w:pos="9072"/>
              <w:tab w:val="right" w:pos="8504"/>
            </w:tabs>
            <w:jc w:val="center"/>
            <w:rPr>
              <w:sz w:val="17"/>
            </w:rPr>
          </w:pPr>
          <w:r>
            <w:rPr>
              <w:sz w:val="17"/>
            </w:rPr>
            <w:t>Version 1.</w:t>
          </w:r>
          <w:r w:rsidR="006E5D26">
            <w:rPr>
              <w:sz w:val="17"/>
            </w:rPr>
            <w:t>9</w:t>
          </w:r>
        </w:p>
      </w:tc>
      <w:tc>
        <w:tcPr>
          <w:tcW w:w="2126" w:type="dxa"/>
        </w:tcPr>
        <w:p w14:paraId="0FBAC6AF" w14:textId="77777777" w:rsidR="00452ED6" w:rsidRDefault="00452ED6" w:rsidP="00452ED6">
          <w:pPr>
            <w:pStyle w:val="Fuzeile"/>
            <w:tabs>
              <w:tab w:val="clear" w:pos="4536"/>
              <w:tab w:val="clear" w:pos="9072"/>
              <w:tab w:val="right" w:pos="8504"/>
            </w:tabs>
            <w:ind w:left="-119"/>
            <w:jc w:val="right"/>
            <w:rPr>
              <w:sz w:val="17"/>
              <w:lang w:val="de-DE"/>
            </w:rPr>
          </w:pPr>
          <w:r>
            <w:rPr>
              <w:sz w:val="17"/>
              <w:lang w:val="de-DE"/>
            </w:rPr>
            <w:t>VerfasserIn: Fachstab SI</w:t>
          </w:r>
        </w:p>
      </w:tc>
    </w:tr>
    <w:tr w:rsidR="00452ED6" w14:paraId="7E485B12" w14:textId="77777777" w:rsidTr="00E2019A">
      <w:trPr>
        <w:trHeight w:val="284"/>
      </w:trPr>
      <w:tc>
        <w:tcPr>
          <w:tcW w:w="29" w:type="dxa"/>
        </w:tcPr>
        <w:p w14:paraId="36B5D916" w14:textId="77777777" w:rsidR="00452ED6" w:rsidRDefault="00452ED6" w:rsidP="00452ED6">
          <w:pPr>
            <w:pStyle w:val="Fuzeile"/>
            <w:tabs>
              <w:tab w:val="clear" w:pos="4536"/>
              <w:tab w:val="clear" w:pos="9072"/>
              <w:tab w:val="right" w:pos="8504"/>
            </w:tabs>
            <w:ind w:left="-119"/>
            <w:rPr>
              <w:sz w:val="17"/>
              <w:lang w:val="de-DE"/>
            </w:rPr>
          </w:pPr>
        </w:p>
      </w:tc>
      <w:tc>
        <w:tcPr>
          <w:tcW w:w="9212" w:type="dxa"/>
          <w:gridSpan w:val="5"/>
        </w:tcPr>
        <w:p w14:paraId="70E0E1EE" w14:textId="595F9DC6" w:rsidR="00452ED6" w:rsidRDefault="006E5D26" w:rsidP="006E5D26">
          <w:pPr>
            <w:pStyle w:val="Fuzeile"/>
            <w:tabs>
              <w:tab w:val="clear" w:pos="4536"/>
              <w:tab w:val="clear" w:pos="9072"/>
              <w:tab w:val="right" w:pos="8504"/>
            </w:tabs>
            <w:ind w:left="-119" w:firstLine="119"/>
            <w:rPr>
              <w:sz w:val="17"/>
              <w:lang w:val="de-DE"/>
            </w:rPr>
          </w:pPr>
          <w:r>
            <w:rPr>
              <w:sz w:val="17"/>
              <w:lang w:val="de-DE"/>
            </w:rPr>
            <w:t>© Copyright: Soziale Dienste. Eine Weiterverwendung ist nur mit dem Zusatz «Soziale Dienste Stadt Zürich» erlaubt.</w:t>
          </w:r>
        </w:p>
      </w:tc>
    </w:tr>
  </w:tbl>
  <w:p w14:paraId="7B4E6809" w14:textId="77777777" w:rsidR="00BB6354" w:rsidRDefault="00BB6354" w:rsidP="003E5FC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4E67E4" w14:textId="77777777" w:rsidR="002C0B88" w:rsidRDefault="002C0B88">
      <w:r>
        <w:separator/>
      </w:r>
    </w:p>
    <w:p w14:paraId="7B4E67E5" w14:textId="77777777" w:rsidR="002C0B88" w:rsidRDefault="002C0B88"/>
  </w:footnote>
  <w:footnote w:type="continuationSeparator" w:id="0">
    <w:p w14:paraId="7B4E67E6" w14:textId="77777777" w:rsidR="002C0B88" w:rsidRDefault="002C0B88">
      <w:r>
        <w:continuationSeparator/>
      </w:r>
    </w:p>
    <w:p w14:paraId="7B4E67E7" w14:textId="77777777" w:rsidR="002C0B88" w:rsidRDefault="002C0B88"/>
  </w:footnote>
  <w:footnote w:id="1">
    <w:p w14:paraId="7B4E680E" w14:textId="77777777" w:rsidR="00BB6354" w:rsidRDefault="00BB6354">
      <w:pPr>
        <w:pStyle w:val="Funotentext"/>
      </w:pPr>
      <w:r>
        <w:rPr>
          <w:rStyle w:val="Funotenzeichen"/>
        </w:rPr>
        <w:footnoteRef/>
      </w:r>
      <w:r>
        <w:t xml:space="preserve"> </w:t>
      </w:r>
      <w:r w:rsidRPr="006D0D5E">
        <w:t>Lebt der/die KlientIn bereits vor dem 1. Oktober 2013 in einer Unterkunft dieser Kategorie und bezieht seit dem 1. Oktober 2013 ununterbrochen Sozialhilfe, kann der bisherige Mietzins für einen 1 Personenhaushalt (ab 25 Jahre) von maximal Fr. 1‘100.00 weiter finanziert werden, bis das betreffende Mietverhältnis aufgelöst oder der Mietzins erhöht wird.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680"/>
      <w:gridCol w:w="6577"/>
      <w:gridCol w:w="2495"/>
    </w:tblGrid>
    <w:tr w:rsidR="00BB6354" w14:paraId="7B4E67F0" w14:textId="77777777">
      <w:tc>
        <w:tcPr>
          <w:tcW w:w="7257" w:type="dxa"/>
          <w:gridSpan w:val="2"/>
        </w:tcPr>
        <w:p w14:paraId="7B4E67ED" w14:textId="77777777" w:rsidR="00BB6354" w:rsidRDefault="00BB6354">
          <w:pPr>
            <w:pStyle w:val="Kopfzeile"/>
            <w:tabs>
              <w:tab w:val="clear" w:pos="4536"/>
              <w:tab w:val="clear" w:pos="9072"/>
            </w:tabs>
            <w:rPr>
              <w:szCs w:val="22"/>
            </w:rPr>
          </w:pPr>
          <w:r>
            <w:rPr>
              <w:noProof/>
              <w:szCs w:val="22"/>
              <w:lang w:eastAsia="de-CH"/>
            </w:rPr>
            <w:drawing>
              <wp:inline distT="0" distB="0" distL="0" distR="0" wp14:anchorId="7B4E680A" wp14:editId="7B4E680B">
                <wp:extent cx="1348740" cy="274320"/>
                <wp:effectExtent l="0" t="0" r="3810" b="0"/>
                <wp:docPr id="3" name="Bild 2"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8740" cy="274320"/>
                        </a:xfrm>
                        <a:prstGeom prst="rect">
                          <a:avLst/>
                        </a:prstGeom>
                        <a:noFill/>
                        <a:ln>
                          <a:noFill/>
                        </a:ln>
                      </pic:spPr>
                    </pic:pic>
                  </a:graphicData>
                </a:graphic>
              </wp:inline>
            </w:drawing>
          </w:r>
        </w:p>
        <w:p w14:paraId="7B4E67EE" w14:textId="77777777" w:rsidR="00BB6354" w:rsidRDefault="00BB6354">
          <w:pPr>
            <w:pStyle w:val="Kopfzeile"/>
            <w:tabs>
              <w:tab w:val="clear" w:pos="4536"/>
              <w:tab w:val="clear" w:pos="9072"/>
            </w:tabs>
            <w:rPr>
              <w:szCs w:val="22"/>
            </w:rPr>
          </w:pPr>
        </w:p>
      </w:tc>
      <w:tc>
        <w:tcPr>
          <w:tcW w:w="2495" w:type="dxa"/>
        </w:tcPr>
        <w:p w14:paraId="7B4E67EF" w14:textId="77777777" w:rsidR="00BB6354" w:rsidRDefault="00BB6354">
          <w:pPr>
            <w:pStyle w:val="Kopfzeile"/>
            <w:tabs>
              <w:tab w:val="clear" w:pos="4536"/>
              <w:tab w:val="clear" w:pos="9072"/>
            </w:tabs>
            <w:rPr>
              <w:sz w:val="17"/>
              <w:szCs w:val="17"/>
            </w:rPr>
          </w:pPr>
        </w:p>
      </w:tc>
    </w:tr>
    <w:tr w:rsidR="00BB6354" w14:paraId="7B4E67F3" w14:textId="77777777">
      <w:trPr>
        <w:trHeight w:val="210"/>
      </w:trPr>
      <w:tc>
        <w:tcPr>
          <w:tcW w:w="680" w:type="dxa"/>
        </w:tcPr>
        <w:p w14:paraId="7B4E67F1" w14:textId="77777777" w:rsidR="00BB6354" w:rsidRDefault="00BB6354">
          <w:pPr>
            <w:pStyle w:val="Kopfzeile"/>
          </w:pPr>
        </w:p>
      </w:tc>
      <w:tc>
        <w:tcPr>
          <w:tcW w:w="9072" w:type="dxa"/>
          <w:gridSpan w:val="2"/>
        </w:tcPr>
        <w:p w14:paraId="7B4E67F2" w14:textId="26963238" w:rsidR="00BB6354" w:rsidRDefault="00BB6354">
          <w:pPr>
            <w:pStyle w:val="Kopfzeile"/>
          </w:pPr>
          <w:r>
            <w:fldChar w:fldCharType="begin"/>
          </w:r>
          <w:r>
            <w:instrText xml:space="preserve"> PAGE   \* MERGEFORMAT </w:instrText>
          </w:r>
          <w:r>
            <w:fldChar w:fldCharType="separate"/>
          </w:r>
          <w:r w:rsidR="001D210C">
            <w:rPr>
              <w:noProof/>
            </w:rPr>
            <w:t>2</w:t>
          </w:r>
          <w:r>
            <w:fldChar w:fldCharType="end"/>
          </w:r>
          <w:r>
            <w:t>/</w:t>
          </w:r>
          <w:r>
            <w:rPr>
              <w:noProof/>
            </w:rPr>
            <w:fldChar w:fldCharType="begin"/>
          </w:r>
          <w:r>
            <w:rPr>
              <w:noProof/>
            </w:rPr>
            <w:instrText xml:space="preserve"> NUMPAGES   \* MERGEFORMAT </w:instrText>
          </w:r>
          <w:r>
            <w:rPr>
              <w:noProof/>
            </w:rPr>
            <w:fldChar w:fldCharType="separate"/>
          </w:r>
          <w:r w:rsidR="001D210C">
            <w:rPr>
              <w:noProof/>
            </w:rPr>
            <w:t>7</w:t>
          </w:r>
          <w:r>
            <w:rPr>
              <w:noProof/>
            </w:rPr>
            <w:fldChar w:fldCharType="end"/>
          </w:r>
        </w:p>
      </w:tc>
    </w:tr>
  </w:tbl>
  <w:p w14:paraId="7B4E67F4" w14:textId="77777777" w:rsidR="00BB6354" w:rsidRDefault="00BB6354">
    <w:pPr>
      <w:pStyle w:val="Kopfzeile"/>
      <w:tabs>
        <w:tab w:val="clear" w:pos="4536"/>
        <w:tab w:val="clear" w:pos="9072"/>
      </w:tabs>
      <w:rPr>
        <w:sz w:val="2"/>
      </w:rPr>
    </w:pPr>
  </w:p>
  <w:p w14:paraId="7B4E67F5" w14:textId="77777777" w:rsidR="00BB6354" w:rsidRDefault="00BB635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52" w:type="dxa"/>
      <w:tblInd w:w="-680" w:type="dxa"/>
      <w:tblLayout w:type="fixed"/>
      <w:tblCellMar>
        <w:left w:w="3" w:type="dxa"/>
        <w:right w:w="3" w:type="dxa"/>
      </w:tblCellMar>
      <w:tblLook w:val="0000" w:firstRow="0" w:lastRow="0" w:firstColumn="0" w:lastColumn="0" w:noHBand="0" w:noVBand="0"/>
    </w:tblPr>
    <w:tblGrid>
      <w:gridCol w:w="7257"/>
      <w:gridCol w:w="2495"/>
    </w:tblGrid>
    <w:tr w:rsidR="00BB6354" w14:paraId="7B4E67FE" w14:textId="77777777">
      <w:tc>
        <w:tcPr>
          <w:tcW w:w="7257" w:type="dxa"/>
        </w:tcPr>
        <w:p w14:paraId="7B4E67FC" w14:textId="77777777" w:rsidR="00BB6354" w:rsidRDefault="00BB6354">
          <w:pPr>
            <w:pStyle w:val="Kopfzeile"/>
            <w:tabs>
              <w:tab w:val="clear" w:pos="4536"/>
              <w:tab w:val="clear" w:pos="9072"/>
            </w:tabs>
            <w:rPr>
              <w:szCs w:val="22"/>
            </w:rPr>
          </w:pPr>
          <w:r>
            <w:rPr>
              <w:noProof/>
              <w:szCs w:val="22"/>
              <w:lang w:eastAsia="de-CH"/>
            </w:rPr>
            <w:drawing>
              <wp:inline distT="0" distB="0" distL="0" distR="0" wp14:anchorId="7B4E680C" wp14:editId="7B4E680D">
                <wp:extent cx="1348740" cy="274320"/>
                <wp:effectExtent l="0" t="0" r="3810" b="0"/>
                <wp:docPr id="4" name="Bild 1" descr="logo_stzh_SOD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zh_SOD_s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8740" cy="274320"/>
                        </a:xfrm>
                        <a:prstGeom prst="rect">
                          <a:avLst/>
                        </a:prstGeom>
                        <a:noFill/>
                        <a:ln>
                          <a:noFill/>
                        </a:ln>
                      </pic:spPr>
                    </pic:pic>
                  </a:graphicData>
                </a:graphic>
              </wp:inline>
            </w:drawing>
          </w:r>
        </w:p>
      </w:tc>
      <w:tc>
        <w:tcPr>
          <w:tcW w:w="2495" w:type="dxa"/>
        </w:tcPr>
        <w:p w14:paraId="7B4E67FD" w14:textId="77777777" w:rsidR="00BB6354" w:rsidRDefault="00BB6354">
          <w:pPr>
            <w:pStyle w:val="Kopfzeile"/>
            <w:tabs>
              <w:tab w:val="clear" w:pos="4536"/>
              <w:tab w:val="clear" w:pos="9072"/>
            </w:tabs>
            <w:rPr>
              <w:sz w:val="17"/>
              <w:szCs w:val="17"/>
            </w:rPr>
          </w:pPr>
        </w:p>
      </w:tc>
    </w:tr>
    <w:tr w:rsidR="00BB6354" w14:paraId="7B4E6801" w14:textId="77777777">
      <w:tc>
        <w:tcPr>
          <w:tcW w:w="7257" w:type="dxa"/>
        </w:tcPr>
        <w:p w14:paraId="7B4E67FF" w14:textId="77777777" w:rsidR="00BB6354" w:rsidRDefault="00BB6354">
          <w:pPr>
            <w:pStyle w:val="Kopfzeile"/>
            <w:tabs>
              <w:tab w:val="clear" w:pos="4536"/>
              <w:tab w:val="clear" w:pos="9072"/>
            </w:tabs>
            <w:rPr>
              <w:szCs w:val="22"/>
            </w:rPr>
          </w:pPr>
        </w:p>
      </w:tc>
      <w:tc>
        <w:tcPr>
          <w:tcW w:w="2495" w:type="dxa"/>
        </w:tcPr>
        <w:p w14:paraId="7B4E6800" w14:textId="77777777" w:rsidR="00BB6354" w:rsidRDefault="00BB6354">
          <w:pPr>
            <w:pStyle w:val="Kopfzeile"/>
            <w:tabs>
              <w:tab w:val="clear" w:pos="4536"/>
              <w:tab w:val="clear" w:pos="9072"/>
            </w:tabs>
            <w:rPr>
              <w:noProof/>
              <w:sz w:val="17"/>
              <w:szCs w:val="17"/>
              <w:lang w:val="de-DE"/>
            </w:rPr>
          </w:pPr>
        </w:p>
      </w:tc>
    </w:tr>
  </w:tbl>
  <w:p w14:paraId="7B4E6802" w14:textId="77777777" w:rsidR="00BB6354" w:rsidRDefault="00BB6354">
    <w:pPr>
      <w:pStyle w:val="Kopfzeile"/>
      <w:tabs>
        <w:tab w:val="clear" w:pos="4536"/>
        <w:tab w:val="clear" w:pos="9072"/>
      </w:tabs>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D5AA93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8C1A2AB0"/>
    <w:lvl w:ilvl="0">
      <w:start w:val="1"/>
      <w:numFmt w:val="bullet"/>
      <w:pStyle w:val="Aufzhlung"/>
      <w:lvlText w:val=""/>
      <w:lvlJc w:val="left"/>
      <w:pPr>
        <w:tabs>
          <w:tab w:val="num" w:pos="360"/>
        </w:tabs>
        <w:ind w:left="360" w:hanging="360"/>
      </w:pPr>
      <w:rPr>
        <w:rFonts w:ascii="Wingdings" w:hAnsi="Wingdings" w:hint="default"/>
      </w:rPr>
    </w:lvl>
  </w:abstractNum>
  <w:abstractNum w:abstractNumId="2" w15:restartNumberingAfterBreak="0">
    <w:nsid w:val="0C2216EC"/>
    <w:multiLevelType w:val="multilevel"/>
    <w:tmpl w:val="D8E0A6E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15:restartNumberingAfterBreak="0">
    <w:nsid w:val="124047C5"/>
    <w:multiLevelType w:val="hybridMultilevel"/>
    <w:tmpl w:val="24A4021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5C52B7"/>
    <w:multiLevelType w:val="hybridMultilevel"/>
    <w:tmpl w:val="A6047EA6"/>
    <w:lvl w:ilvl="0" w:tplc="04070019">
      <w:start w:val="1"/>
      <w:numFmt w:val="lowerLetter"/>
      <w:lvlText w:val="%1."/>
      <w:lvlJc w:val="left"/>
      <w:pPr>
        <w:tabs>
          <w:tab w:val="num" w:pos="720"/>
        </w:tabs>
        <w:ind w:left="720" w:hanging="360"/>
      </w:p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32609"/>
    <w:multiLevelType w:val="hybridMultilevel"/>
    <w:tmpl w:val="D4FA3286"/>
    <w:lvl w:ilvl="0" w:tplc="04070007">
      <w:start w:val="1"/>
      <w:numFmt w:val="bullet"/>
      <w:lvlText w:val="-"/>
      <w:lvlJc w:val="left"/>
      <w:pPr>
        <w:tabs>
          <w:tab w:val="num" w:pos="360"/>
        </w:tabs>
        <w:ind w:left="360" w:hanging="360"/>
      </w:pPr>
      <w:rPr>
        <w:sz w:val="16"/>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CD12F7F"/>
    <w:multiLevelType w:val="hybridMultilevel"/>
    <w:tmpl w:val="B56EEDC0"/>
    <w:lvl w:ilvl="0" w:tplc="04070007">
      <w:start w:val="1"/>
      <w:numFmt w:val="bullet"/>
      <w:lvlText w:val="-"/>
      <w:lvlJc w:val="left"/>
      <w:pPr>
        <w:tabs>
          <w:tab w:val="num" w:pos="720"/>
        </w:tabs>
        <w:ind w:left="720" w:hanging="360"/>
      </w:pPr>
      <w:rPr>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1D53D1"/>
    <w:multiLevelType w:val="hybridMultilevel"/>
    <w:tmpl w:val="9AAC2A4C"/>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2"/>
  </w:num>
  <w:num w:numId="2">
    <w:abstractNumId w:val="5"/>
  </w:num>
  <w:num w:numId="3">
    <w:abstractNumId w:val="3"/>
  </w:num>
  <w:num w:numId="4">
    <w:abstractNumId w:val="6"/>
  </w:num>
  <w:num w:numId="5">
    <w:abstractNumId w:val="7"/>
  </w:num>
  <w:num w:numId="6">
    <w:abstractNumId w:val="4"/>
  </w:num>
  <w:num w:numId="7">
    <w:abstractNumId w:val="2"/>
  </w:num>
  <w:num w:numId="8">
    <w:abstractNumId w:val="1"/>
  </w:num>
  <w:num w:numId="9">
    <w:abstractNumId w:val="0"/>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vaFArt" w:val="NeutralA4PI"/>
    <w:docVar w:name="dvaFGroup" w:val="Ntl01"/>
    <w:docVar w:name="dvaFileNameAct" w:val="0"/>
    <w:docVar w:name="dvaFileNameVis" w:val="1"/>
    <w:docVar w:name="dvaFL" w:val="DE"/>
    <w:docVar w:name="dvaFootAct" w:val="0"/>
    <w:docVar w:name="dvaFoPaAct" w:val="0"/>
    <w:docVar w:name="dvaHeadExtInt" w:val="Ext"/>
    <w:docVar w:name="dvaInitRule_L" w:val="SigL"/>
    <w:docVar w:name="dvaInitRule_R" w:val="CoPers"/>
    <w:docVar w:name="dvaLogo" w:val="BW"/>
    <w:docVar w:name="dvaLogoFP" w:val="BW"/>
    <w:docVar w:name="dvaSaveInfoMode" w:val="10"/>
    <w:docVar w:name="dvaSaveMode" w:val="10"/>
    <w:docVar w:name="dvaTrayPage1" w:val="Neutral"/>
    <w:docVar w:name="dvaTrayPage1a" w:val="Neutral"/>
    <w:docVar w:name="dvaTrayPage2" w:val="Neutral"/>
  </w:docVars>
  <w:rsids>
    <w:rsidRoot w:val="00D47ACE"/>
    <w:rsid w:val="00002B69"/>
    <w:rsid w:val="0000584F"/>
    <w:rsid w:val="00010A3E"/>
    <w:rsid w:val="00016967"/>
    <w:rsid w:val="000207A4"/>
    <w:rsid w:val="000255CE"/>
    <w:rsid w:val="0003548D"/>
    <w:rsid w:val="00035D04"/>
    <w:rsid w:val="00043CB0"/>
    <w:rsid w:val="00043F20"/>
    <w:rsid w:val="000473EB"/>
    <w:rsid w:val="00073A59"/>
    <w:rsid w:val="00082673"/>
    <w:rsid w:val="00082985"/>
    <w:rsid w:val="00090F92"/>
    <w:rsid w:val="00093CD6"/>
    <w:rsid w:val="000A2A71"/>
    <w:rsid w:val="000B0279"/>
    <w:rsid w:val="000C77B6"/>
    <w:rsid w:val="000D0119"/>
    <w:rsid w:val="000E12BF"/>
    <w:rsid w:val="000F0DEC"/>
    <w:rsid w:val="001002BF"/>
    <w:rsid w:val="00104FCD"/>
    <w:rsid w:val="00106874"/>
    <w:rsid w:val="00112B38"/>
    <w:rsid w:val="001202F5"/>
    <w:rsid w:val="001272E6"/>
    <w:rsid w:val="00163083"/>
    <w:rsid w:val="00176A47"/>
    <w:rsid w:val="00177B08"/>
    <w:rsid w:val="00180894"/>
    <w:rsid w:val="001810FB"/>
    <w:rsid w:val="00192991"/>
    <w:rsid w:val="001951C5"/>
    <w:rsid w:val="001A2F36"/>
    <w:rsid w:val="001B7542"/>
    <w:rsid w:val="001C437E"/>
    <w:rsid w:val="001C5F9D"/>
    <w:rsid w:val="001C6243"/>
    <w:rsid w:val="001D210C"/>
    <w:rsid w:val="001F3147"/>
    <w:rsid w:val="002013A3"/>
    <w:rsid w:val="002063A5"/>
    <w:rsid w:val="00207F06"/>
    <w:rsid w:val="002129A1"/>
    <w:rsid w:val="0022589A"/>
    <w:rsid w:val="00231512"/>
    <w:rsid w:val="00231941"/>
    <w:rsid w:val="002339E8"/>
    <w:rsid w:val="00234518"/>
    <w:rsid w:val="002602FB"/>
    <w:rsid w:val="0027226B"/>
    <w:rsid w:val="0027637A"/>
    <w:rsid w:val="002825F0"/>
    <w:rsid w:val="00285A2A"/>
    <w:rsid w:val="00285ADE"/>
    <w:rsid w:val="00290B58"/>
    <w:rsid w:val="002964D9"/>
    <w:rsid w:val="002A1647"/>
    <w:rsid w:val="002C0B88"/>
    <w:rsid w:val="002D2BB0"/>
    <w:rsid w:val="002F3F68"/>
    <w:rsid w:val="003060AF"/>
    <w:rsid w:val="0031565D"/>
    <w:rsid w:val="00321950"/>
    <w:rsid w:val="0033106B"/>
    <w:rsid w:val="003415A9"/>
    <w:rsid w:val="0034243B"/>
    <w:rsid w:val="003436ED"/>
    <w:rsid w:val="0035295A"/>
    <w:rsid w:val="00360EA6"/>
    <w:rsid w:val="00373CAC"/>
    <w:rsid w:val="00375FC2"/>
    <w:rsid w:val="00377C8C"/>
    <w:rsid w:val="00390E81"/>
    <w:rsid w:val="003A764F"/>
    <w:rsid w:val="003C05A2"/>
    <w:rsid w:val="003C326F"/>
    <w:rsid w:val="003E0B79"/>
    <w:rsid w:val="003E5FC8"/>
    <w:rsid w:val="0040555C"/>
    <w:rsid w:val="00413CD5"/>
    <w:rsid w:val="00414C3B"/>
    <w:rsid w:val="00420919"/>
    <w:rsid w:val="00430562"/>
    <w:rsid w:val="00441464"/>
    <w:rsid w:val="0044353B"/>
    <w:rsid w:val="00451D1A"/>
    <w:rsid w:val="00452ED6"/>
    <w:rsid w:val="004543D1"/>
    <w:rsid w:val="00456A63"/>
    <w:rsid w:val="00456EC6"/>
    <w:rsid w:val="00472C11"/>
    <w:rsid w:val="00472E72"/>
    <w:rsid w:val="00473892"/>
    <w:rsid w:val="0047785A"/>
    <w:rsid w:val="00480196"/>
    <w:rsid w:val="004813BE"/>
    <w:rsid w:val="004827DA"/>
    <w:rsid w:val="00492CC7"/>
    <w:rsid w:val="004A4FE2"/>
    <w:rsid w:val="004C2256"/>
    <w:rsid w:val="004C65DB"/>
    <w:rsid w:val="004F0B95"/>
    <w:rsid w:val="004F20F0"/>
    <w:rsid w:val="004F3E85"/>
    <w:rsid w:val="004F605B"/>
    <w:rsid w:val="00503907"/>
    <w:rsid w:val="005154F9"/>
    <w:rsid w:val="0051698B"/>
    <w:rsid w:val="00527ACE"/>
    <w:rsid w:val="00531F04"/>
    <w:rsid w:val="0053312E"/>
    <w:rsid w:val="00536F90"/>
    <w:rsid w:val="005436AB"/>
    <w:rsid w:val="00551493"/>
    <w:rsid w:val="00552C7B"/>
    <w:rsid w:val="00557061"/>
    <w:rsid w:val="005606EA"/>
    <w:rsid w:val="005721B6"/>
    <w:rsid w:val="005722E5"/>
    <w:rsid w:val="005838A7"/>
    <w:rsid w:val="00584122"/>
    <w:rsid w:val="00591C14"/>
    <w:rsid w:val="005B2410"/>
    <w:rsid w:val="005C5245"/>
    <w:rsid w:val="005C56A6"/>
    <w:rsid w:val="005D35E2"/>
    <w:rsid w:val="005D60C4"/>
    <w:rsid w:val="005D7D07"/>
    <w:rsid w:val="005E0FF6"/>
    <w:rsid w:val="005F250C"/>
    <w:rsid w:val="005F2A62"/>
    <w:rsid w:val="00601645"/>
    <w:rsid w:val="00601F27"/>
    <w:rsid w:val="0060450B"/>
    <w:rsid w:val="0062009D"/>
    <w:rsid w:val="00627F00"/>
    <w:rsid w:val="006324CD"/>
    <w:rsid w:val="00640DDB"/>
    <w:rsid w:val="006506E7"/>
    <w:rsid w:val="0066644E"/>
    <w:rsid w:val="00672FB6"/>
    <w:rsid w:val="00681128"/>
    <w:rsid w:val="006823C5"/>
    <w:rsid w:val="006830D7"/>
    <w:rsid w:val="00696C72"/>
    <w:rsid w:val="006B700C"/>
    <w:rsid w:val="006B7B35"/>
    <w:rsid w:val="006C4DA6"/>
    <w:rsid w:val="006D0D27"/>
    <w:rsid w:val="006D0D5E"/>
    <w:rsid w:val="006E5D26"/>
    <w:rsid w:val="006F717D"/>
    <w:rsid w:val="006F766C"/>
    <w:rsid w:val="00700AAC"/>
    <w:rsid w:val="007023CE"/>
    <w:rsid w:val="00711334"/>
    <w:rsid w:val="00712E6B"/>
    <w:rsid w:val="007253C2"/>
    <w:rsid w:val="007478A1"/>
    <w:rsid w:val="00752331"/>
    <w:rsid w:val="00793D90"/>
    <w:rsid w:val="00794C09"/>
    <w:rsid w:val="0079608B"/>
    <w:rsid w:val="007A768F"/>
    <w:rsid w:val="007B542D"/>
    <w:rsid w:val="007B5A01"/>
    <w:rsid w:val="007C0734"/>
    <w:rsid w:val="007C153E"/>
    <w:rsid w:val="007D0FBE"/>
    <w:rsid w:val="007D7AEC"/>
    <w:rsid w:val="007E290D"/>
    <w:rsid w:val="007F1477"/>
    <w:rsid w:val="00806EDC"/>
    <w:rsid w:val="00813276"/>
    <w:rsid w:val="00820DD6"/>
    <w:rsid w:val="008218DF"/>
    <w:rsid w:val="00822279"/>
    <w:rsid w:val="008222A5"/>
    <w:rsid w:val="00824775"/>
    <w:rsid w:val="00853E38"/>
    <w:rsid w:val="00856C2B"/>
    <w:rsid w:val="00856C2D"/>
    <w:rsid w:val="008640FE"/>
    <w:rsid w:val="0087281F"/>
    <w:rsid w:val="00890E06"/>
    <w:rsid w:val="008B4244"/>
    <w:rsid w:val="008C02AF"/>
    <w:rsid w:val="008C2B13"/>
    <w:rsid w:val="008C310E"/>
    <w:rsid w:val="008C4385"/>
    <w:rsid w:val="008C5167"/>
    <w:rsid w:val="008D2FA5"/>
    <w:rsid w:val="008E3EDB"/>
    <w:rsid w:val="008F1B48"/>
    <w:rsid w:val="008F270C"/>
    <w:rsid w:val="00944A3E"/>
    <w:rsid w:val="00952B63"/>
    <w:rsid w:val="00953F1B"/>
    <w:rsid w:val="00956742"/>
    <w:rsid w:val="00963719"/>
    <w:rsid w:val="009641C3"/>
    <w:rsid w:val="0096761B"/>
    <w:rsid w:val="009716D2"/>
    <w:rsid w:val="00971B30"/>
    <w:rsid w:val="00974120"/>
    <w:rsid w:val="00981FA7"/>
    <w:rsid w:val="009872BE"/>
    <w:rsid w:val="009A2265"/>
    <w:rsid w:val="009A7C57"/>
    <w:rsid w:val="009D29DE"/>
    <w:rsid w:val="009D31FE"/>
    <w:rsid w:val="009E1871"/>
    <w:rsid w:val="009F514E"/>
    <w:rsid w:val="009F6644"/>
    <w:rsid w:val="00A02AF0"/>
    <w:rsid w:val="00A121BB"/>
    <w:rsid w:val="00A24FE9"/>
    <w:rsid w:val="00A26328"/>
    <w:rsid w:val="00A37C94"/>
    <w:rsid w:val="00A40324"/>
    <w:rsid w:val="00A41D2F"/>
    <w:rsid w:val="00A41E25"/>
    <w:rsid w:val="00A47C7F"/>
    <w:rsid w:val="00A53FD5"/>
    <w:rsid w:val="00A66F32"/>
    <w:rsid w:val="00A91A3F"/>
    <w:rsid w:val="00A97918"/>
    <w:rsid w:val="00A97CA6"/>
    <w:rsid w:val="00AA34C7"/>
    <w:rsid w:val="00AB20A2"/>
    <w:rsid w:val="00AB53CB"/>
    <w:rsid w:val="00AC1ADB"/>
    <w:rsid w:val="00AC2A5D"/>
    <w:rsid w:val="00AC3097"/>
    <w:rsid w:val="00AE32F0"/>
    <w:rsid w:val="00AE482F"/>
    <w:rsid w:val="00AF02A8"/>
    <w:rsid w:val="00B14973"/>
    <w:rsid w:val="00B31839"/>
    <w:rsid w:val="00B45510"/>
    <w:rsid w:val="00B6574D"/>
    <w:rsid w:val="00B66CF9"/>
    <w:rsid w:val="00B74163"/>
    <w:rsid w:val="00B85763"/>
    <w:rsid w:val="00B92738"/>
    <w:rsid w:val="00B935E0"/>
    <w:rsid w:val="00BA002A"/>
    <w:rsid w:val="00BA12C0"/>
    <w:rsid w:val="00BA66EB"/>
    <w:rsid w:val="00BB6354"/>
    <w:rsid w:val="00BC4993"/>
    <w:rsid w:val="00BD1B93"/>
    <w:rsid w:val="00BD437C"/>
    <w:rsid w:val="00BD760C"/>
    <w:rsid w:val="00BE6CCF"/>
    <w:rsid w:val="00C00220"/>
    <w:rsid w:val="00C2364D"/>
    <w:rsid w:val="00C3700A"/>
    <w:rsid w:val="00C55148"/>
    <w:rsid w:val="00C62D56"/>
    <w:rsid w:val="00C65302"/>
    <w:rsid w:val="00C73C87"/>
    <w:rsid w:val="00C83FDC"/>
    <w:rsid w:val="00C8574D"/>
    <w:rsid w:val="00C9237B"/>
    <w:rsid w:val="00CA7D7F"/>
    <w:rsid w:val="00CB7AC2"/>
    <w:rsid w:val="00CC21C6"/>
    <w:rsid w:val="00CC7ABF"/>
    <w:rsid w:val="00CD25E3"/>
    <w:rsid w:val="00CD353B"/>
    <w:rsid w:val="00CD76F9"/>
    <w:rsid w:val="00CD79BB"/>
    <w:rsid w:val="00CF2632"/>
    <w:rsid w:val="00D061EC"/>
    <w:rsid w:val="00D11B99"/>
    <w:rsid w:val="00D23993"/>
    <w:rsid w:val="00D46008"/>
    <w:rsid w:val="00D47ACE"/>
    <w:rsid w:val="00D56EB9"/>
    <w:rsid w:val="00D660B1"/>
    <w:rsid w:val="00D757E0"/>
    <w:rsid w:val="00D85E31"/>
    <w:rsid w:val="00D87D7E"/>
    <w:rsid w:val="00DA024F"/>
    <w:rsid w:val="00DB379F"/>
    <w:rsid w:val="00DB4083"/>
    <w:rsid w:val="00DC2936"/>
    <w:rsid w:val="00DC53BD"/>
    <w:rsid w:val="00DC6B5D"/>
    <w:rsid w:val="00DE4BFC"/>
    <w:rsid w:val="00DF4A59"/>
    <w:rsid w:val="00DF582B"/>
    <w:rsid w:val="00DF6E1C"/>
    <w:rsid w:val="00DF763D"/>
    <w:rsid w:val="00E03184"/>
    <w:rsid w:val="00E142CF"/>
    <w:rsid w:val="00E2019A"/>
    <w:rsid w:val="00E27CA8"/>
    <w:rsid w:val="00E402A0"/>
    <w:rsid w:val="00E5292A"/>
    <w:rsid w:val="00E556A0"/>
    <w:rsid w:val="00E65C5B"/>
    <w:rsid w:val="00E71098"/>
    <w:rsid w:val="00E7587F"/>
    <w:rsid w:val="00EA0A46"/>
    <w:rsid w:val="00EA122A"/>
    <w:rsid w:val="00EC6BBA"/>
    <w:rsid w:val="00EF07A8"/>
    <w:rsid w:val="00EF5922"/>
    <w:rsid w:val="00F02410"/>
    <w:rsid w:val="00F048E6"/>
    <w:rsid w:val="00F053E5"/>
    <w:rsid w:val="00F12090"/>
    <w:rsid w:val="00F4324C"/>
    <w:rsid w:val="00F43B23"/>
    <w:rsid w:val="00F4631F"/>
    <w:rsid w:val="00F56F16"/>
    <w:rsid w:val="00F61043"/>
    <w:rsid w:val="00F61071"/>
    <w:rsid w:val="00F61852"/>
    <w:rsid w:val="00F622E1"/>
    <w:rsid w:val="00F7071A"/>
    <w:rsid w:val="00F82AAB"/>
    <w:rsid w:val="00F84981"/>
    <w:rsid w:val="00FB77D9"/>
    <w:rsid w:val="00FC7D82"/>
    <w:rsid w:val="00FD4AB2"/>
    <w:rsid w:val="00FD74FD"/>
    <w:rsid w:val="00FE3243"/>
    <w:rsid w:val="00FE3932"/>
    <w:rsid w:val="00FE62E3"/>
    <w:rsid w:val="00FF7C8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3009"/>
    <o:shapelayout v:ext="edit">
      <o:idmap v:ext="edit" data="1"/>
    </o:shapelayout>
  </w:shapeDefaults>
  <w:decimalSymbol w:val="."/>
  <w:listSeparator w:val=";"/>
  <w14:docId w14:val="7B4E6704"/>
  <w15:docId w15:val="{ECA892BD-53CF-4AB9-B575-651FB2C9B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Arial" w:hAnsi="Arial" w:cs="Arial"/>
      <w:sz w:val="22"/>
      <w:lang w:eastAsia="de-DE"/>
    </w:rPr>
  </w:style>
  <w:style w:type="paragraph" w:styleId="berschrift1">
    <w:name w:val="heading 1"/>
    <w:basedOn w:val="Standard"/>
    <w:next w:val="Absatz0"/>
    <w:link w:val="berschrift1Zchn"/>
    <w:qFormat/>
    <w:rsid w:val="003415A9"/>
    <w:pPr>
      <w:numPr>
        <w:numId w:val="1"/>
      </w:numPr>
      <w:shd w:val="clear" w:color="auto" w:fill="99CCFF"/>
      <w:tabs>
        <w:tab w:val="left" w:pos="709"/>
      </w:tabs>
      <w:spacing w:before="240" w:after="120"/>
      <w:outlineLvl w:val="0"/>
    </w:pPr>
    <w:rPr>
      <w:rFonts w:cs="Times New Roman"/>
      <w:b/>
      <w:szCs w:val="24"/>
    </w:rPr>
  </w:style>
  <w:style w:type="paragraph" w:styleId="berschrift2">
    <w:name w:val="heading 2"/>
    <w:basedOn w:val="berschrift1"/>
    <w:next w:val="Absatz0"/>
    <w:link w:val="berschrift2Zchn"/>
    <w:qFormat/>
    <w:rsid w:val="003415A9"/>
    <w:pPr>
      <w:numPr>
        <w:ilvl w:val="1"/>
      </w:numPr>
      <w:outlineLvl w:val="1"/>
    </w:pPr>
  </w:style>
  <w:style w:type="paragraph" w:styleId="berschrift3">
    <w:name w:val="heading 3"/>
    <w:basedOn w:val="berschrift2"/>
    <w:next w:val="Absatz0"/>
    <w:qFormat/>
    <w:pPr>
      <w:numPr>
        <w:ilvl w:val="2"/>
      </w:numPr>
      <w:tabs>
        <w:tab w:val="clear" w:pos="720"/>
        <w:tab w:val="left" w:pos="709"/>
      </w:tabs>
      <w:ind w:left="709" w:hanging="709"/>
      <w:outlineLvl w:val="2"/>
    </w:pPr>
    <w:rPr>
      <w:b w:val="0"/>
    </w:rPr>
  </w:style>
  <w:style w:type="paragraph" w:styleId="berschrift4">
    <w:name w:val="heading 4"/>
    <w:basedOn w:val="berschrift3"/>
    <w:next w:val="Absatz1"/>
    <w:qFormat/>
    <w:pPr>
      <w:numPr>
        <w:ilvl w:val="3"/>
      </w:numPr>
      <w:tabs>
        <w:tab w:val="clear" w:pos="864"/>
      </w:tabs>
      <w:ind w:left="709" w:hanging="709"/>
      <w:outlineLvl w:val="3"/>
    </w:pPr>
  </w:style>
  <w:style w:type="paragraph" w:styleId="berschrift5">
    <w:name w:val="heading 5"/>
    <w:basedOn w:val="berschrift4"/>
    <w:next w:val="Absatz1"/>
    <w:qFormat/>
    <w:pPr>
      <w:numPr>
        <w:ilvl w:val="4"/>
      </w:numPr>
      <w:tabs>
        <w:tab w:val="clear" w:pos="1008"/>
      </w:tabs>
      <w:ind w:left="709" w:hanging="709"/>
      <w:outlineLvl w:val="4"/>
    </w:pPr>
  </w:style>
  <w:style w:type="paragraph" w:styleId="berschrift6">
    <w:name w:val="heading 6"/>
    <w:basedOn w:val="berschrift5"/>
    <w:next w:val="Absatz1"/>
    <w:qFormat/>
    <w:pPr>
      <w:numPr>
        <w:ilvl w:val="5"/>
      </w:numPr>
      <w:tabs>
        <w:tab w:val="clear" w:pos="1152"/>
      </w:tabs>
      <w:ind w:left="709" w:hanging="709"/>
      <w:outlineLvl w:val="5"/>
    </w:pPr>
  </w:style>
  <w:style w:type="paragraph" w:styleId="berschrift7">
    <w:name w:val="heading 7"/>
    <w:basedOn w:val="berschrift6"/>
    <w:next w:val="Absatz1"/>
    <w:qFormat/>
    <w:pPr>
      <w:numPr>
        <w:ilvl w:val="6"/>
      </w:numPr>
      <w:tabs>
        <w:tab w:val="clear" w:pos="1296"/>
      </w:tabs>
      <w:ind w:left="709" w:hanging="709"/>
      <w:outlineLvl w:val="6"/>
    </w:pPr>
  </w:style>
  <w:style w:type="paragraph" w:styleId="berschrift8">
    <w:name w:val="heading 8"/>
    <w:basedOn w:val="berschrift7"/>
    <w:next w:val="Absatz1"/>
    <w:qFormat/>
    <w:pPr>
      <w:numPr>
        <w:ilvl w:val="7"/>
      </w:numPr>
      <w:tabs>
        <w:tab w:val="clear" w:pos="1440"/>
      </w:tabs>
      <w:ind w:left="709" w:hanging="709"/>
      <w:outlineLvl w:val="7"/>
    </w:pPr>
  </w:style>
  <w:style w:type="paragraph" w:styleId="berschrift9">
    <w:name w:val="heading 9"/>
    <w:basedOn w:val="berschrift8"/>
    <w:next w:val="Absatz1"/>
    <w:qFormat/>
    <w:pPr>
      <w:numPr>
        <w:ilvl w:val="8"/>
      </w:numPr>
      <w:tabs>
        <w:tab w:val="clear" w:pos="1584"/>
      </w:tabs>
      <w:ind w:left="709" w:hanging="709"/>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ind w:left="709"/>
    </w:pPr>
  </w:style>
  <w:style w:type="paragraph" w:styleId="Verzeichnis1">
    <w:name w:val="toc 1"/>
    <w:basedOn w:val="Standard"/>
    <w:next w:val="Standard"/>
    <w:uiPriority w:val="39"/>
    <w:pPr>
      <w:tabs>
        <w:tab w:val="right" w:leader="dot" w:pos="9071"/>
      </w:tabs>
      <w:spacing w:before="120" w:after="120" w:line="280" w:lineRule="atLeast"/>
      <w:ind w:left="709" w:hanging="709"/>
    </w:pPr>
    <w:rPr>
      <w:b/>
      <w:caps/>
    </w:rPr>
  </w:style>
  <w:style w:type="paragraph" w:styleId="Verzeichnis2">
    <w:name w:val="toc 2"/>
    <w:basedOn w:val="Standard"/>
    <w:next w:val="Standard"/>
    <w:uiPriority w:val="39"/>
    <w:pPr>
      <w:tabs>
        <w:tab w:val="right" w:leader="dot" w:pos="9071"/>
      </w:tabs>
      <w:spacing w:line="240" w:lineRule="atLeast"/>
      <w:ind w:left="709" w:hanging="709"/>
    </w:pPr>
    <w:rPr>
      <w:smallCaps/>
    </w:rPr>
  </w:style>
  <w:style w:type="paragraph" w:styleId="Verzeichnis3">
    <w:name w:val="toc 3"/>
    <w:basedOn w:val="Standard"/>
    <w:next w:val="Standard"/>
    <w:semiHidden/>
    <w:pPr>
      <w:tabs>
        <w:tab w:val="right" w:leader="dot" w:pos="9071"/>
      </w:tabs>
      <w:ind w:left="1417" w:hanging="709"/>
    </w:pPr>
    <w:rPr>
      <w:i/>
    </w:rPr>
  </w:style>
  <w:style w:type="paragraph" w:customStyle="1" w:styleId="berschrift">
    <w:name w:val="Überschrift"/>
    <w:basedOn w:val="Standard"/>
    <w:next w:val="Standard"/>
    <w:pPr>
      <w:spacing w:before="120" w:after="120"/>
    </w:pPr>
    <w:rPr>
      <w:b/>
    </w:rPr>
  </w:style>
  <w:style w:type="paragraph" w:styleId="Kopfzeile">
    <w:name w:val="header"/>
    <w:basedOn w:val="Standard"/>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Absatz0">
    <w:name w:val="Absatz 0"/>
    <w:basedOn w:val="Standard"/>
  </w:style>
  <w:style w:type="paragraph" w:customStyle="1" w:styleId="Absatz1">
    <w:name w:val="Absatz 1"/>
    <w:basedOn w:val="Absatz0"/>
    <w:pPr>
      <w:ind w:left="709"/>
    </w:pPr>
  </w:style>
  <w:style w:type="paragraph" w:customStyle="1" w:styleId="Absatz2">
    <w:name w:val="Absatz 2"/>
    <w:basedOn w:val="Absatz0"/>
    <w:pPr>
      <w:ind w:left="1417"/>
    </w:pPr>
  </w:style>
  <w:style w:type="paragraph" w:customStyle="1" w:styleId="Absatz3">
    <w:name w:val="Absatz 3"/>
    <w:basedOn w:val="Absatz0"/>
    <w:pPr>
      <w:ind w:left="1984"/>
    </w:pPr>
  </w:style>
  <w:style w:type="paragraph" w:customStyle="1" w:styleId="Tabellentitel">
    <w:name w:val="Tabellentitel"/>
    <w:basedOn w:val="Standard"/>
    <w:rPr>
      <w:b/>
      <w:sz w:val="17"/>
    </w:rPr>
  </w:style>
  <w:style w:type="paragraph" w:customStyle="1" w:styleId="Tabellentext">
    <w:name w:val="Tabellentext"/>
    <w:basedOn w:val="Standard"/>
    <w:rPr>
      <w:sz w:val="17"/>
    </w:rPr>
  </w:style>
  <w:style w:type="paragraph" w:customStyle="1" w:styleId="WeisungKopfteil">
    <w:name w:val="Weisung Kopfteil"/>
    <w:basedOn w:val="Standard"/>
    <w:pPr>
      <w:framePr w:hSpace="141" w:wrap="around" w:vAnchor="text" w:hAnchor="margin" w:x="70" w:y="2"/>
      <w:spacing w:before="120" w:after="120"/>
    </w:pPr>
    <w:rPr>
      <w:rFonts w:ascii="Arial (W1)" w:hAnsi="Arial (W1)"/>
      <w:b/>
      <w:szCs w:val="24"/>
    </w:rPr>
  </w:style>
  <w:style w:type="character" w:styleId="Seitenzahl">
    <w:name w:val="page number"/>
    <w:basedOn w:val="Absatz-Standardschriftart"/>
  </w:style>
  <w:style w:type="paragraph" w:styleId="Sprechblasentext">
    <w:name w:val="Balloon Text"/>
    <w:basedOn w:val="Standard"/>
    <w:semiHidden/>
    <w:rsid w:val="003E5FC8"/>
    <w:rPr>
      <w:rFonts w:ascii="Tahoma" w:hAnsi="Tahoma" w:cs="Tahoma"/>
      <w:sz w:val="16"/>
      <w:szCs w:val="16"/>
    </w:rPr>
  </w:style>
  <w:style w:type="paragraph" w:customStyle="1" w:styleId="Aufzhlung">
    <w:name w:val="Aufzählung"/>
    <w:basedOn w:val="Standard"/>
    <w:rsid w:val="003415A9"/>
    <w:pPr>
      <w:numPr>
        <w:numId w:val="8"/>
      </w:numPr>
    </w:pPr>
  </w:style>
  <w:style w:type="character" w:styleId="Funotenzeichen">
    <w:name w:val="footnote reference"/>
    <w:basedOn w:val="Absatz-Standardschriftart"/>
    <w:semiHidden/>
    <w:rsid w:val="00536F90"/>
    <w:rPr>
      <w:vertAlign w:val="superscript"/>
    </w:rPr>
  </w:style>
  <w:style w:type="table" w:customStyle="1" w:styleId="Tabellengitternetz">
    <w:name w:val="Tabellengitternetz"/>
    <w:basedOn w:val="NormaleTabelle"/>
    <w:rsid w:val="006664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rsid w:val="0066644E"/>
    <w:rPr>
      <w:sz w:val="18"/>
    </w:rPr>
  </w:style>
  <w:style w:type="paragraph" w:styleId="Kommentartext">
    <w:name w:val="annotation text"/>
    <w:basedOn w:val="Standard"/>
    <w:link w:val="KommentartextZchn"/>
    <w:uiPriority w:val="99"/>
    <w:rsid w:val="0066644E"/>
    <w:rPr>
      <w:sz w:val="24"/>
      <w:szCs w:val="24"/>
    </w:rPr>
  </w:style>
  <w:style w:type="paragraph" w:styleId="Kommentarthema">
    <w:name w:val="annotation subject"/>
    <w:basedOn w:val="Kommentartext"/>
    <w:next w:val="Kommentartext"/>
    <w:semiHidden/>
    <w:rsid w:val="008222A5"/>
    <w:rPr>
      <w:b/>
      <w:bCs/>
      <w:sz w:val="20"/>
      <w:szCs w:val="20"/>
    </w:rPr>
  </w:style>
  <w:style w:type="character" w:styleId="Hyperlink">
    <w:name w:val="Hyperlink"/>
    <w:basedOn w:val="Absatz-Standardschriftart"/>
    <w:uiPriority w:val="99"/>
    <w:rsid w:val="00806EDC"/>
    <w:rPr>
      <w:color w:val="0000FF"/>
      <w:u w:val="single"/>
    </w:rPr>
  </w:style>
  <w:style w:type="paragraph" w:styleId="Funotentext">
    <w:name w:val="footnote text"/>
    <w:basedOn w:val="Standard"/>
    <w:link w:val="FunotentextZchn"/>
    <w:rsid w:val="004F3E85"/>
    <w:rPr>
      <w:sz w:val="20"/>
    </w:rPr>
  </w:style>
  <w:style w:type="character" w:customStyle="1" w:styleId="FunotentextZchn">
    <w:name w:val="Fußnotentext Zchn"/>
    <w:basedOn w:val="Absatz-Standardschriftart"/>
    <w:link w:val="Funotentext"/>
    <w:rsid w:val="004F3E85"/>
    <w:rPr>
      <w:rFonts w:ascii="Arial" w:hAnsi="Arial" w:cs="Arial"/>
      <w:lang w:eastAsia="de-DE"/>
    </w:rPr>
  </w:style>
  <w:style w:type="paragraph" w:styleId="Titel">
    <w:name w:val="Title"/>
    <w:basedOn w:val="WeisungKopfteil"/>
    <w:next w:val="Standard"/>
    <w:link w:val="TitelZchn"/>
    <w:qFormat/>
    <w:rsid w:val="00981FA7"/>
    <w:pPr>
      <w:framePr w:wrap="around"/>
    </w:pPr>
    <w:rPr>
      <w:rFonts w:ascii="Arial" w:hAnsi="Arial"/>
    </w:rPr>
  </w:style>
  <w:style w:type="character" w:customStyle="1" w:styleId="TitelZchn">
    <w:name w:val="Titel Zchn"/>
    <w:basedOn w:val="Absatz-Standardschriftart"/>
    <w:link w:val="Titel"/>
    <w:rsid w:val="00981FA7"/>
    <w:rPr>
      <w:rFonts w:ascii="Arial" w:hAnsi="Arial" w:cs="Arial"/>
      <w:b/>
      <w:sz w:val="22"/>
      <w:szCs w:val="24"/>
      <w:lang w:eastAsia="de-DE"/>
    </w:rPr>
  </w:style>
  <w:style w:type="character" w:customStyle="1" w:styleId="KommentartextZchn">
    <w:name w:val="Kommentartext Zchn"/>
    <w:basedOn w:val="Absatz-Standardschriftart"/>
    <w:link w:val="Kommentartext"/>
    <w:uiPriority w:val="99"/>
    <w:rsid w:val="00F4631F"/>
    <w:rPr>
      <w:rFonts w:ascii="Arial" w:hAnsi="Arial" w:cs="Arial"/>
      <w:sz w:val="24"/>
      <w:szCs w:val="24"/>
      <w:lang w:eastAsia="de-DE"/>
    </w:rPr>
  </w:style>
  <w:style w:type="character" w:customStyle="1" w:styleId="berschrift2Zchn">
    <w:name w:val="Überschrift 2 Zchn"/>
    <w:link w:val="berschrift2"/>
    <w:rsid w:val="0022589A"/>
    <w:rPr>
      <w:rFonts w:ascii="Arial" w:hAnsi="Arial"/>
      <w:b/>
      <w:sz w:val="22"/>
      <w:szCs w:val="24"/>
      <w:shd w:val="clear" w:color="auto" w:fill="99CCFF"/>
      <w:lang w:eastAsia="de-DE"/>
    </w:rPr>
  </w:style>
  <w:style w:type="character" w:customStyle="1" w:styleId="berschrift1Zchn">
    <w:name w:val="Überschrift 1 Zchn"/>
    <w:link w:val="berschrift1"/>
    <w:rsid w:val="0022589A"/>
    <w:rPr>
      <w:rFonts w:ascii="Arial" w:hAnsi="Arial"/>
      <w:b/>
      <w:sz w:val="22"/>
      <w:szCs w:val="24"/>
      <w:shd w:val="clear" w:color="auto" w:fill="99CCFF"/>
      <w:lang w:eastAsia="de-DE"/>
    </w:rPr>
  </w:style>
  <w:style w:type="paragraph" w:styleId="Inhaltsverzeichnisberschrift">
    <w:name w:val="TOC Heading"/>
    <w:basedOn w:val="berschrift1"/>
    <w:next w:val="Standard"/>
    <w:uiPriority w:val="39"/>
    <w:unhideWhenUsed/>
    <w:qFormat/>
    <w:rsid w:val="00472C11"/>
    <w:pPr>
      <w:keepNext/>
      <w:keepLines/>
      <w:numPr>
        <w:numId w:val="0"/>
      </w:numPr>
      <w:shd w:val="clear" w:color="auto" w:fill="auto"/>
      <w:tabs>
        <w:tab w:val="clear" w:pos="709"/>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paragraph" w:styleId="Listenabsatz">
    <w:name w:val="List Paragraph"/>
    <w:basedOn w:val="Standard"/>
    <w:uiPriority w:val="34"/>
    <w:qFormat/>
    <w:rsid w:val="00E03184"/>
    <w:pPr>
      <w:ind w:left="720"/>
      <w:contextualSpacing/>
    </w:pPr>
  </w:style>
  <w:style w:type="character" w:styleId="BesuchterLink">
    <w:name w:val="FollowedHyperlink"/>
    <w:basedOn w:val="Absatz-Standardschriftart"/>
    <w:semiHidden/>
    <w:unhideWhenUsed/>
    <w:rsid w:val="00CD25E3"/>
    <w:rPr>
      <w:color w:val="800080" w:themeColor="followedHyperlink"/>
      <w:u w:val="single"/>
    </w:rPr>
  </w:style>
  <w:style w:type="character" w:customStyle="1" w:styleId="FuzeileZchn">
    <w:name w:val="Fußzeile Zchn"/>
    <w:basedOn w:val="Absatz-Standardschriftart"/>
    <w:link w:val="Fuzeile"/>
    <w:rsid w:val="00452ED6"/>
    <w:rPr>
      <w:rFonts w:ascii="Arial" w:hAnsi="Arial" w:cs="Arial"/>
      <w:sz w:val="22"/>
      <w:lang w:eastAsia="de-DE"/>
    </w:rPr>
  </w:style>
  <w:style w:type="paragraph" w:styleId="KeinLeerraum">
    <w:name w:val="No Spacing"/>
    <w:uiPriority w:val="1"/>
    <w:qFormat/>
    <w:rsid w:val="0033106B"/>
    <w:rPr>
      <w:rFonts w:ascii="Arial" w:hAnsi="Arial" w:cs="Arial"/>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www.stadt-zuerich.ch/internet/as/home/inhaltsverzeichnis/8/843/843_402/1334305370336.html" TargetMode="Externa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635572832210970585</Data>
    <Filter/>
  </Receiver>
  <Receiver>
    <Name>Nintex conditional workflow start</Name>
    <Synchronization>Synchronous</Synchronization>
    <Type>10004</Type>
    <SequenceNumber>50000</SequenceNumber>
    <Assembly>Nintex.Workflow, Version=1.0.0.0, Culture=neutral, PublicKeyToken=913f6bae0ca5ae12</Assembly>
    <Class>Nintex.Workflow.ConditionalWorkflowStartReceiver</Class>
    <Data>635572832210970585</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Zu_x0020_konsultierende_x002f_-s_x0020_Fachressort_x002f_-s xmlns="f3b92940-74e1-4b32-811a-cd501d17ae23">
      <Value>3</Value>
    </Zu_x0020_konsultierende_x002f_-s_x0020_Fachressort_x002f_-s>
    <Version_x0020_des_x0020_Dokuments xmlns="3905ffbc-9aeb-4d51-937e-ee1e2cf00671">1.9</Version_x0020_des_x0020_Dokuments>
    <Gültig_x0020_bis xmlns="3905ffbc-9aeb-4d51-937e-ee1e2cf00671" xsi:nil="true"/>
    <Kontaktperson_x0020_für_x0020_SOD_x0020_KOM xmlns="3905ffbc-9aeb-4d51-937e-ee1e2cf00671">
      <UserInfo>
        <DisplayName>i:0#.w|global\sozsodk</DisplayName>
        <AccountId>392</AccountId>
        <AccountType/>
      </UserInfo>
    </Kontaktperson_x0020_für_x0020_SOD_x0020_KOM>
    <Kurzbeschreibung_x0020_Dokument xmlns="3905ffbc-9aeb-4d51-937e-ee1e2cf00671">&lt;div&gt;&lt;/div&gt;</Kurzbeschreibung_x0020_Dokument>
    <Verantwortliche_x002f_r_x0020_Autor_x002f_in xmlns="3905ffbc-9aeb-4d51-937e-ee1e2cf00671">
      <UserInfo>
        <DisplayName>i:0#.w|global\sozsodk</DisplayName>
        <AccountId>392</AccountId>
        <AccountType/>
      </UserInfo>
    </Verantwortliche_x002f_r_x0020_Autor_x002f_in>
    <Dokumentenstatus xmlns="f3b92940-74e1-4b32-811a-cd501d17ae23">3</Dokumentenstatus>
    <Gültig_x0020_von xmlns="3905ffbc-9aeb-4d51-937e-ee1e2cf00671">2020-12-31T23:00:00+00:00</Gültig_x0020_von>
    <Dokumentenart1 xmlns="3905ffbc-9aeb-4d51-937e-ee1e2cf00671" xsi:nil="true"/>
    <Federführende_x002f_s_x0020_Fachressort_x002f_Einheit xmlns="f3b92940-74e1-4b32-811a-cd501d17ae23">3</Federführende_x002f_s_x0020_Fachressort_x002f_Einheit>
    <SKOS-Kapitel xmlns="f3b92940-74e1-4b32-811a-cd501d17ae23">
      <Value>3</Value>
    </SKOS-Kapitel>
    <Fachkonzept xmlns="f3b92940-74e1-4b32-811a-cd501d17ae23" xsi:nil="true"/>
    <Leistung xmlns="f3b92940-74e1-4b32-811a-cd501d17ae23" xsi:nil="true"/>
    <Gesetzliche_x0020_Grundlage xmlns="f3b92940-74e1-4b32-811a-cd501d17ae23" xsi:nil="true"/>
    <Thematische_x0020_Zuordnung_x0020_Fachressort_x0028_s_x0029_ xmlns="f3b92940-74e1-4b32-811a-cd501d17ae23">
      <Value>3</Value>
    </Thematische_x0020_Zuordnung_x0020_Fachressort_x0028_s_x0029_>
    <Herausgabe_x0020_bei_x0020_Informationszugangsgesuchen xmlns="f3b92940-74e1-4b32-811a-cd501d17ae23">kann herausgegeben werden</Herausgabe_x0020_bei_x0020_Informationszugangsgesuchen>
  </documentManagement>
</p:properti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ct:contentTypeSchema xmlns:ct="http://schemas.microsoft.com/office/2006/metadata/contentType" xmlns:ma="http://schemas.microsoft.com/office/2006/metadata/properties/metaAttributes" ct:_="" ma:_="" ma:contentTypeName="SOD Handlungsanweisung (HAW)" ma:contentTypeID="0x01010012DCBF5558F0D14AB1FD168DE6C7A40C001A41868E0DB22F429CCA78D2232A6A57" ma:contentTypeVersion="18" ma:contentTypeDescription="" ma:contentTypeScope="" ma:versionID="d1660583894422c5dcdb4ad23ddefcaa">
  <xsd:schema xmlns:xsd="http://www.w3.org/2001/XMLSchema" xmlns:xs="http://www.w3.org/2001/XMLSchema" xmlns:p="http://schemas.microsoft.com/office/2006/metadata/properties" xmlns:ns2="3905ffbc-9aeb-4d51-937e-ee1e2cf00671" xmlns:ns3="f3b92940-74e1-4b32-811a-cd501d17ae23" xmlns:ns5="25f3c3a0-1ed7-46fa-91b0-e5175ac448d0" targetNamespace="http://schemas.microsoft.com/office/2006/metadata/properties" ma:root="true" ma:fieldsID="c05b96d2e69fe4f8733899dce783dde6" ns2:_="" ns3:_="" ns5:_="">
    <xsd:import namespace="3905ffbc-9aeb-4d51-937e-ee1e2cf00671"/>
    <xsd:import namespace="f3b92940-74e1-4b32-811a-cd501d17ae23"/>
    <xsd:import namespace="25f3c3a0-1ed7-46fa-91b0-e5175ac448d0"/>
    <xsd:element name="properties">
      <xsd:complexType>
        <xsd:sequence>
          <xsd:element name="documentManagement">
            <xsd:complexType>
              <xsd:all>
                <xsd:element ref="ns2:Gültig_x0020_von" minOccurs="0"/>
                <xsd:element ref="ns2:Gültig_x0020_bis" minOccurs="0"/>
                <xsd:element ref="ns3:Fachkonzept" minOccurs="0"/>
                <xsd:element ref="ns3:Leistung" minOccurs="0"/>
                <xsd:element ref="ns2:Kurzbeschreibung_x0020_Dokument" minOccurs="0"/>
                <xsd:element ref="ns3:Gesetzliche_x0020_Grundlage" minOccurs="0"/>
                <xsd:element ref="ns3:Dokumentenstatus" minOccurs="0"/>
                <xsd:element ref="ns2:Verantwortliche_x002f_r_x0020_Autor_x002f_in" minOccurs="0"/>
                <xsd:element ref="ns2:Version_x0020_des_x0020_Dokuments" minOccurs="0"/>
                <xsd:element ref="ns2:Dokumentenart1" minOccurs="0"/>
                <xsd:element ref="ns3:SKOS-Kapitel" minOccurs="0"/>
                <xsd:element ref="ns3:Federführende_x002f_s_x0020_Fachressort_x002f_Einheit" minOccurs="0"/>
                <xsd:element ref="ns3:Thematische_x0020_Zuordnung_x0020_Fachressort_x0028_s_x0029_" minOccurs="0"/>
                <xsd:element ref="ns3:Zu_x0020_konsultierende_x002f_-s_x0020_Fachressort_x002f_-s" minOccurs="0"/>
                <xsd:element ref="ns2:Kontaktperson_x0020_für_x0020_SOD_x0020_KOM"/>
                <xsd:element ref="ns3:Herausgabe_x0020_bei_x0020_Informationszugangsgesuchen" minOccurs="0"/>
                <xsd:element ref="ns5: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5ffbc-9aeb-4d51-937e-ee1e2cf00671" elementFormDefault="qualified">
    <xsd:import namespace="http://schemas.microsoft.com/office/2006/documentManagement/types"/>
    <xsd:import namespace="http://schemas.microsoft.com/office/infopath/2007/PartnerControls"/>
    <xsd:element name="Gültig_x0020_von" ma:index="2" nillable="true" ma:displayName="Gültig von" ma:description="Ab wann gilt das Dokument?" ma:format="DateOnly" ma:internalName="G_x00fc_ltig_x0020_von">
      <xsd:simpleType>
        <xsd:restriction base="dms:DateTime"/>
      </xsd:simpleType>
    </xsd:element>
    <xsd:element name="Gültig_x0020_bis" ma:index="3" nillable="true" ma:displayName="Gültig bis" ma:description="Bis wann gilt das Dokument?" ma:format="DateOnly" ma:internalName="G_x00fc_ltig_x0020_bis">
      <xsd:simpleType>
        <xsd:restriction base="dms:DateTime"/>
      </xsd:simpleType>
    </xsd:element>
    <xsd:element name="Kurzbeschreibung_x0020_Dokument" ma:index="6" nillable="true" ma:displayName="Kurzbeschreibung Dokument" ma:description="Um was geht es im Dokument bzw. was wird darin geregelt? Bitte kurz halten." ma:internalName="Kurzbeschreibung_x0020_Dokument">
      <xsd:simpleType>
        <xsd:restriction base="dms:Note">
          <xsd:maxLength value="255"/>
        </xsd:restriction>
      </xsd:simpleType>
    </xsd:element>
    <xsd:element name="Verantwortliche_x002f_r_x0020_Autor_x002f_in" ma:index="15" nillable="true" ma:displayName="Verantwortliche/r Autor/in / Kontaktperson" ma:description="Kürzel oder Verteiler eintragen." ma:list="UserInfo" ma:SearchPeopleOnly="false" ma:SharePointGroup="0" ma:internalName="Verantwortliche_x002F_r_x0020_Autor_x002F_in"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Version_x0020_des_x0020_Dokuments" ma:index="16" nillable="true" ma:displayName="Version des Dokuments" ma:description="Wird in der Fusszeile aufgeführt." ma:internalName="Version_x0020_des_x0020_Dokuments">
      <xsd:simpleType>
        <xsd:restriction base="dms:Text">
          <xsd:maxLength value="255"/>
        </xsd:restriction>
      </xsd:simpleType>
    </xsd:element>
    <xsd:element name="Dokumentenart1" ma:index="17" nillable="true" ma:displayName="Dokumentenart" ma:indexed="true" ma:internalName="Dokumentenart1">
      <xsd:simpleType>
        <xsd:restriction base="dms:Text">
          <xsd:maxLength value="255"/>
        </xsd:restriction>
      </xsd:simpleType>
    </xsd:element>
    <xsd:element name="Kontaktperson_x0020_für_x0020_SOD_x0020_KOM" ma:index="22" ma:displayName="Kontaktperson für SOD KOM" ma:description="Wer ist Ansprechperson zu diesem Dokument für das KOM-Team?" ma:list="UserInfo" ma:SharePointGroup="0" ma:internalName="Kontaktperson_x0020_f_x00fc_r_x0020_SOD_x0020_KOM" ma:showField="NameWithPictureAndDetails">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3b92940-74e1-4b32-811a-cd501d17ae23" elementFormDefault="qualified">
    <xsd:import namespace="http://schemas.microsoft.com/office/2006/documentManagement/types"/>
    <xsd:import namespace="http://schemas.microsoft.com/office/infopath/2007/PartnerControls"/>
    <xsd:element name="Fachkonzept" ma:index="4" nillable="true" ma:displayName="Fachkonzept" ma:list="{37929010-da33-400d-b3d9-4f8038f81797}" ma:internalName="Fachkonzept" ma:showField="Title" ma:web="f3b92940-74e1-4b32-811a-cd501d17ae23">
      <xsd:simpleType>
        <xsd:restriction base="dms:Lookup"/>
      </xsd:simpleType>
    </xsd:element>
    <xsd:element name="Leistung" ma:index="5" nillable="true" ma:displayName="Leistung" ma:indexed="true" ma:list="{f78fec3a-afd0-4600-b518-45bb4a09e05e}" ma:internalName="Leistung" ma:showField="Title" ma:web="f3b92940-74e1-4b32-811a-cd501d17ae23">
      <xsd:simpleType>
        <xsd:restriction base="dms:Lookup"/>
      </xsd:simpleType>
    </xsd:element>
    <xsd:element name="Gesetzliche_x0020_Grundlage" ma:index="7" nillable="true" ma:displayName="Gesetzliche Grundlage" ma:list="{bd5ad17e-2ee2-436f-8a8a-9b694b97f7e5}" ma:internalName="Gesetzliche_x0020_Grundlage" ma:showField="Title" ma:web="f3b92940-74e1-4b32-811a-cd501d17ae23">
      <xsd:simpleType>
        <xsd:restriction base="dms:Lookup"/>
      </xsd:simpleType>
    </xsd:element>
    <xsd:element name="Dokumentenstatus" ma:index="14" nillable="true" ma:displayName="Dokumentenstatus" ma:list="{c063dc89-2c1e-44f8-81bb-791d596a4159}" ma:internalName="Dokumentenstatus" ma:showField="Title" ma:web="f3b92940-74e1-4b32-811a-cd501d17ae23">
      <xsd:simpleType>
        <xsd:restriction base="dms:Lookup"/>
      </xsd:simpleType>
    </xsd:element>
    <xsd:element name="SKOS-Kapitel" ma:index="18" nillable="true" ma:displayName="SKOS-Kapitel" ma:list="{4014a501-2381-48fb-95f7-9f3a71dca39b}" ma:internalName="SKOS_x002d_Kapitel"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Federführende_x002f_s_x0020_Fachressort_x002f_Einheit" ma:index="19" nillable="true" ma:displayName="Federführende/s Fachressort/Einheit" ma:indexed="true" ma:list="{09bc735c-2d48-4159-97e9-325642ff7eac}" ma:internalName="Federf_x00fc_hrende_x002F_s_x0020_Fachressort_x002F_Einheit" ma:showField="Title" ma:web="f3b92940-74e1-4b32-811a-cd501d17ae23">
      <xsd:simpleType>
        <xsd:restriction base="dms:Lookup"/>
      </xsd:simpleType>
    </xsd:element>
    <xsd:element name="Thematische_x0020_Zuordnung_x0020_Fachressort_x0028_s_x0029_" ma:index="20" nillable="true" ma:displayName="Thematische Zuordnung Fachressort(s)" ma:list="{09bc735c-2d48-4159-97e9-325642ff7eac}" ma:internalName="Thematische_x0020_Zuordnung_x0020_Fachressort_x0028_s_x0029_"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Zu_x0020_konsultierende_x002f_-s_x0020_Fachressort_x002f_-s" ma:index="21" nillable="true" ma:displayName="Zu konsultierende/-s Fachressort/-s" ma:list="{09bc735c-2d48-4159-97e9-325642ff7eac}" ma:internalName="Zu_x0020_konsultierende_x002F__x002d_s_x0020_Fachressort_x002F__x002d_s" ma:showField="Title" ma:web="f3b92940-74e1-4b32-811a-cd501d17ae23">
      <xsd:complexType>
        <xsd:complexContent>
          <xsd:extension base="dms:MultiChoiceLookup">
            <xsd:sequence>
              <xsd:element name="Value" type="dms:Lookup" maxOccurs="unbounded" minOccurs="0" nillable="true"/>
            </xsd:sequence>
          </xsd:extension>
        </xsd:complexContent>
      </xsd:complexType>
    </xsd:element>
    <xsd:element name="Herausgabe_x0020_bei_x0020_Informationszugangsgesuchen" ma:index="23" nillable="true" ma:displayName="Herausgabe bei Informationszugangsgesuchen" ma:format="RadioButtons" ma:internalName="Herausgabe_x0020_bei_x0020_Informationszugangsgesuchen">
      <xsd:simpleType>
        <xsd:union memberTypes="dms:Text">
          <xsd:simpleType>
            <xsd:restriction base="dms:Choice">
              <xsd:enumeration value="kann herausgegeben werden"/>
              <xsd:enumeration value="Herausgabe durch Direktorin zu prüfe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5f3c3a0-1ed7-46fa-91b0-e5175ac448d0" elementFormDefault="qualified">
    <xsd:import namespace="http://schemas.microsoft.com/office/2006/documentManagement/types"/>
    <xsd:import namespace="http://schemas.microsoft.com/office/infopath/2007/PartnerControls"/>
    <xsd:element name="SharedWithUsers" ma:index="25" nillable="true" ma:displayName="Freigegeben fü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Inhaltstyp"/>
        <xsd:element ref="dc:title" minOccurs="0" maxOccurs="1" ma:index="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LongProperties xmlns="http://schemas.microsoft.com/office/2006/metadata/longPropertie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D1A51-ED9A-49B4-9015-C71915B690AF}">
  <ds:schemaRefs>
    <ds:schemaRef ds:uri="http://schemas.microsoft.com/sharepoint/events"/>
  </ds:schemaRefs>
</ds:datastoreItem>
</file>

<file path=customXml/itemProps2.xml><?xml version="1.0" encoding="utf-8"?>
<ds:datastoreItem xmlns:ds="http://schemas.openxmlformats.org/officeDocument/2006/customXml" ds:itemID="{9CC4F7AB-E7DA-4FBE-8DDA-63B7185C4550}">
  <ds:schemaRefs>
    <ds:schemaRef ds:uri="http://schemas.microsoft.com/sharepoint/v3/contenttype/forms"/>
  </ds:schemaRefs>
</ds:datastoreItem>
</file>

<file path=customXml/itemProps3.xml><?xml version="1.0" encoding="utf-8"?>
<ds:datastoreItem xmlns:ds="http://schemas.openxmlformats.org/officeDocument/2006/customXml" ds:itemID="{34A1F128-EBBE-4A43-821F-D184089A9E03}">
  <ds:schemaRefs>
    <ds:schemaRef ds:uri="http://purl.org/dc/terms/"/>
    <ds:schemaRef ds:uri="f3b92940-74e1-4b32-811a-cd501d17ae23"/>
    <ds:schemaRef ds:uri="http://schemas.microsoft.com/office/2006/documentManagement/types"/>
    <ds:schemaRef ds:uri="3905ffbc-9aeb-4d51-937e-ee1e2cf00671"/>
    <ds:schemaRef ds:uri="http://purl.org/dc/elements/1.1/"/>
    <ds:schemaRef ds:uri="http://schemas.microsoft.com/office/infopath/2007/PartnerControls"/>
    <ds:schemaRef ds:uri="http://schemas.openxmlformats.org/package/2006/metadata/core-properties"/>
    <ds:schemaRef ds:uri="25f3c3a0-1ed7-46fa-91b0-e5175ac448d0"/>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E4524D31-5EF7-4101-8EAF-7FFF3FA9141C}">
  <ds:schemaRefs>
    <ds:schemaRef ds:uri="http://schemas.microsoft.com/office/2006/metadata/customXsn"/>
  </ds:schemaRefs>
</ds:datastoreItem>
</file>

<file path=customXml/itemProps5.xml><?xml version="1.0" encoding="utf-8"?>
<ds:datastoreItem xmlns:ds="http://schemas.openxmlformats.org/officeDocument/2006/customXml" ds:itemID="{1FE8D9F6-39DA-4499-B539-57365387AA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5ffbc-9aeb-4d51-937e-ee1e2cf00671"/>
    <ds:schemaRef ds:uri="f3b92940-74e1-4b32-811a-cd501d17ae23"/>
    <ds:schemaRef ds:uri="25f3c3a0-1ed7-46fa-91b0-e5175ac448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2A7D1DE-4D5E-4AC9-A3D3-2231340A7721}">
  <ds:schemaRefs>
    <ds:schemaRef ds:uri="http://schemas.microsoft.com/office/2006/metadata/longProperties"/>
  </ds:schemaRefs>
</ds:datastoreItem>
</file>

<file path=customXml/itemProps7.xml><?xml version="1.0" encoding="utf-8"?>
<ds:datastoreItem xmlns:ds="http://schemas.openxmlformats.org/officeDocument/2006/customXml" ds:itemID="{8AA2CAAF-7266-4174-896D-139B76BF2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1493</Words>
  <Characters>9957</Characters>
  <Application>Microsoft Office Word</Application>
  <DocSecurity>0</DocSecurity>
  <Lines>288</Lines>
  <Paragraphs>150</Paragraphs>
  <ScaleCrop>false</ScaleCrop>
  <HeadingPairs>
    <vt:vector size="2" baseType="variant">
      <vt:variant>
        <vt:lpstr>Titel</vt:lpstr>
      </vt:variant>
      <vt:variant>
        <vt:i4>1</vt:i4>
      </vt:variant>
    </vt:vector>
  </HeadingPairs>
  <TitlesOfParts>
    <vt:vector size="1" baseType="lpstr">
      <vt:lpstr>HAW Logiskosten: Vorgaben der Sozialbehörde zum regulären Mietzins und Kompetenzen</vt:lpstr>
    </vt:vector>
  </TitlesOfParts>
  <Company>Soziale Dienste Stadt Zürich</Company>
  <LinksUpToDate>false</LinksUpToDate>
  <CharactersWithSpaces>11346</CharactersWithSpaces>
  <SharedDoc>false</SharedDoc>
  <HLinks>
    <vt:vector size="12" baseType="variant">
      <vt:variant>
        <vt:i4>8192090</vt:i4>
      </vt:variant>
      <vt:variant>
        <vt:i4>5</vt:i4>
      </vt:variant>
      <vt:variant>
        <vt:i4>0</vt:i4>
      </vt:variant>
      <vt:variant>
        <vt:i4>5</vt:i4>
      </vt:variant>
      <vt:variant>
        <vt:lpwstr>http://www.stadt-zuerich.ch/internet/as/home/inhaltsverzeichnis/8/843/843_402/1334305370336.html</vt:lpwstr>
      </vt:variant>
      <vt:variant>
        <vt:lpwstr/>
      </vt:variant>
      <vt:variant>
        <vt:i4>3997782</vt:i4>
      </vt:variant>
      <vt:variant>
        <vt:i4>2</vt:i4>
      </vt:variant>
      <vt:variant>
        <vt:i4>0</vt:i4>
      </vt:variant>
      <vt:variant>
        <vt:i4>5</vt:i4>
      </vt:variant>
      <vt:variant>
        <vt:lpwstr>http://sd.intra.stzh.ch/intranet/sd/sod/leistungen_intake/wirtschaftliche_sozialhilfe/SKOS_B.html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HAW Logiskosten: Vorgaben der Sozialbehörde zum regulären Mietzins und Kompetenzen</dc:title>
  <dc:subject>SKOS B</dc:subject>
  <dc:creator>FS WH - sozspt</dc:creator>
  <cp:keywords>Logiskosten Mietzins regulär</cp:keywords>
  <cp:lastModifiedBy>Raffaela de Vries (sozdvr)</cp:lastModifiedBy>
  <cp:revision>5</cp:revision>
  <cp:lastPrinted>2020-01-08T10:48:00Z</cp:lastPrinted>
  <dcterms:created xsi:type="dcterms:W3CDTF">2021-06-18T07:06:00Z</dcterms:created>
  <dcterms:modified xsi:type="dcterms:W3CDTF">2022-10-04T12:20:00Z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 Ablageort im Intranet SOD">
    <vt:lpwstr/>
  </property>
  <property fmtid="{D5CDD505-2E9C-101B-9397-08002B2CF9AE}" pid="3" name="Bemerkungen">
    <vt:lpwstr/>
  </property>
  <property fmtid="{D5CDD505-2E9C-101B-9397-08002B2CF9AE}" pid="4" name="Intranetverlinkung">
    <vt:lpwstr>Nein</vt:lpwstr>
  </property>
  <property fmtid="{D5CDD505-2E9C-101B-9397-08002B2CF9AE}" pid="5" name="TemplateUrl">
    <vt:lpwstr/>
  </property>
  <property fmtid="{D5CDD505-2E9C-101B-9397-08002B2CF9AE}" pid="6" name="xd_ProgID">
    <vt:lpwstr/>
  </property>
  <property fmtid="{D5CDD505-2E9C-101B-9397-08002B2CF9AE}" pid="7" name="_CopySource">
    <vt:lpwstr>http://arbeitsraeume.sd.intra.stzh.ch/SOD-Kommunikation/ml_intranet_sod/Dokus Intranet/1 Leistungen Intake QT ZAV/1.12 WSH/1.12.2 SKOS B/1.12.2.2 B.3 Wohnkosten/Dokus_MB/HAW_regulaerer_Mietzins.doc</vt:lpwstr>
  </property>
  <property fmtid="{D5CDD505-2E9C-101B-9397-08002B2CF9AE}" pid="8" name="Order">
    <vt:r8>1088800</vt:r8>
  </property>
  <property fmtid="{D5CDD505-2E9C-101B-9397-08002B2CF9AE}" pid="9" name="Gültig ab">
    <vt:lpwstr>2012-02-01T00:00:00Z</vt:lpwstr>
  </property>
  <property fmtid="{D5CDD505-2E9C-101B-9397-08002B2CF9AE}" pid="10" name="Zielgruppen">
    <vt:lpwstr/>
  </property>
  <property fmtid="{D5CDD505-2E9C-101B-9397-08002B2CF9AE}" pid="11" name="SKOS-Kapitel">
    <vt:lpwstr/>
  </property>
  <property fmtid="{D5CDD505-2E9C-101B-9397-08002B2CF9AE}" pid="12" name="Zielgruppe">
    <vt:lpwstr/>
  </property>
  <property fmtid="{D5CDD505-2E9C-101B-9397-08002B2CF9AE}" pid="13" name="Spezialdienste">
    <vt:lpwstr/>
  </property>
  <property fmtid="{D5CDD505-2E9C-101B-9397-08002B2CF9AE}" pid="14" name="ContentType">
    <vt:lpwstr>SOD Handlungsanweisung (HAW)</vt:lpwstr>
  </property>
  <property fmtid="{D5CDD505-2E9C-101B-9397-08002B2CF9AE}" pid="15" name="Zurdnung Thema">
    <vt:lpwstr/>
  </property>
  <property fmtid="{D5CDD505-2E9C-101B-9397-08002B2CF9AE}" pid="16" name="ContentTypeId">
    <vt:lpwstr>0x01010012DCBF5558F0D14AB1FD168DE6C7A40C001A41868E0DB22F429CCA78D2232A6A57</vt:lpwstr>
  </property>
  <property fmtid="{D5CDD505-2E9C-101B-9397-08002B2CF9AE}" pid="17" name="1. Verschlagwortung durch">
    <vt:lpwstr/>
  </property>
  <property fmtid="{D5CDD505-2E9C-101B-9397-08002B2CF9AE}" pid="18" name="Datum 1. Verschlagwortung">
    <vt:lpwstr/>
  </property>
  <property fmtid="{D5CDD505-2E9C-101B-9397-08002B2CF9AE}" pid="19" name="Datum 2. Verschlagwortung">
    <vt:lpwstr/>
  </property>
  <property fmtid="{D5CDD505-2E9C-101B-9397-08002B2CF9AE}" pid="20" name="Strategisch verantwortlich">
    <vt:lpwstr/>
  </property>
  <property fmtid="{D5CDD505-2E9C-101B-9397-08002B2CF9AE}" pid="21" name="Document Owner">
    <vt:lpwstr/>
  </property>
  <property fmtid="{D5CDD505-2E9C-101B-9397-08002B2CF9AE}" pid="22" name="2. Verschlagwortung durch">
    <vt:lpwstr/>
  </property>
  <property fmtid="{D5CDD505-2E9C-101B-9397-08002B2CF9AE}" pid="23" name="Inhaltliche Verknüpfungen">
    <vt:lpwstr/>
  </property>
  <property fmtid="{D5CDD505-2E9C-101B-9397-08002B2CF9AE}" pid="24" name="Zielgruppe(n)">
    <vt:lpwstr/>
  </property>
  <property fmtid="{D5CDD505-2E9C-101B-9397-08002B2CF9AE}" pid="25" name="Thema">
    <vt:lpwstr/>
  </property>
  <property fmtid="{D5CDD505-2E9C-101B-9397-08002B2CF9AE}" pid="26" name="display_urn:schemas-microsoft-com:office:office#Editor">
    <vt:lpwstr>Schmid Christine (SD)</vt:lpwstr>
  </property>
  <property fmtid="{D5CDD505-2E9C-101B-9397-08002B2CF9AE}" pid="27" name="display_urn:schemas-microsoft-com:office:office#Author">
    <vt:lpwstr>Hohermuth Ivo (SD)</vt:lpwstr>
  </property>
  <property fmtid="{D5CDD505-2E9C-101B-9397-08002B2CF9AE}" pid="28" name="_dlc_DocId">
    <vt:lpwstr>SDSOD-119-427</vt:lpwstr>
  </property>
  <property fmtid="{D5CDD505-2E9C-101B-9397-08002B2CF9AE}" pid="29" name="_dlc_DocIdUrl">
    <vt:lpwstr>http://portal.sd.intra.stzh.ch/sod/regelwerk/_layouts/DocIdRedir.aspx?ID=SDSOD-119-427, SDSOD-119-427</vt:lpwstr>
  </property>
  <property fmtid="{D5CDD505-2E9C-101B-9397-08002B2CF9AE}" pid="30" name="_dlc_DocIdItemGuid">
    <vt:lpwstr>72286065-a8c4-40d3-95c2-8beaf15fc57c</vt:lpwstr>
  </property>
  <property fmtid="{D5CDD505-2E9C-101B-9397-08002B2CF9AE}" pid="31" name="Dokumentenart">
    <vt:lpwstr>SOD Handlungsanweisung (HAW)</vt:lpwstr>
  </property>
  <property fmtid="{D5CDD505-2E9C-101B-9397-08002B2CF9AE}" pid="32" name="WorkflowChangePath">
    <vt:lpwstr>52675646-02d6-422a-bf6f-0a8dd6281eff,6;52675646-02d6-422a-bf6f-0a8dd6281eff,8;8cbe4d6a-6262-4e83-a785-8f51091e9cb3,2;341fbddd-ec65-48e1-adf9-5a4e166d833e,9;498d860f-cbd0-4500-a53b-08f6ed17cb6e,15;498d860f-cbd0-4500-a53b-08f6ed17cb6e,19;7dbe9e3d-1110-41fa-</vt:lpwstr>
  </property>
  <property fmtid="{D5CDD505-2E9C-101B-9397-08002B2CF9AE}" pid="33" name="IsMyDocuments">
    <vt:bool>true</vt:bool>
  </property>
  <property fmtid="{D5CDD505-2E9C-101B-9397-08002B2CF9AE}" pid="34" name="IntraZueriMandant">
    <vt:lpwstr>1;#SOD|d2ca4cc4-367d-4a9a-a3b2-38906409b4ae</vt:lpwstr>
  </property>
  <property fmtid="{D5CDD505-2E9C-101B-9397-08002B2CF9AE}" pid="35" name="Kontaktperson für SOD KOM">
    <vt:lpwstr/>
  </property>
  <property fmtid="{D5CDD505-2E9C-101B-9397-08002B2CF9AE}" pid="36" name="Federführende/s Fachressort/Einheit">
    <vt:lpwstr>3</vt:lpwstr>
  </property>
  <property fmtid="{D5CDD505-2E9C-101B-9397-08002B2CF9AE}" pid="37" name="Herausgabe bei Informationszugangsgesuchen">
    <vt:lpwstr>kann herausgegeben werden</vt:lpwstr>
  </property>
  <property fmtid="{D5CDD505-2E9C-101B-9397-08002B2CF9AE}" pid="38" name="Thematische Zuordnung Fachressort(s)">
    <vt:lpwstr>3;#</vt:lpwstr>
  </property>
</Properties>
</file>