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rsidRPr="003965E4" w14:paraId="200B9FE0"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24362F64" w14:textId="77777777" w:rsidR="002129A1" w:rsidRPr="003965E4" w:rsidRDefault="002129A1">
            <w:pPr>
              <w:pStyle w:val="WeisungKopfteil"/>
              <w:framePr w:hSpace="0" w:wrap="auto" w:vAnchor="margin" w:hAnchor="text" w:xAlign="left" w:yAlign="inline"/>
              <w:spacing w:after="0"/>
              <w:rPr>
                <w:rFonts w:ascii="Arial" w:hAnsi="Arial"/>
                <w:b w:val="0"/>
                <w:bCs/>
                <w:sz w:val="20"/>
              </w:rPr>
            </w:pPr>
            <w:bookmarkStart w:id="0" w:name="_GoBack"/>
            <w:bookmarkEnd w:id="0"/>
            <w:r w:rsidRPr="003965E4">
              <w:rPr>
                <w:rFonts w:ascii="Arial" w:hAnsi="Arial"/>
              </w:rPr>
              <w:t xml:space="preserve">Zuordnung: </w:t>
            </w:r>
          </w:p>
        </w:tc>
        <w:bookmarkStart w:id="1" w:name="Dokumentenart"/>
        <w:tc>
          <w:tcPr>
            <w:tcW w:w="4453" w:type="dxa"/>
            <w:vMerge w:val="restart"/>
            <w:tcBorders>
              <w:top w:val="single" w:sz="4" w:space="0" w:color="808080"/>
              <w:left w:val="single" w:sz="6" w:space="0" w:color="808080"/>
              <w:right w:val="single" w:sz="6" w:space="0" w:color="808080"/>
            </w:tcBorders>
            <w:shd w:val="clear" w:color="auto" w:fill="F3F3F3"/>
          </w:tcPr>
          <w:p w14:paraId="4DC4D263" w14:textId="77777777" w:rsidR="002129A1" w:rsidRPr="003965E4" w:rsidRDefault="00EB5DCC">
            <w:pPr>
              <w:pStyle w:val="WeisungKopfteil"/>
              <w:framePr w:hSpace="0" w:wrap="auto" w:vAnchor="margin" w:hAnchor="text" w:xAlign="left" w:yAlign="inline"/>
              <w:spacing w:after="0"/>
              <w:jc w:val="center"/>
              <w:rPr>
                <w:rFonts w:ascii="Arial" w:hAnsi="Arial"/>
                <w:sz w:val="20"/>
              </w:rPr>
            </w:pPr>
            <w:r w:rsidRPr="003965E4">
              <w:rPr>
                <w:rFonts w:ascii="Arial" w:hAnsi="Arial"/>
              </w:rPr>
              <w:fldChar w:fldCharType="begin">
                <w:ffData>
                  <w:name w:val="Dokumentenart"/>
                  <w:enabled/>
                  <w:calcOnExit w:val="0"/>
                  <w:ddList>
                    <w:listEntry w:val="Praxishilfe"/>
                    <w:listEntry w:val="Handlungsanweisung der Direktorin"/>
                    <w:listEntry w:val="Bitte wählen"/>
                    <w:listEntry w:val="Konzept"/>
                    <w:listEntry w:val="Kurzkonzept"/>
                    <w:listEntry w:val="Information"/>
                    <w:listEntry w:val="Manual"/>
                  </w:ddList>
                </w:ffData>
              </w:fldChar>
            </w:r>
            <w:r w:rsidRPr="003965E4">
              <w:rPr>
                <w:rFonts w:ascii="Arial" w:hAnsi="Arial"/>
              </w:rPr>
              <w:instrText xml:space="preserve"> FORMDROPDOWN </w:instrText>
            </w:r>
            <w:r w:rsidR="00DB7996">
              <w:rPr>
                <w:rFonts w:ascii="Arial" w:hAnsi="Arial"/>
              </w:rPr>
            </w:r>
            <w:r w:rsidR="00DB7996">
              <w:rPr>
                <w:rFonts w:ascii="Arial" w:hAnsi="Arial"/>
              </w:rPr>
              <w:fldChar w:fldCharType="separate"/>
            </w:r>
            <w:r w:rsidRPr="003965E4">
              <w:rPr>
                <w:rFonts w:ascii="Arial" w:hAnsi="Arial"/>
              </w:rPr>
              <w:fldChar w:fldCharType="end"/>
            </w:r>
            <w:bookmarkEnd w:id="1"/>
            <w:r w:rsidR="002129A1" w:rsidRPr="003965E4">
              <w:rPr>
                <w:rFonts w:ascii="Arial" w:hAnsi="Arial"/>
              </w:rPr>
              <w:br/>
            </w:r>
          </w:p>
        </w:tc>
        <w:bookmarkStart w:id="2" w:name="Dropdown1"/>
        <w:tc>
          <w:tcPr>
            <w:tcW w:w="2414" w:type="dxa"/>
            <w:tcBorders>
              <w:top w:val="single" w:sz="4" w:space="0" w:color="808080"/>
              <w:left w:val="single" w:sz="6" w:space="0" w:color="808080"/>
              <w:bottom w:val="nil"/>
              <w:right w:val="single" w:sz="4" w:space="0" w:color="808080"/>
            </w:tcBorders>
            <w:shd w:val="clear" w:color="auto" w:fill="F3F3F3"/>
          </w:tcPr>
          <w:p w14:paraId="12C80F9C" w14:textId="77777777" w:rsidR="002129A1" w:rsidRPr="003965E4" w:rsidRDefault="0053312E">
            <w:pPr>
              <w:pStyle w:val="WeisungKopfteil"/>
              <w:framePr w:hSpace="0" w:wrap="auto" w:vAnchor="margin" w:hAnchor="text" w:xAlign="left" w:yAlign="inline"/>
              <w:spacing w:after="0"/>
              <w:ind w:right="45"/>
              <w:jc w:val="right"/>
              <w:rPr>
                <w:rFonts w:ascii="Arial" w:hAnsi="Arial"/>
                <w:b w:val="0"/>
                <w:bCs/>
                <w:sz w:val="20"/>
              </w:rPr>
            </w:pPr>
            <w:r w:rsidRPr="003965E4">
              <w:rPr>
                <w:rFonts w:ascii="Arial" w:hAnsi="Arial"/>
              </w:rPr>
              <w:fldChar w:fldCharType="begin">
                <w:ffData>
                  <w:name w:val="Dropdown1"/>
                  <w:enabled/>
                  <w:calcOnExit w:val="0"/>
                  <w:ddList>
                    <w:listEntry w:val="Gültig ab:"/>
                    <w:listEntry w:val="Datum:"/>
                  </w:ddList>
                </w:ffData>
              </w:fldChar>
            </w:r>
            <w:r w:rsidRPr="003965E4">
              <w:rPr>
                <w:rFonts w:ascii="Arial" w:hAnsi="Arial"/>
              </w:rPr>
              <w:instrText xml:space="preserve"> FORMDROPDOWN </w:instrText>
            </w:r>
            <w:r w:rsidR="00DB7996">
              <w:rPr>
                <w:rFonts w:ascii="Arial" w:hAnsi="Arial"/>
              </w:rPr>
            </w:r>
            <w:r w:rsidR="00DB7996">
              <w:rPr>
                <w:rFonts w:ascii="Arial" w:hAnsi="Arial"/>
              </w:rPr>
              <w:fldChar w:fldCharType="separate"/>
            </w:r>
            <w:r w:rsidRPr="003965E4">
              <w:rPr>
                <w:rFonts w:ascii="Arial" w:hAnsi="Arial"/>
              </w:rPr>
              <w:fldChar w:fldCharType="end"/>
            </w:r>
            <w:bookmarkEnd w:id="2"/>
            <w:r w:rsidR="002129A1" w:rsidRPr="003965E4">
              <w:rPr>
                <w:rFonts w:ascii="Arial" w:hAnsi="Arial"/>
              </w:rPr>
              <w:t xml:space="preserve"> </w:t>
            </w:r>
          </w:p>
        </w:tc>
      </w:tr>
      <w:tr w:rsidR="002129A1" w:rsidRPr="003965E4" w14:paraId="4334A433"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790123CC" w14:textId="0541CBE2" w:rsidR="002129A1" w:rsidRPr="003965E4" w:rsidRDefault="00551505" w:rsidP="00B055D0">
            <w:pPr>
              <w:pStyle w:val="WeisungKopfteil"/>
              <w:framePr w:hSpace="0" w:wrap="auto" w:vAnchor="margin" w:hAnchor="text" w:xAlign="left" w:yAlign="inline"/>
              <w:spacing w:before="0" w:after="0"/>
              <w:rPr>
                <w:rFonts w:ascii="Arial" w:hAnsi="Arial"/>
              </w:rPr>
            </w:pPr>
            <w:r>
              <w:rPr>
                <w:rFonts w:ascii="Arial" w:hAnsi="Arial"/>
                <w:b w:val="0"/>
                <w:bCs/>
                <w:sz w:val="20"/>
                <w:highlight w:val="yellow"/>
              </w:rPr>
              <w:t>SKOS</w:t>
            </w:r>
            <w:r w:rsidR="00B055D0" w:rsidRPr="00B055D0">
              <w:rPr>
                <w:rStyle w:val="Hyperlink"/>
                <w:rFonts w:ascii="Arial" w:hAnsi="Arial"/>
                <w:b w:val="0"/>
                <w:bCs/>
                <w:color w:val="auto"/>
                <w:sz w:val="20"/>
                <w:highlight w:val="yellow"/>
                <w:u w:val="none"/>
              </w:rPr>
              <w:t xml:space="preserve"> A, D </w:t>
            </w:r>
            <w:r w:rsidR="0066309C" w:rsidRPr="00B055D0">
              <w:rPr>
                <w:rStyle w:val="Hyperlink"/>
                <w:rFonts w:ascii="Arial" w:hAnsi="Arial"/>
                <w:b w:val="0"/>
                <w:bCs/>
                <w:color w:val="auto"/>
                <w:sz w:val="20"/>
                <w:highlight w:val="yellow"/>
                <w:u w:val="none"/>
              </w:rPr>
              <w:t xml:space="preserve">und </w:t>
            </w:r>
            <w:r w:rsidR="00B055D0" w:rsidRPr="00B055D0">
              <w:rPr>
                <w:rStyle w:val="Hyperlink"/>
                <w:rFonts w:ascii="Arial" w:hAnsi="Arial"/>
                <w:b w:val="0"/>
                <w:bCs/>
                <w:color w:val="auto"/>
                <w:sz w:val="20"/>
                <w:highlight w:val="yellow"/>
                <w:u w:val="none"/>
              </w:rPr>
              <w:t>F</w:t>
            </w:r>
          </w:p>
        </w:tc>
        <w:tc>
          <w:tcPr>
            <w:tcW w:w="4453" w:type="dxa"/>
            <w:vMerge/>
            <w:tcBorders>
              <w:left w:val="single" w:sz="6" w:space="0" w:color="808080"/>
              <w:bottom w:val="single" w:sz="6" w:space="0" w:color="808080"/>
              <w:right w:val="single" w:sz="6" w:space="0" w:color="808080"/>
            </w:tcBorders>
            <w:shd w:val="clear" w:color="auto" w:fill="F3F3F3"/>
          </w:tcPr>
          <w:p w14:paraId="3BC737A1" w14:textId="77777777" w:rsidR="002129A1" w:rsidRPr="003965E4" w:rsidRDefault="002129A1">
            <w:pPr>
              <w:pStyle w:val="WeisungKopfteil"/>
              <w:framePr w:hSpace="0" w:wrap="auto" w:vAnchor="margin" w:hAnchor="text" w:xAlign="left" w:yAlign="inline"/>
              <w:spacing w:after="0"/>
              <w:jc w:val="center"/>
              <w:rPr>
                <w:rFonts w:ascii="Arial" w:hAnsi="Arial"/>
              </w:rPr>
            </w:pPr>
          </w:p>
        </w:tc>
        <w:tc>
          <w:tcPr>
            <w:tcW w:w="2414" w:type="dxa"/>
            <w:tcBorders>
              <w:top w:val="nil"/>
              <w:left w:val="single" w:sz="6" w:space="0" w:color="808080"/>
              <w:bottom w:val="single" w:sz="6" w:space="0" w:color="808080"/>
              <w:right w:val="single" w:sz="4" w:space="0" w:color="808080"/>
            </w:tcBorders>
            <w:shd w:val="clear" w:color="auto" w:fill="F3F3F3"/>
          </w:tcPr>
          <w:p w14:paraId="4063936B" w14:textId="7845AACA" w:rsidR="00B055D0" w:rsidRDefault="00B055D0" w:rsidP="00820DD6">
            <w:pPr>
              <w:pStyle w:val="WeisungKopfteil"/>
              <w:framePr w:hSpace="0" w:wrap="auto" w:vAnchor="margin" w:hAnchor="text" w:xAlign="left" w:yAlign="inline"/>
              <w:spacing w:before="0" w:after="0"/>
              <w:ind w:right="45"/>
              <w:jc w:val="right"/>
              <w:rPr>
                <w:rFonts w:ascii="Arial" w:hAnsi="Arial"/>
                <w:b w:val="0"/>
                <w:bCs/>
                <w:sz w:val="20"/>
              </w:rPr>
            </w:pPr>
            <w:r w:rsidRPr="00B055D0">
              <w:rPr>
                <w:rFonts w:ascii="Arial" w:hAnsi="Arial"/>
                <w:b w:val="0"/>
                <w:bCs/>
                <w:sz w:val="20"/>
                <w:highlight w:val="yellow"/>
              </w:rPr>
              <w:t>01.01.2021</w:t>
            </w:r>
          </w:p>
          <w:p w14:paraId="00366E5D" w14:textId="089A52F0" w:rsidR="002129A1" w:rsidRPr="00B055D0" w:rsidRDefault="00B055D0" w:rsidP="00B055D0">
            <w:pPr>
              <w:pStyle w:val="WeisungKopfteil"/>
              <w:framePr w:hSpace="0" w:wrap="auto" w:vAnchor="margin" w:hAnchor="text" w:xAlign="left" w:yAlign="inline"/>
              <w:spacing w:before="0" w:after="0"/>
              <w:ind w:right="45"/>
              <w:jc w:val="right"/>
              <w:rPr>
                <w:rFonts w:ascii="Arial" w:hAnsi="Arial"/>
                <w:b w:val="0"/>
                <w:bCs/>
                <w:sz w:val="20"/>
                <w:highlight w:val="yellow"/>
              </w:rPr>
            </w:pPr>
            <w:r w:rsidRPr="00B055D0">
              <w:rPr>
                <w:rFonts w:ascii="Arial" w:hAnsi="Arial"/>
                <w:bCs/>
                <w:sz w:val="20"/>
              </w:rPr>
              <w:t>ersetzt:</w:t>
            </w:r>
            <w:r>
              <w:rPr>
                <w:rFonts w:ascii="Arial" w:hAnsi="Arial"/>
                <w:b w:val="0"/>
                <w:bCs/>
                <w:sz w:val="20"/>
              </w:rPr>
              <w:t xml:space="preserve"> </w:t>
            </w:r>
            <w:r w:rsidR="00B76738" w:rsidRPr="00B76738">
              <w:rPr>
                <w:rFonts w:ascii="Arial" w:hAnsi="Arial"/>
                <w:b w:val="0"/>
                <w:bCs/>
                <w:sz w:val="20"/>
              </w:rPr>
              <w:t>15.07</w:t>
            </w:r>
            <w:r w:rsidR="00A455D4" w:rsidRPr="00B76738">
              <w:rPr>
                <w:rFonts w:ascii="Arial" w:hAnsi="Arial"/>
                <w:b w:val="0"/>
                <w:bCs/>
                <w:sz w:val="20"/>
              </w:rPr>
              <w:t>.20</w:t>
            </w:r>
            <w:r w:rsidR="00A96C38" w:rsidRPr="00B76738">
              <w:rPr>
                <w:rFonts w:ascii="Arial" w:hAnsi="Arial"/>
                <w:b w:val="0"/>
                <w:bCs/>
                <w:sz w:val="20"/>
              </w:rPr>
              <w:t>20</w:t>
            </w:r>
          </w:p>
        </w:tc>
      </w:tr>
      <w:tr w:rsidR="002129A1" w:rsidRPr="003965E4" w14:paraId="7B6CCBE6"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558C1E21" w14:textId="2AF82139" w:rsidR="002129A1" w:rsidRPr="003965E4" w:rsidRDefault="00E362A0" w:rsidP="00A96C38">
            <w:pPr>
              <w:pStyle w:val="WeisungKopfteil"/>
              <w:framePr w:hSpace="0" w:wrap="auto" w:vAnchor="margin" w:hAnchor="text" w:xAlign="left" w:yAlign="inline"/>
              <w:rPr>
                <w:rFonts w:ascii="Arial" w:hAnsi="Arial"/>
              </w:rPr>
            </w:pPr>
            <w:r>
              <w:rPr>
                <w:rFonts w:ascii="Arial" w:hAnsi="Arial"/>
              </w:rPr>
              <w:t>Z</w:t>
            </w:r>
            <w:r w:rsidR="00A96C38">
              <w:rPr>
                <w:rFonts w:ascii="Arial" w:hAnsi="Arial"/>
              </w:rPr>
              <w:t>ahlungen durch Klient</w:t>
            </w:r>
            <w:r>
              <w:rPr>
                <w:rFonts w:ascii="Arial" w:hAnsi="Arial"/>
              </w:rPr>
              <w:t xml:space="preserve">innen </w:t>
            </w:r>
            <w:r w:rsidR="00A96C38">
              <w:rPr>
                <w:rFonts w:ascii="Arial" w:hAnsi="Arial"/>
              </w:rPr>
              <w:t xml:space="preserve">und Klienten der </w:t>
            </w:r>
            <w:r w:rsidR="0091245D">
              <w:rPr>
                <w:rFonts w:ascii="Arial" w:hAnsi="Arial"/>
              </w:rPr>
              <w:t>wirtschaftlichen Hilfe</w:t>
            </w:r>
            <w:r w:rsidR="00A96C38">
              <w:rPr>
                <w:rFonts w:ascii="Arial" w:hAnsi="Arial"/>
              </w:rPr>
              <w:t xml:space="preserve"> an </w:t>
            </w:r>
            <w:r>
              <w:rPr>
                <w:rFonts w:ascii="Arial" w:hAnsi="Arial"/>
              </w:rPr>
              <w:t xml:space="preserve">oder zugunsten </w:t>
            </w:r>
            <w:r w:rsidR="0091245D">
              <w:rPr>
                <w:rFonts w:ascii="Arial" w:hAnsi="Arial"/>
              </w:rPr>
              <w:t xml:space="preserve">von </w:t>
            </w:r>
            <w:r w:rsidR="00A96C38">
              <w:rPr>
                <w:rFonts w:ascii="Arial" w:hAnsi="Arial"/>
              </w:rPr>
              <w:t>Dritten</w:t>
            </w:r>
          </w:p>
        </w:tc>
      </w:tr>
    </w:tbl>
    <w:p w14:paraId="17D736AF" w14:textId="77777777" w:rsidR="003415A9" w:rsidRPr="003965E4" w:rsidRDefault="003415A9">
      <w:pPr>
        <w:pStyle w:val="Absatz0"/>
        <w:sectPr w:rsidR="003415A9" w:rsidRPr="003965E4" w:rsidSect="003E5FC8">
          <w:headerReference w:type="default" r:id="rId14"/>
          <w:footerReference w:type="default" r:id="rId15"/>
          <w:headerReference w:type="first" r:id="rId16"/>
          <w:footerReference w:type="first" r:id="rId17"/>
          <w:pgSz w:w="11906" w:h="16838" w:code="9"/>
          <w:pgMar w:top="1985" w:right="1134" w:bottom="567" w:left="1701" w:header="567" w:footer="227" w:gutter="0"/>
          <w:cols w:space="720"/>
          <w:titlePg/>
          <w:docGrid w:linePitch="299"/>
        </w:sectPr>
      </w:pPr>
    </w:p>
    <w:p w14:paraId="3659A26E" w14:textId="77777777" w:rsidR="002129A1" w:rsidRPr="003965E4" w:rsidRDefault="002129A1">
      <w:pPr>
        <w:pStyle w:val="Absatz0"/>
      </w:pPr>
    </w:p>
    <w:p w14:paraId="27B91B0C" w14:textId="77777777" w:rsidR="009B4516" w:rsidRPr="003965E4" w:rsidRDefault="009B4516" w:rsidP="009B4516">
      <w:pPr>
        <w:pStyle w:val="berschrift1"/>
        <w:spacing w:after="240"/>
        <w:rPr>
          <w:rFonts w:cs="Arial"/>
        </w:rPr>
      </w:pPr>
      <w:r w:rsidRPr="003965E4">
        <w:rPr>
          <w:rFonts w:cs="Arial"/>
        </w:rPr>
        <w:t>Grundlage</w:t>
      </w:r>
    </w:p>
    <w:p w14:paraId="062839DD" w14:textId="7F4F54AF" w:rsidR="0091245D" w:rsidRDefault="00A96C38" w:rsidP="00A96C38">
      <w:pPr>
        <w:pStyle w:val="Absatz0"/>
      </w:pPr>
      <w:r w:rsidRPr="00583D8F">
        <w:t xml:space="preserve">Gemäss SKOS-Richtlinien </w:t>
      </w:r>
      <w:r w:rsidR="00583D8F">
        <w:t>Kap.</w:t>
      </w:r>
      <w:r w:rsidRPr="00583D8F">
        <w:t xml:space="preserve"> </w:t>
      </w:r>
      <w:r w:rsidRPr="00B055D0">
        <w:rPr>
          <w:highlight w:val="yellow"/>
        </w:rPr>
        <w:t>A.</w:t>
      </w:r>
      <w:r w:rsidR="00B055D0" w:rsidRPr="00B055D0">
        <w:rPr>
          <w:highlight w:val="yellow"/>
        </w:rPr>
        <w:t>4</w:t>
      </w:r>
      <w:r w:rsidR="00583D8F" w:rsidRPr="00B055D0">
        <w:rPr>
          <w:highlight w:val="yellow"/>
        </w:rPr>
        <w:t>.1</w:t>
      </w:r>
      <w:r w:rsidRPr="00583D8F">
        <w:t xml:space="preserve"> schränkt die Tatsache, dass eine Person Sozialhilfe</w:t>
      </w:r>
      <w:r w:rsidRPr="003965E4">
        <w:t xml:space="preserve"> bezieht, die zivilrechtliche Rechts- und Handlungsfähigkeit nicht ein. Es ist den Klientinnen und Klienten </w:t>
      </w:r>
      <w:r w:rsidR="0091245D">
        <w:t xml:space="preserve">(KL) </w:t>
      </w:r>
      <w:r w:rsidRPr="003965E4">
        <w:t xml:space="preserve">der wirtschaftlichen Sozialhilfe </w:t>
      </w:r>
      <w:r w:rsidR="0091245D">
        <w:t xml:space="preserve">(WH) </w:t>
      </w:r>
      <w:r w:rsidRPr="003965E4">
        <w:t xml:space="preserve">also im Grundsatz freigestellt, </w:t>
      </w:r>
      <w:r w:rsidR="0091245D">
        <w:t>wozu sie den ihnen zustehenden Grundbedarf (GBL), eine allfällige Integrationszulage (IZU) oder den Einkommensfreibetrag (EFB) verwenden.</w:t>
      </w:r>
    </w:p>
    <w:p w14:paraId="563F7B5B" w14:textId="77777777" w:rsidR="0091245D" w:rsidRDefault="0091245D" w:rsidP="00A96C38">
      <w:pPr>
        <w:pStyle w:val="Absatz0"/>
      </w:pPr>
    </w:p>
    <w:p w14:paraId="04F622D6" w14:textId="6966924A" w:rsidR="00A036BB" w:rsidRDefault="00A036BB" w:rsidP="00A96C38">
      <w:pPr>
        <w:pStyle w:val="Absatz0"/>
      </w:pPr>
      <w:r>
        <w:t>Di</w:t>
      </w:r>
      <w:r w:rsidR="00583D8F">
        <w:t xml:space="preserve">ese Verfügungsfreiheit hat </w:t>
      </w:r>
      <w:r>
        <w:t xml:space="preserve">ihre Grenzen, wenn KL der WH Zahlungen an oder zugunsten von </w:t>
      </w:r>
      <w:r w:rsidR="000726F6">
        <w:t>Dritt</w:t>
      </w:r>
      <w:r>
        <w:t>en tätigen, die ihren finanziellen Möglichkeiten nicht entsprechen. Mit der vorliegenden PRA soll den fallführenden Sozialarbeiterinnen und Sozial</w:t>
      </w:r>
      <w:r w:rsidR="000726F6">
        <w:t>arbeitern (SA)</w:t>
      </w:r>
      <w:r>
        <w:t xml:space="preserve"> ein Hilfsmittel zur Verfügung gestellt werden, um solche unangemessene Zahlungen zu erkennen, die </w:t>
      </w:r>
      <w:r w:rsidR="00051F38">
        <w:t>auf weitere nicht deklarierte finanzielle Mittel hinweisen</w:t>
      </w:r>
      <w:r>
        <w:t>, die Situation zu klären und ent</w:t>
      </w:r>
      <w:r w:rsidR="00583D8F">
        <w:t>sprechend der Klärung</w:t>
      </w:r>
      <w:r>
        <w:t xml:space="preserve"> darauf zu reagieren.</w:t>
      </w:r>
    </w:p>
    <w:p w14:paraId="28DDD393" w14:textId="4DCC84B5" w:rsidR="00A036BB" w:rsidRPr="003965E4" w:rsidRDefault="00A036BB" w:rsidP="00A036BB">
      <w:pPr>
        <w:pStyle w:val="berschrift1"/>
        <w:spacing w:after="240"/>
        <w:rPr>
          <w:rFonts w:cs="Arial"/>
        </w:rPr>
      </w:pPr>
      <w:r w:rsidRPr="003965E4">
        <w:rPr>
          <w:rFonts w:cs="Arial"/>
        </w:rPr>
        <w:t>Gr</w:t>
      </w:r>
      <w:r>
        <w:rPr>
          <w:rFonts w:cs="Arial"/>
        </w:rPr>
        <w:t>enzen der Verfügungsfreiheit</w:t>
      </w:r>
    </w:p>
    <w:p w14:paraId="1F99B829" w14:textId="780901E2" w:rsidR="00816095" w:rsidRDefault="00C96430" w:rsidP="00A96C38">
      <w:pPr>
        <w:pStyle w:val="Absatz0"/>
      </w:pPr>
      <w:r w:rsidRPr="00777B4A">
        <w:t xml:space="preserve">Mit den knapp bemessenen Mitteln der Sozialhilfe ist es KL der WH nur beschränkt möglich, Zahlungen an oder zugunsten von Drittpersonen zu tätigen. </w:t>
      </w:r>
      <w:r w:rsidR="00FE7D25" w:rsidRPr="00777B4A">
        <w:t xml:space="preserve">Richtwert ab dem das überprüft werden soll, </w:t>
      </w:r>
      <w:r w:rsidR="00B40344" w:rsidRPr="00777B4A">
        <w:t xml:space="preserve">sind dabei Zahlungen, die </w:t>
      </w:r>
      <w:r w:rsidR="00E62EF8" w:rsidRPr="00777B4A">
        <w:t xml:space="preserve">zusammengezählt </w:t>
      </w:r>
      <w:r w:rsidR="00B40344" w:rsidRPr="00777B4A">
        <w:t>15% des GBL während maximal 12 Monaten überschreiten.</w:t>
      </w:r>
      <w:r w:rsidR="00E62EF8" w:rsidRPr="00777B4A">
        <w:t xml:space="preserve"> Dabei kann es sich auch um bloss einmalige oder kurzzeitige Zahlungen handeln. </w:t>
      </w:r>
      <w:r w:rsidRPr="00777B4A">
        <w:t xml:space="preserve"> </w:t>
      </w:r>
      <w:r w:rsidR="00B40344" w:rsidRPr="00777B4A">
        <w:t xml:space="preserve">Diese "Prüfschwelle" lehnt sich an die Vorgaben der Sozialbehörde betreffend Leistungskürzungen an, die in der Kompetenz der Fallführung liegen. </w:t>
      </w:r>
      <w:r w:rsidR="005154F0" w:rsidRPr="00777B4A">
        <w:t>Bei Überschreit</w:t>
      </w:r>
      <w:r w:rsidR="00583D8F" w:rsidRPr="00777B4A">
        <w:t>en</w:t>
      </w:r>
      <w:r w:rsidR="005154F0" w:rsidRPr="00777B4A">
        <w:t xml:space="preserve"> dieser </w:t>
      </w:r>
      <w:r w:rsidR="00B40344" w:rsidRPr="00777B4A">
        <w:t xml:space="preserve">Schwelle </w:t>
      </w:r>
      <w:r w:rsidR="005154F0" w:rsidRPr="00777B4A">
        <w:t xml:space="preserve">besteht die Gefahr, dass die KL </w:t>
      </w:r>
      <w:r w:rsidR="00816095" w:rsidRPr="00777B4A">
        <w:t xml:space="preserve">ihren zwingenden </w:t>
      </w:r>
      <w:r w:rsidR="005154F0" w:rsidRPr="00777B4A">
        <w:t xml:space="preserve">laufenden </w:t>
      </w:r>
      <w:r w:rsidR="00816095" w:rsidRPr="00777B4A">
        <w:t xml:space="preserve">Verpflichtungen </w:t>
      </w:r>
      <w:r w:rsidR="005154F0" w:rsidRPr="00777B4A">
        <w:t xml:space="preserve">nicht mehr </w:t>
      </w:r>
      <w:r w:rsidR="00816095" w:rsidRPr="00777B4A">
        <w:t xml:space="preserve">nachkommen </w:t>
      </w:r>
      <w:r w:rsidR="005154F0" w:rsidRPr="00777B4A">
        <w:t>können. Das kann zu einer</w:t>
      </w:r>
      <w:r w:rsidR="00816095" w:rsidRPr="00777B4A">
        <w:t xml:space="preserve"> Verschuldung, </w:t>
      </w:r>
      <w:r w:rsidR="005154F0" w:rsidRPr="00777B4A">
        <w:t xml:space="preserve">zu einer </w:t>
      </w:r>
      <w:r w:rsidR="00816095" w:rsidRPr="00777B4A">
        <w:t xml:space="preserve">Gefährdung des Kindswohls </w:t>
      </w:r>
      <w:r w:rsidR="005154F0" w:rsidRPr="00777B4A">
        <w:t xml:space="preserve">oder zur Vernachlässigung </w:t>
      </w:r>
      <w:r w:rsidR="00816095" w:rsidRPr="00777B4A">
        <w:t xml:space="preserve">der grundsätzlichen Bedürfnisse </w:t>
      </w:r>
      <w:r w:rsidR="005154F0" w:rsidRPr="00777B4A">
        <w:t>d</w:t>
      </w:r>
      <w:r w:rsidR="00816095" w:rsidRPr="00777B4A">
        <w:t>er Familienmitglieder</w:t>
      </w:r>
      <w:r w:rsidR="005154F0" w:rsidRPr="00777B4A">
        <w:t xml:space="preserve"> führen</w:t>
      </w:r>
      <w:r w:rsidR="00816095" w:rsidRPr="00777B4A">
        <w:t>.</w:t>
      </w:r>
      <w:r w:rsidR="003773E9" w:rsidRPr="00777B4A">
        <w:t xml:space="preserve"> Zu berücksichtigen sind auch die Dauer und die Häufigkeit der Überweisungen sowie </w:t>
      </w:r>
      <w:r w:rsidR="00F32113" w:rsidRPr="00777B4A">
        <w:t xml:space="preserve">die </w:t>
      </w:r>
      <w:r w:rsidR="003773E9" w:rsidRPr="00777B4A">
        <w:t>weitere Situation der Person</w:t>
      </w:r>
      <w:r w:rsidR="00777B4A">
        <w:t xml:space="preserve">. </w:t>
      </w:r>
    </w:p>
    <w:p w14:paraId="5B344D16" w14:textId="007E2E6C" w:rsidR="00816095" w:rsidRDefault="00816095" w:rsidP="00A96C38">
      <w:pPr>
        <w:pStyle w:val="Absatz0"/>
      </w:pPr>
    </w:p>
    <w:p w14:paraId="649AED6D" w14:textId="12FFD990" w:rsidR="00A96C38" w:rsidRDefault="00816095" w:rsidP="00816095">
      <w:pPr>
        <w:pStyle w:val="Absatz0"/>
      </w:pPr>
      <w:r>
        <w:t>Wird diese Grenze mit den Zahlungen an oder z</w:t>
      </w:r>
      <w:r w:rsidR="005154F0">
        <w:t>u</w:t>
      </w:r>
      <w:r>
        <w:t xml:space="preserve">gunsten von Dritten überschritten, ist </w:t>
      </w:r>
      <w:r w:rsidR="005154F0">
        <w:t>daher anzunehmen</w:t>
      </w:r>
      <w:r>
        <w:t xml:space="preserve">, dass der/die KL über zusätzliche finanzielle Mittel verfügt hat, die nicht wahrheitsgemäss und rechtzeitig deklariert worden sind. </w:t>
      </w:r>
      <w:r w:rsidR="00C96430">
        <w:t>Es obliegt de</w:t>
      </w:r>
      <w:r w:rsidR="005154F0">
        <w:t>r/dem KL</w:t>
      </w:r>
      <w:r w:rsidR="00C96430">
        <w:t xml:space="preserve">, diese Annahme umzustossen und den Gegenbeweis zu erbringen. Dazu sind beweiskräftige Belege </w:t>
      </w:r>
      <w:r w:rsidR="00B40344">
        <w:t xml:space="preserve">(vgl. Ziff. 5) </w:t>
      </w:r>
      <w:r w:rsidR="00C96430">
        <w:t xml:space="preserve">notwendig, denn strafbare Handlungen </w:t>
      </w:r>
      <w:r w:rsidR="005154F0">
        <w:t xml:space="preserve">können nicht ausgeschlossen werden </w:t>
      </w:r>
      <w:r w:rsidR="00C96430">
        <w:t>(z.B. Sozialhilfebetrug, Geldwäscherei, Steuerhinterziehung).</w:t>
      </w:r>
    </w:p>
    <w:p w14:paraId="25481849" w14:textId="5289CFBB" w:rsidR="00D954C6" w:rsidRPr="003965E4" w:rsidRDefault="00D954C6" w:rsidP="00D954C6">
      <w:pPr>
        <w:pStyle w:val="berschrift1"/>
        <w:spacing w:after="240"/>
        <w:rPr>
          <w:rFonts w:cs="Arial"/>
        </w:rPr>
      </w:pPr>
      <w:r>
        <w:rPr>
          <w:rFonts w:cs="Arial"/>
        </w:rPr>
        <w:t>Indizien für Zahlungen an oder zugunsten von Dritten</w:t>
      </w:r>
    </w:p>
    <w:p w14:paraId="7FE0E110" w14:textId="77777777" w:rsidR="00BB4FE7" w:rsidRPr="00BB4FE7" w:rsidRDefault="00BB4FE7" w:rsidP="00A96C38">
      <w:pPr>
        <w:rPr>
          <w:b/>
        </w:rPr>
      </w:pPr>
      <w:r w:rsidRPr="00BB4FE7">
        <w:rPr>
          <w:b/>
        </w:rPr>
        <w:t>Allgemein:</w:t>
      </w:r>
    </w:p>
    <w:p w14:paraId="02832424" w14:textId="77777777" w:rsidR="00BB4FE7" w:rsidRDefault="00BB4FE7" w:rsidP="00A96C38">
      <w:pPr>
        <w:rPr>
          <w:bCs/>
        </w:rPr>
      </w:pPr>
    </w:p>
    <w:p w14:paraId="319E2D86" w14:textId="2E839F9B" w:rsidR="00BA5B33" w:rsidRDefault="00BA5B33" w:rsidP="00A96C38">
      <w:pPr>
        <w:rPr>
          <w:bCs/>
        </w:rPr>
      </w:pPr>
      <w:r>
        <w:rPr>
          <w:bCs/>
        </w:rPr>
        <w:t>Zahlungen an oder zugunsten von Dritten fallen zu unterschiedlichen Zeitpunkten auf, teils zufällig während der laufenden Unterstützung, teils anlässlich der jährlichen Erneuerung des Leistungsentscheid</w:t>
      </w:r>
      <w:r w:rsidR="005154F0">
        <w:rPr>
          <w:bCs/>
        </w:rPr>
        <w:t>s</w:t>
      </w:r>
      <w:r>
        <w:rPr>
          <w:bCs/>
        </w:rPr>
        <w:t>.</w:t>
      </w:r>
    </w:p>
    <w:p w14:paraId="24BC5A32" w14:textId="77777777" w:rsidR="00BA5B33" w:rsidRDefault="00BA5B33" w:rsidP="00A96C38">
      <w:pPr>
        <w:rPr>
          <w:bCs/>
        </w:rPr>
      </w:pPr>
    </w:p>
    <w:p w14:paraId="56D4B13C" w14:textId="1B40FDC5" w:rsidR="00D954C6" w:rsidRPr="00D954C6" w:rsidRDefault="00BA5B33" w:rsidP="00A96C38">
      <w:pPr>
        <w:rPr>
          <w:bCs/>
        </w:rPr>
      </w:pPr>
      <w:r>
        <w:rPr>
          <w:bCs/>
        </w:rPr>
        <w:lastRenderedPageBreak/>
        <w:t>Erfolgten die Zahlungen über ein von den KL deklarierte</w:t>
      </w:r>
      <w:r w:rsidR="008D6D2D">
        <w:rPr>
          <w:bCs/>
        </w:rPr>
        <w:t>s</w:t>
      </w:r>
      <w:r>
        <w:rPr>
          <w:bCs/>
        </w:rPr>
        <w:t xml:space="preserve"> Bank- oder Postkont</w:t>
      </w:r>
      <w:r w:rsidR="008D6D2D">
        <w:rPr>
          <w:bCs/>
        </w:rPr>
        <w:t>o</w:t>
      </w:r>
      <w:r>
        <w:rPr>
          <w:bCs/>
        </w:rPr>
        <w:t>, so erscheinen sie auf dem entsprechenden Kontoauszug als Überweisung oder Zahlungsausgang. Anlässlich von dessen Überprüfung sollte</w:t>
      </w:r>
      <w:r w:rsidR="00583D8F">
        <w:rPr>
          <w:bCs/>
        </w:rPr>
        <w:t xml:space="preserve">n daher auch die </w:t>
      </w:r>
      <w:r w:rsidR="00E62EF8">
        <w:rPr>
          <w:bCs/>
        </w:rPr>
        <w:t xml:space="preserve">Zahlungsempfänger </w:t>
      </w:r>
      <w:r>
        <w:rPr>
          <w:bCs/>
        </w:rPr>
        <w:t xml:space="preserve">kurz kontrolliert werden. Beinhaltet der Kontoauszug ungewöhnliche Zahlungen an Dritte, die nicht als nachgewiesene Gläubiger </w:t>
      </w:r>
      <w:r w:rsidR="00583D8F">
        <w:rPr>
          <w:bCs/>
        </w:rPr>
        <w:t xml:space="preserve">bekannt sind </w:t>
      </w:r>
      <w:r>
        <w:rPr>
          <w:bCs/>
        </w:rPr>
        <w:t>(</w:t>
      </w:r>
      <w:r w:rsidR="00583D8F">
        <w:rPr>
          <w:bCs/>
        </w:rPr>
        <w:t xml:space="preserve">z.B. </w:t>
      </w:r>
      <w:r>
        <w:rPr>
          <w:bCs/>
        </w:rPr>
        <w:t>Ve</w:t>
      </w:r>
      <w:r w:rsidR="00583D8F">
        <w:rPr>
          <w:bCs/>
        </w:rPr>
        <w:t>rmieter, KK, Swisscom)</w:t>
      </w:r>
      <w:r w:rsidR="005154F0">
        <w:rPr>
          <w:bCs/>
        </w:rPr>
        <w:t xml:space="preserve">, sind die KL damit zu konfrontieren (vgl. nachfolgend Ziff. </w:t>
      </w:r>
      <w:r w:rsidR="00583D8F">
        <w:rPr>
          <w:bCs/>
        </w:rPr>
        <w:t>4).</w:t>
      </w:r>
    </w:p>
    <w:p w14:paraId="71DB5C32" w14:textId="77777777" w:rsidR="00D954C6" w:rsidRPr="00D954C6" w:rsidRDefault="00D954C6" w:rsidP="00A96C38">
      <w:pPr>
        <w:rPr>
          <w:bCs/>
        </w:rPr>
      </w:pPr>
    </w:p>
    <w:p w14:paraId="752B3A94" w14:textId="06D52A0C" w:rsidR="00A96C38" w:rsidRDefault="00A70898" w:rsidP="00A96C38">
      <w:pPr>
        <w:rPr>
          <w:b/>
        </w:rPr>
      </w:pPr>
      <w:r>
        <w:rPr>
          <w:b/>
        </w:rPr>
        <w:t>Spezialfall: G</w:t>
      </w:r>
      <w:r w:rsidR="00A96C38">
        <w:rPr>
          <w:b/>
        </w:rPr>
        <w:t>eldüberweisungen von K</w:t>
      </w:r>
      <w:r>
        <w:rPr>
          <w:b/>
        </w:rPr>
        <w:t>L</w:t>
      </w:r>
      <w:r w:rsidR="00A96C38">
        <w:rPr>
          <w:b/>
        </w:rPr>
        <w:t xml:space="preserve"> der WH an Dritte</w:t>
      </w:r>
      <w:r>
        <w:rPr>
          <w:b/>
        </w:rPr>
        <w:t xml:space="preserve"> mittels Western Union etc.</w:t>
      </w:r>
    </w:p>
    <w:p w14:paraId="26935421" w14:textId="77777777" w:rsidR="00A96C38" w:rsidRDefault="00A96C38" w:rsidP="00A96C38"/>
    <w:p w14:paraId="638DE61D" w14:textId="7DC6C28C" w:rsidR="00A96C38" w:rsidRDefault="00A96C38" w:rsidP="00A96C38">
      <w:r>
        <w:t xml:space="preserve">Bei </w:t>
      </w:r>
      <w:r w:rsidR="00BB4FE7">
        <w:t>G</w:t>
      </w:r>
      <w:r>
        <w:t>eldüberweisungen wird Geld per Geldüberweisungsinstitut (z.B. SBB oder Western Union) an eine Drittperson versendet. Dieses Mittel wird oft verwendet, um Verwandte</w:t>
      </w:r>
      <w:r w:rsidR="00BB4FE7">
        <w:t xml:space="preserve"> </w:t>
      </w:r>
      <w:r>
        <w:t>/</w:t>
      </w:r>
      <w:r w:rsidR="00BB4FE7">
        <w:t xml:space="preserve"> </w:t>
      </w:r>
      <w:r>
        <w:t xml:space="preserve">Bekannte im Ausland finanziell </w:t>
      </w:r>
      <w:r w:rsidR="00583D8F">
        <w:t>zu unterstützen. Für solche G</w:t>
      </w:r>
      <w:r>
        <w:t>eldüberweisungen wird kein Konto benötigt. Der Überweisende muss sich gegenüber dem Geldüberweisungsinstitut mit einem gültigen amtlichen Ausweis ausweisen und zu Fragen bezüglich Herkunft und Verwendungszweck des</w:t>
      </w:r>
      <w:r w:rsidR="00583D8F">
        <w:t xml:space="preserve"> Geldes Stellung nehmen. Die G</w:t>
      </w:r>
      <w:r>
        <w:t xml:space="preserve">eldüberweisungsinstitute gehen davon aus, dass der Überweisende auch der wirtschaftlich Berechtigte an dem überwiesenen Geldbetrag ist. </w:t>
      </w:r>
    </w:p>
    <w:p w14:paraId="593C1EF7" w14:textId="727CD70C" w:rsidR="00BB4FE7" w:rsidRDefault="00BB4FE7" w:rsidP="00A96C38"/>
    <w:p w14:paraId="37EC7020" w14:textId="54D78908" w:rsidR="00B749D2" w:rsidRDefault="00BB4FE7" w:rsidP="00B749D2">
      <w:r>
        <w:t>Solche Überweisungen fallen den Sozialen Diensten (SOD) meist dann auf, wenn in einem Unterstützungsfall eine Vertiefte Abklärung erfolgt. Mittels unterzeichneter Bankenvollmacht erteilen solche Geldüberweisungsinstitute den SOD Auskunft.</w:t>
      </w:r>
    </w:p>
    <w:p w14:paraId="54F297BA" w14:textId="77777777" w:rsidR="003D36BA" w:rsidRPr="003965E4" w:rsidRDefault="003D36BA" w:rsidP="003D36BA">
      <w:pPr>
        <w:pStyle w:val="berschrift1"/>
        <w:spacing w:after="240"/>
        <w:rPr>
          <w:rFonts w:cs="Arial"/>
        </w:rPr>
      </w:pPr>
      <w:r>
        <w:rPr>
          <w:rFonts w:cs="Arial"/>
        </w:rPr>
        <w:t>Konfrontation / Rechtliches Gehör</w:t>
      </w:r>
    </w:p>
    <w:p w14:paraId="50F9A8FB" w14:textId="58B70263" w:rsidR="003D36BA" w:rsidRDefault="003D36BA" w:rsidP="00B749D2">
      <w:r>
        <w:t>Fallen</w:t>
      </w:r>
      <w:r w:rsidR="00583D8F">
        <w:t xml:space="preserve"> </w:t>
      </w:r>
      <w:r>
        <w:t xml:space="preserve">ungewöhnliche Zahlungen an oder zugunsten von Dritten auf, </w:t>
      </w:r>
      <w:r w:rsidR="008D6D2D">
        <w:t xml:space="preserve">welche die in Ziff. 2 Abs. 1 erwähnte "Prüfschwelle" übersteigen, </w:t>
      </w:r>
      <w:r>
        <w:t>so sind die KL damit zu konfrontieren. Dabei sind sie darauf aufmerksam zu machen, dass der begründete Verdacht besteht, sie würden über nicht deklarierte Einnahmen oder Vermögenswerte verfügen. Im Rahmen der Sachverhaltsklärung und der Gewährung des rechtlichen Gehörs ist ihnen Gelegenheit zu geben, sich zu den einzelnen Zahlungen zu äussern und sowohl über den Zahlungsadressaten wie auch den Zahlungszweck Auskunft zu geben</w:t>
      </w:r>
      <w:r w:rsidR="00A207FC">
        <w:t xml:space="preserve">. Bei Bedarf sind </w:t>
      </w:r>
      <w:r w:rsidR="00163955">
        <w:t>weitere angemessene Schritte ein</w:t>
      </w:r>
      <w:r w:rsidR="004A5756">
        <w:t>zu</w:t>
      </w:r>
      <w:r w:rsidR="00163955">
        <w:t>leiten</w:t>
      </w:r>
      <w:r w:rsidR="00B21C06">
        <w:t>.</w:t>
      </w:r>
    </w:p>
    <w:p w14:paraId="74F68A4A" w14:textId="793E205F" w:rsidR="00B749D2" w:rsidRPr="003965E4" w:rsidRDefault="003D36BA" w:rsidP="00B749D2">
      <w:pPr>
        <w:pStyle w:val="berschrift1"/>
        <w:spacing w:after="240"/>
        <w:rPr>
          <w:rFonts w:cs="Arial"/>
        </w:rPr>
      </w:pPr>
      <w:r>
        <w:rPr>
          <w:rFonts w:cs="Arial"/>
        </w:rPr>
        <w:t>Würdigung der Aussagen und Beweismittel</w:t>
      </w:r>
    </w:p>
    <w:p w14:paraId="41F80BCB" w14:textId="20CA0603" w:rsidR="00B0061A" w:rsidRDefault="003256E8" w:rsidP="00B0061A">
      <w:r>
        <w:t>Mündlich erfolgte Aussagen sollten durch die KL schriftlich bestätigt und mit Beweisen belegt werden.</w:t>
      </w:r>
      <w:r w:rsidR="00B0061A">
        <w:t xml:space="preserve"> Grundsätzlich sollten die Gesamtumstände genau angeschaut und auf mögliche Widersprüche in den früheren Äusserungen der KL geachtet werden.</w:t>
      </w:r>
      <w:r w:rsidR="005407B5">
        <w:t xml:space="preserve"> </w:t>
      </w:r>
      <w:r w:rsidR="00B0061A">
        <w:t>Als allgemeine Orientierungshilfe kann übrlegt werden, mit welchen Dokumenten man eine eigene Forderung / Schuld belegen und beweisen würde.</w:t>
      </w:r>
      <w:r w:rsidR="005407B5">
        <w:t xml:space="preserve"> </w:t>
      </w:r>
      <w:r w:rsidR="00B0061A">
        <w:t>Aussagen wie z.B. dass der/die KL von einer unbekannten Person Geld erhalten habe und das Geld für diese Person überwiesen habe, sind unglaubwürdig.</w:t>
      </w:r>
    </w:p>
    <w:p w14:paraId="65CDCEDD" w14:textId="77777777" w:rsidR="005407B5" w:rsidRDefault="005407B5" w:rsidP="00B0061A"/>
    <w:p w14:paraId="62403BC9" w14:textId="60C83B56" w:rsidR="005407B5" w:rsidRDefault="00B0061A" w:rsidP="00B0061A">
      <w:r>
        <w:t xml:space="preserve">Bei Bestätigungen von Freunden und Verwandten kann es sich um Gefälligkeitsbestätigungen handeln. Sie sollten daher </w:t>
      </w:r>
      <w:r w:rsidR="005407B5">
        <w:t xml:space="preserve">ebenfalls </w:t>
      </w:r>
      <w:r>
        <w:t>anhand der nachfolgend aufgezählten Kriterien hinterfragt werden.</w:t>
      </w:r>
    </w:p>
    <w:p w14:paraId="1D4DAD94" w14:textId="4808D1FE" w:rsidR="003256E8" w:rsidRDefault="003256E8" w:rsidP="003256E8"/>
    <w:p w14:paraId="156CE534" w14:textId="75F3D53C" w:rsidR="003256E8" w:rsidRDefault="003256E8" w:rsidP="003256E8">
      <w:pPr>
        <w:rPr>
          <w:b/>
          <w:bCs/>
        </w:rPr>
      </w:pPr>
      <w:r w:rsidRPr="003256E8">
        <w:rPr>
          <w:b/>
          <w:bCs/>
        </w:rPr>
        <w:t>Zahlungen im angeblichen Auftrag von Dritten:</w:t>
      </w:r>
    </w:p>
    <w:p w14:paraId="264852B6" w14:textId="3F99E9F5" w:rsidR="0056180C" w:rsidRDefault="0056180C" w:rsidP="003256E8">
      <w:pPr>
        <w:rPr>
          <w:b/>
          <w:bCs/>
        </w:rPr>
      </w:pPr>
    </w:p>
    <w:p w14:paraId="0EB12DAE" w14:textId="46B5F581" w:rsidR="0056180C" w:rsidRDefault="0056180C" w:rsidP="003256E8">
      <w:r w:rsidRPr="00396535">
        <w:t>Teilweise machen KL im Rahmen der Gewährung des rechtlichen Gehörs gelten</w:t>
      </w:r>
      <w:r w:rsidR="00396535" w:rsidRPr="00396535">
        <w:t xml:space="preserve">d, sie hätten die Zahlung im Auftrag </w:t>
      </w:r>
      <w:r w:rsidR="00396535">
        <w:t>von</w:t>
      </w:r>
      <w:r w:rsidR="00396535" w:rsidRPr="00396535">
        <w:t xml:space="preserve"> Drittperson getätigt. Dabei handelt es sich öfter</w:t>
      </w:r>
      <w:r w:rsidRPr="00396535">
        <w:t xml:space="preserve"> </w:t>
      </w:r>
      <w:r w:rsidR="00396535" w:rsidRPr="00396535">
        <w:t xml:space="preserve">um eine Schutzbehauptung. </w:t>
      </w:r>
      <w:r w:rsidR="00396535">
        <w:t>Dazu eingereichte Belege sollten daher möglichst vielen der nachfolgend aufgezählten Kriterien entsprechen:</w:t>
      </w:r>
    </w:p>
    <w:p w14:paraId="241E88FF" w14:textId="77777777" w:rsidR="00396535" w:rsidRPr="00396535" w:rsidRDefault="00396535" w:rsidP="003256E8"/>
    <w:p w14:paraId="2CA2E02B" w14:textId="424F2C40" w:rsidR="003D36BA" w:rsidRDefault="003D36BA" w:rsidP="003256E8">
      <w:pPr>
        <w:pStyle w:val="Listenabsatz"/>
        <w:numPr>
          <w:ilvl w:val="0"/>
          <w:numId w:val="18"/>
        </w:numPr>
        <w:ind w:left="360"/>
      </w:pPr>
      <w:r>
        <w:lastRenderedPageBreak/>
        <w:t xml:space="preserve">Die Bestätigung der Drittperson, für welche die </w:t>
      </w:r>
      <w:r w:rsidR="00396535">
        <w:t>G</w:t>
      </w:r>
      <w:r>
        <w:t xml:space="preserve">eldüberweisung angeblich getätigt wurde, sollte den Betrag, das Geldübergabedatum, die Herkunft der finanziellen Mittel und den Zahlungsgrund umfassen. </w:t>
      </w:r>
    </w:p>
    <w:p w14:paraId="7F7EA191" w14:textId="33B83D8E" w:rsidR="003D36BA" w:rsidRDefault="003D36BA" w:rsidP="003256E8">
      <w:pPr>
        <w:pStyle w:val="Listenabsatz"/>
        <w:numPr>
          <w:ilvl w:val="0"/>
          <w:numId w:val="18"/>
        </w:numPr>
        <w:ind w:left="360"/>
      </w:pPr>
      <w:r>
        <w:t xml:space="preserve">Die Bestätigung sollte unterzeichnet und korrekt datiert sein (auf Rück-/Vordatierung achten). </w:t>
      </w:r>
    </w:p>
    <w:p w14:paraId="3809309C" w14:textId="77777777" w:rsidR="003D36BA" w:rsidRDefault="003D36BA" w:rsidP="003256E8">
      <w:pPr>
        <w:pStyle w:val="Listenabsatz"/>
        <w:numPr>
          <w:ilvl w:val="0"/>
          <w:numId w:val="18"/>
        </w:numPr>
        <w:ind w:left="360"/>
      </w:pPr>
      <w:r>
        <w:t xml:space="preserve">Die Bestätigung sollte den Namen, das Geburtsdatum, die Adresse, die Telefonnummer und/oder die E-Mailadresse der Drittperson beinhalten und gut lesbar sein. </w:t>
      </w:r>
    </w:p>
    <w:p w14:paraId="539AB11B" w14:textId="68BC9473" w:rsidR="003D36BA" w:rsidRDefault="00CE182B" w:rsidP="003256E8">
      <w:pPr>
        <w:pStyle w:val="Listenabsatz"/>
        <w:numPr>
          <w:ilvl w:val="0"/>
          <w:numId w:val="18"/>
        </w:numPr>
        <w:ind w:left="360"/>
      </w:pPr>
      <w:r>
        <w:t>Die Identität der Drittperson sollte soweit möglich abgeklärt und überprüft werden (z.B. anhand einer</w:t>
      </w:r>
      <w:r w:rsidR="003D36BA">
        <w:t xml:space="preserve"> Kopie des Passes, der ID oder des Ausländerausweises der Drittperson</w:t>
      </w:r>
      <w:r>
        <w:t>).</w:t>
      </w:r>
    </w:p>
    <w:p w14:paraId="0166AED8" w14:textId="018FC72F" w:rsidR="00E219EF" w:rsidRDefault="00E219EF" w:rsidP="003256E8">
      <w:pPr>
        <w:pStyle w:val="Listenabsatz"/>
        <w:numPr>
          <w:ilvl w:val="0"/>
          <w:numId w:val="18"/>
        </w:numPr>
        <w:ind w:left="360"/>
      </w:pPr>
      <w:r>
        <w:t>Bestehen Zweifel, dass es die Drittperson an der erwähnten Adresse überhaupt gibt, hilft eine kurze Recherche im Internet teilweise weiter (GoogleMaps oder Weisse Seiten etc.)</w:t>
      </w:r>
    </w:p>
    <w:p w14:paraId="708929E1" w14:textId="5B349871" w:rsidR="003D36BA" w:rsidRDefault="003D36BA" w:rsidP="003256E8">
      <w:pPr>
        <w:pStyle w:val="Listenabsatz"/>
        <w:numPr>
          <w:ilvl w:val="0"/>
          <w:numId w:val="18"/>
        </w:numPr>
        <w:ind w:left="360"/>
      </w:pPr>
      <w:r>
        <w:t>Geldflüsse sollten anhand von aussagekräftigen Unterlagen belegt werden. Es empfiehlt sich</w:t>
      </w:r>
      <w:r w:rsidR="00B0061A">
        <w:t>,</w:t>
      </w:r>
      <w:r>
        <w:t xml:space="preserve"> </w:t>
      </w:r>
      <w:r w:rsidR="00B0061A">
        <w:t xml:space="preserve">keine </w:t>
      </w:r>
      <w:r>
        <w:t xml:space="preserve">handschriftliche Notizen zu akzeptieren, sondern Kontoauszüge und unterschriebene und datierte Quittungen zu verlangen. </w:t>
      </w:r>
    </w:p>
    <w:p w14:paraId="4CF57CD5" w14:textId="09D508C5" w:rsidR="003D36BA" w:rsidRDefault="003D36BA" w:rsidP="003256E8">
      <w:pPr>
        <w:pStyle w:val="Listenabsatz"/>
        <w:numPr>
          <w:ilvl w:val="0"/>
          <w:numId w:val="18"/>
        </w:numPr>
        <w:ind w:left="360"/>
      </w:pPr>
      <w:r>
        <w:t>Die KL sollten den Nachweis erbringen, dass die Drittperson im Zeitpunkt der Überweisungen über die finanziellen Mittel verfügte, um die Zahlungen zu finanzieren.</w:t>
      </w:r>
      <w:r w:rsidR="00BE226B">
        <w:t xml:space="preserve"> Diesbezüglich ist auch zu belegen, wie die Rückzahlung von der auftraggebenden Drittperson an die/den KL erfolgt ist oder noch erfolgen wird.</w:t>
      </w:r>
    </w:p>
    <w:p w14:paraId="1E6BE47F" w14:textId="39EB4567" w:rsidR="003D36BA" w:rsidRDefault="005407B5" w:rsidP="005407B5">
      <w:pPr>
        <w:pStyle w:val="Listenabsatz"/>
        <w:numPr>
          <w:ilvl w:val="0"/>
          <w:numId w:val="19"/>
        </w:numPr>
        <w:ind w:left="423"/>
      </w:pPr>
      <w:r>
        <w:t>D</w:t>
      </w:r>
      <w:r w:rsidR="003D36BA">
        <w:t xml:space="preserve">as Filialnetz der </w:t>
      </w:r>
      <w:r>
        <w:t>G</w:t>
      </w:r>
      <w:r w:rsidR="003D36BA">
        <w:t xml:space="preserve">eldüberweisungsinstitute </w:t>
      </w:r>
      <w:r>
        <w:t xml:space="preserve">ist </w:t>
      </w:r>
      <w:r w:rsidR="003D36BA">
        <w:t xml:space="preserve">sehr dicht </w:t>
      </w:r>
      <w:r>
        <w:t xml:space="preserve">und deren </w:t>
      </w:r>
      <w:r w:rsidR="003D36BA">
        <w:t xml:space="preserve">Öffnungszeiten </w:t>
      </w:r>
      <w:r>
        <w:t xml:space="preserve">sind </w:t>
      </w:r>
      <w:r w:rsidR="003D36BA">
        <w:t>sehr lang</w:t>
      </w:r>
      <w:r>
        <w:t xml:space="preserve">. Die Erklärung, die </w:t>
      </w:r>
      <w:r w:rsidR="003D36BA">
        <w:t>Drittperson</w:t>
      </w:r>
      <w:r>
        <w:t xml:space="preserve"> habe keine Zeit gehabt, um eine Überweisung selbst zu tätigen, ist daher selten plausibel und glaubwürdig. </w:t>
      </w:r>
      <w:r w:rsidR="003D36BA">
        <w:t xml:space="preserve">Die Gründe, weshalb </w:t>
      </w:r>
      <w:r>
        <w:t xml:space="preserve">eine Drittperson eine </w:t>
      </w:r>
      <w:r w:rsidR="003D36BA">
        <w:t xml:space="preserve">Überweisungen nicht selber tätigen konnte, </w:t>
      </w:r>
      <w:r>
        <w:t xml:space="preserve">müssen aber </w:t>
      </w:r>
      <w:r w:rsidR="003D36BA">
        <w:t xml:space="preserve">nachvollziehbar </w:t>
      </w:r>
      <w:r>
        <w:t xml:space="preserve">sein </w:t>
      </w:r>
      <w:r w:rsidR="003D36BA">
        <w:t xml:space="preserve">(z.B. </w:t>
      </w:r>
      <w:r>
        <w:t>weil d</w:t>
      </w:r>
      <w:r w:rsidR="003D36BA">
        <w:t xml:space="preserve">ie </w:t>
      </w:r>
      <w:r>
        <w:t>Drittperson</w:t>
      </w:r>
      <w:r w:rsidR="003D36BA">
        <w:t xml:space="preserve"> über keinen amtlichen Ausweis oder keine gültige Aufenthaltsbewilligung</w:t>
      </w:r>
      <w:r>
        <w:t xml:space="preserve"> verfügt</w:t>
      </w:r>
      <w:r w:rsidR="00E219EF">
        <w:t>e</w:t>
      </w:r>
      <w:r w:rsidR="003D36BA">
        <w:t>).</w:t>
      </w:r>
    </w:p>
    <w:p w14:paraId="5EB8E346" w14:textId="77777777" w:rsidR="0056180C" w:rsidRDefault="0056180C" w:rsidP="00B749D2">
      <w:pPr>
        <w:rPr>
          <w:b/>
          <w:bCs/>
        </w:rPr>
      </w:pPr>
    </w:p>
    <w:p w14:paraId="2D003C4E" w14:textId="0E9CE63D" w:rsidR="00B749D2" w:rsidRDefault="0056180C" w:rsidP="00B749D2">
      <w:pPr>
        <w:rPr>
          <w:b/>
          <w:bCs/>
        </w:rPr>
      </w:pPr>
      <w:r w:rsidRPr="0056180C">
        <w:rPr>
          <w:b/>
          <w:bCs/>
        </w:rPr>
        <w:t>Angebliche Rü</w:t>
      </w:r>
      <w:r w:rsidR="00AE3DC1">
        <w:rPr>
          <w:b/>
          <w:bCs/>
        </w:rPr>
        <w:t>ckzahlung von Schulden</w:t>
      </w:r>
      <w:r w:rsidR="005407B5">
        <w:rPr>
          <w:b/>
          <w:bCs/>
        </w:rPr>
        <w:t xml:space="preserve"> bei der Drittperson</w:t>
      </w:r>
      <w:r w:rsidRPr="0056180C">
        <w:rPr>
          <w:b/>
          <w:bCs/>
        </w:rPr>
        <w:t>:</w:t>
      </w:r>
    </w:p>
    <w:p w14:paraId="389005EE" w14:textId="77777777" w:rsidR="00551E46" w:rsidRPr="0056180C" w:rsidRDefault="00551E46" w:rsidP="00B749D2">
      <w:pPr>
        <w:rPr>
          <w:b/>
          <w:bCs/>
        </w:rPr>
      </w:pPr>
    </w:p>
    <w:p w14:paraId="088F94F2" w14:textId="29618207" w:rsidR="0056180C" w:rsidRDefault="0056180C" w:rsidP="00B749D2">
      <w:pPr>
        <w:pStyle w:val="Listenabsatz"/>
        <w:numPr>
          <w:ilvl w:val="0"/>
          <w:numId w:val="20"/>
        </w:numPr>
      </w:pPr>
      <w:r>
        <w:t>Beleg für den Bestand der Schuld</w:t>
      </w:r>
      <w:r w:rsidR="00AE3DC1">
        <w:t>, z.B. Darlehensvertrag</w:t>
      </w:r>
    </w:p>
    <w:p w14:paraId="0D3E8139" w14:textId="77777777" w:rsidR="0056180C" w:rsidRDefault="0056180C" w:rsidP="00B749D2">
      <w:pPr>
        <w:pStyle w:val="Listenabsatz"/>
        <w:numPr>
          <w:ilvl w:val="0"/>
          <w:numId w:val="20"/>
        </w:numPr>
      </w:pPr>
      <w:r>
        <w:t>Zahlungsbeleg dafür, dass das Geld zuvor durch die/den KL auch erhalten worden ist.</w:t>
      </w:r>
    </w:p>
    <w:p w14:paraId="7890DA3B" w14:textId="77777777" w:rsidR="0056180C" w:rsidRDefault="0056180C" w:rsidP="00B749D2">
      <w:pPr>
        <w:pStyle w:val="Listenabsatz"/>
        <w:numPr>
          <w:ilvl w:val="0"/>
          <w:numId w:val="20"/>
        </w:numPr>
      </w:pPr>
      <w:r>
        <w:t>Keine Nach- oder Umdatierungen</w:t>
      </w:r>
    </w:p>
    <w:p w14:paraId="63D2EB5F" w14:textId="1AEBB831" w:rsidR="0056180C" w:rsidRPr="00B749D2" w:rsidRDefault="0056180C" w:rsidP="00B749D2">
      <w:pPr>
        <w:pStyle w:val="Listenabsatz"/>
        <w:numPr>
          <w:ilvl w:val="0"/>
          <w:numId w:val="20"/>
        </w:numPr>
      </w:pPr>
      <w:r>
        <w:t>Widersprüche aufgrund der damaligen Lebenssituation beurteilen: Es kann unlogisch sein, wenn KL dann angeblich Schulden gemacht haben, als sie eigentlich über ausreichend eigene Mittel verfügten. Bei dieser Beurteilung kann evtl. der Zahlungszweck weiterhelfen.</w:t>
      </w:r>
    </w:p>
    <w:p w14:paraId="0FCBEF4A" w14:textId="296DAD20" w:rsidR="00B749D2" w:rsidRPr="00E72DFD" w:rsidRDefault="00B749D2" w:rsidP="00B749D2">
      <w:pPr>
        <w:pStyle w:val="berschrift1"/>
        <w:spacing w:after="240"/>
        <w:rPr>
          <w:rFonts w:cs="Arial"/>
        </w:rPr>
      </w:pPr>
      <w:r>
        <w:rPr>
          <w:rFonts w:cs="Arial"/>
        </w:rPr>
        <w:t xml:space="preserve">Einstellung der WH aufgrund </w:t>
      </w:r>
      <w:r w:rsidR="00AE3DC1">
        <w:rPr>
          <w:rFonts w:cs="Arial"/>
        </w:rPr>
        <w:t xml:space="preserve">erheblicher und </w:t>
      </w:r>
      <w:r>
        <w:rPr>
          <w:rFonts w:cs="Arial"/>
        </w:rPr>
        <w:t>begründeter Zweifel an der Mittello</w:t>
      </w:r>
      <w:r w:rsidRPr="00E72DFD">
        <w:rPr>
          <w:rFonts w:cs="Arial"/>
        </w:rPr>
        <w:t>sigkeit (</w:t>
      </w:r>
      <w:r w:rsidRPr="00B055D0">
        <w:rPr>
          <w:rFonts w:cs="Arial"/>
          <w:highlight w:val="yellow"/>
        </w:rPr>
        <w:t xml:space="preserve">SKOS-RL Kap. </w:t>
      </w:r>
      <w:r w:rsidR="00B055D0" w:rsidRPr="00B055D0">
        <w:rPr>
          <w:rFonts w:cs="Arial"/>
          <w:highlight w:val="yellow"/>
        </w:rPr>
        <w:t>F.</w:t>
      </w:r>
      <w:r w:rsidR="00AE3DC1" w:rsidRPr="00B055D0">
        <w:rPr>
          <w:rFonts w:cs="Arial"/>
          <w:highlight w:val="yellow"/>
        </w:rPr>
        <w:t>3</w:t>
      </w:r>
      <w:r w:rsidRPr="00E72DFD">
        <w:rPr>
          <w:rFonts w:cs="Arial"/>
        </w:rPr>
        <w:t>)</w:t>
      </w:r>
    </w:p>
    <w:p w14:paraId="5D3F1665" w14:textId="4789AE90" w:rsidR="001E53B1" w:rsidRDefault="00AE3DC1" w:rsidP="00B749D2">
      <w:r>
        <w:t>Bestehen aufgrund der Sachverhaltsabklärungen erhebliche Zweifel an der aktuellen Bedürftigkeit, können die Unterstützungsleistungen mittels anfechtbarem ZL-Entscheid ausnahmsweise eingestellt werden. Da die WH das letzte finanzielle Auffangnetz ist, ist von dieser Möglichkeit nur zurückhaltend Gebrauch zu machen. Die Einste</w:t>
      </w:r>
      <w:r w:rsidR="001E53B1">
        <w:t>llung ist auf jeden Fall anzudrohen und den KL ist Gelegenheit zu geben, sich vorgängig mündlich oder schriftlich dazu zu äussern. Hierzu sollte ihnen eine kurze Frist angesetzt werden (10-14 Tage).</w:t>
      </w:r>
    </w:p>
    <w:p w14:paraId="1A6F51FA" w14:textId="77777777" w:rsidR="001E53B1" w:rsidRDefault="001E53B1" w:rsidP="00B749D2"/>
    <w:p w14:paraId="72B1B571" w14:textId="630EC227" w:rsidR="00B749D2" w:rsidRDefault="001E53B1" w:rsidP="00B749D2">
      <w:r>
        <w:t xml:space="preserve">Ist die Situation unklar, kann das Team VA als </w:t>
      </w:r>
      <w:r w:rsidR="00551E46">
        <w:t xml:space="preserve">Support </w:t>
      </w:r>
      <w:r>
        <w:t>beigezogen werden</w:t>
      </w:r>
      <w:r w:rsidRPr="00E72DFD">
        <w:t>.</w:t>
      </w:r>
    </w:p>
    <w:p w14:paraId="199E6A50" w14:textId="1ACF0AA7" w:rsidR="00B749D2" w:rsidRPr="003965E4" w:rsidRDefault="00B749D2" w:rsidP="00B749D2">
      <w:pPr>
        <w:pStyle w:val="berschrift1"/>
        <w:spacing w:after="240"/>
        <w:rPr>
          <w:rFonts w:cs="Arial"/>
        </w:rPr>
      </w:pPr>
      <w:r>
        <w:rPr>
          <w:rFonts w:cs="Arial"/>
        </w:rPr>
        <w:t xml:space="preserve">Rückforderung wegen unrechtmässigem Bezug gemäss § </w:t>
      </w:r>
      <w:r w:rsidRPr="00E72DFD">
        <w:rPr>
          <w:rFonts w:cs="Arial"/>
        </w:rPr>
        <w:t>26</w:t>
      </w:r>
      <w:r w:rsidR="00E72DFD" w:rsidRPr="00E72DFD">
        <w:rPr>
          <w:rFonts w:cs="Arial"/>
        </w:rPr>
        <w:t xml:space="preserve"> lit. </w:t>
      </w:r>
      <w:r w:rsidR="00DE3CC9" w:rsidRPr="00E72DFD">
        <w:rPr>
          <w:rFonts w:cs="Arial"/>
        </w:rPr>
        <w:t>a</w:t>
      </w:r>
      <w:r w:rsidR="00DE3CC9">
        <w:rPr>
          <w:rFonts w:cs="Arial"/>
        </w:rPr>
        <w:t xml:space="preserve"> </w:t>
      </w:r>
      <w:r>
        <w:rPr>
          <w:rFonts w:cs="Arial"/>
        </w:rPr>
        <w:t>SHG</w:t>
      </w:r>
    </w:p>
    <w:p w14:paraId="1B19A919" w14:textId="67530303" w:rsidR="00B749D2" w:rsidRDefault="009C1956" w:rsidP="00B749D2">
      <w:r>
        <w:t xml:space="preserve">Grundsätzlich sind </w:t>
      </w:r>
      <w:r w:rsidR="0055445F">
        <w:t xml:space="preserve">die Gesamtumstände des Einzelfalls zu berücksichtigen, insbesondere ob der/die KL aus dem GBL bereits zusätzliche Leistungen bezahlt (z.B. Mietzinsdifferenz oder VVG, laufende Kosten eines Autos). Das wirkt sich auf die verbleibende Verfügungsfreiheit betreffend GBL, EFB und IZU aus. </w:t>
      </w:r>
      <w:r w:rsidR="00DE3CC9">
        <w:t xml:space="preserve">Sofern es mit Beweisen ausreichend belegt ist oder der </w:t>
      </w:r>
      <w:r w:rsidR="00DE3CC9">
        <w:lastRenderedPageBreak/>
        <w:t xml:space="preserve">KL den bestehenden begründeten Verdacht betreffend ihm zusätzlich zur Verfügung stehender, nicht deklarierter finanzieller </w:t>
      </w:r>
      <w:r w:rsidR="00163955">
        <w:t>Mittel</w:t>
      </w:r>
      <w:r w:rsidR="00DE3CC9">
        <w:t xml:space="preserve"> nicht mit an </w:t>
      </w:r>
      <w:r w:rsidR="00B54D30">
        <w:t xml:space="preserve">Sicherheit </w:t>
      </w:r>
      <w:r w:rsidR="00DE3CC9" w:rsidRPr="00E72DFD">
        <w:t>grenzender Wahrscheinlichkeit hat ausräumen können, ist ein Rückforderungsentscheid gestützt auf § 26</w:t>
      </w:r>
      <w:r w:rsidR="00E72DFD" w:rsidRPr="00E72DFD">
        <w:t xml:space="preserve"> lit. </w:t>
      </w:r>
      <w:r w:rsidR="00DE3CC9" w:rsidRPr="00E72DFD">
        <w:t>a SHG zu</w:t>
      </w:r>
      <w:r w:rsidR="00DE3CC9">
        <w:t xml:space="preserve"> erlassen.</w:t>
      </w:r>
    </w:p>
    <w:p w14:paraId="5721E81C" w14:textId="77777777" w:rsidR="00E219EF" w:rsidRPr="003965E4" w:rsidRDefault="00E219EF" w:rsidP="00B749D2"/>
    <w:sectPr w:rsidR="00E219EF" w:rsidRPr="003965E4" w:rsidSect="003415A9">
      <w:type w:val="continuous"/>
      <w:pgSz w:w="11906" w:h="16838" w:code="9"/>
      <w:pgMar w:top="1985" w:right="1134" w:bottom="567" w:left="1701" w:header="567" w:footer="227" w:gutter="0"/>
      <w:cols w:space="720"/>
      <w:formProt w:val="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647EDE" w16cid:durableId="2218B965"/>
  <w16cid:commentId w16cid:paraId="099FBCEB" w16cid:durableId="2218B57C"/>
  <w16cid:commentId w16cid:paraId="6D381D81" w16cid:durableId="2218B57B"/>
  <w16cid:commentId w16cid:paraId="7C12C436" w16cid:durableId="2218DEF5"/>
  <w16cid:commentId w16cid:paraId="692879F1" w16cid:durableId="2218E3B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CF5E4" w14:textId="77777777" w:rsidR="00210055" w:rsidRDefault="00210055">
      <w:r>
        <w:separator/>
      </w:r>
    </w:p>
    <w:p w14:paraId="20220884" w14:textId="77777777" w:rsidR="00210055" w:rsidRDefault="00210055"/>
  </w:endnote>
  <w:endnote w:type="continuationSeparator" w:id="0">
    <w:p w14:paraId="1EC2F6FC" w14:textId="77777777" w:rsidR="00210055" w:rsidRDefault="00210055">
      <w:r>
        <w:continuationSeparator/>
      </w:r>
    </w:p>
    <w:p w14:paraId="3889D7A5" w14:textId="77777777" w:rsidR="00210055" w:rsidRDefault="00210055"/>
  </w:endnote>
  <w:endnote w:type="continuationNotice" w:id="1">
    <w:p w14:paraId="1D6CB6C3" w14:textId="77777777" w:rsidR="00210055" w:rsidRDefault="002100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AE3DC1" w:rsidRPr="001D7A8E" w14:paraId="0EBEBA25" w14:textId="77777777">
      <w:trPr>
        <w:trHeight w:val="284"/>
      </w:trPr>
      <w:tc>
        <w:tcPr>
          <w:tcW w:w="5063" w:type="dxa"/>
        </w:tcPr>
        <w:p w14:paraId="15AAE8DF" w14:textId="11B18A54" w:rsidR="00AE3DC1" w:rsidRPr="001D7A8E" w:rsidRDefault="00AE3DC1" w:rsidP="00A96C38">
          <w:pPr>
            <w:pStyle w:val="Fuzeile"/>
            <w:tabs>
              <w:tab w:val="clear" w:pos="4536"/>
              <w:tab w:val="clear" w:pos="9072"/>
              <w:tab w:val="right" w:pos="8504"/>
            </w:tabs>
            <w:rPr>
              <w:sz w:val="17"/>
              <w:highlight w:val="yellow"/>
            </w:rPr>
          </w:pPr>
        </w:p>
      </w:tc>
      <w:tc>
        <w:tcPr>
          <w:tcW w:w="1430" w:type="dxa"/>
        </w:tcPr>
        <w:p w14:paraId="58B4832F" w14:textId="77777777" w:rsidR="00AE3DC1" w:rsidRPr="001D7A8E" w:rsidRDefault="00AE3DC1">
          <w:pPr>
            <w:pStyle w:val="Fuzeile"/>
            <w:tabs>
              <w:tab w:val="clear" w:pos="4536"/>
              <w:tab w:val="clear" w:pos="9072"/>
              <w:tab w:val="right" w:pos="8504"/>
            </w:tabs>
            <w:jc w:val="center"/>
            <w:rPr>
              <w:sz w:val="17"/>
              <w:highlight w:val="yellow"/>
            </w:rPr>
          </w:pPr>
        </w:p>
      </w:tc>
      <w:tc>
        <w:tcPr>
          <w:tcW w:w="2640" w:type="dxa"/>
        </w:tcPr>
        <w:p w14:paraId="2019898D" w14:textId="77777777" w:rsidR="00AE3DC1" w:rsidRPr="001D7A8E" w:rsidRDefault="00AE3DC1">
          <w:pPr>
            <w:pStyle w:val="Fuzeile"/>
            <w:tabs>
              <w:tab w:val="clear" w:pos="4536"/>
              <w:tab w:val="clear" w:pos="9072"/>
              <w:tab w:val="right" w:pos="8504"/>
            </w:tabs>
            <w:jc w:val="center"/>
            <w:rPr>
              <w:sz w:val="17"/>
              <w:highlight w:val="yellow"/>
              <w:lang w:val="de-DE"/>
            </w:rPr>
          </w:pPr>
        </w:p>
      </w:tc>
    </w:tr>
  </w:tbl>
  <w:p w14:paraId="45F7E1B3" w14:textId="77777777" w:rsidR="00AE3DC1" w:rsidRDefault="00AE3D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AE3DC1" w14:paraId="1151AD2A" w14:textId="77777777">
      <w:trPr>
        <w:trHeight w:val="284"/>
      </w:trPr>
      <w:tc>
        <w:tcPr>
          <w:tcW w:w="5063" w:type="dxa"/>
        </w:tcPr>
        <w:p w14:paraId="200CEDC0" w14:textId="03056CBD" w:rsidR="00AE3DC1" w:rsidRPr="00A96C38" w:rsidRDefault="00AE3DC1" w:rsidP="00A96C38">
          <w:pPr>
            <w:pStyle w:val="Fuzeile"/>
            <w:tabs>
              <w:tab w:val="clear" w:pos="4536"/>
              <w:tab w:val="clear" w:pos="9072"/>
              <w:tab w:val="right" w:pos="8504"/>
            </w:tabs>
            <w:rPr>
              <w:sz w:val="17"/>
              <w:szCs w:val="17"/>
            </w:rPr>
          </w:pPr>
          <w:r w:rsidRPr="00A96C38">
            <w:rPr>
              <w:sz w:val="17"/>
              <w:szCs w:val="17"/>
            </w:rPr>
            <w:t xml:space="preserve">PRA </w:t>
          </w:r>
          <w:r>
            <w:rPr>
              <w:sz w:val="17"/>
              <w:szCs w:val="17"/>
            </w:rPr>
            <w:t>Z</w:t>
          </w:r>
          <w:r w:rsidRPr="00A96C38">
            <w:rPr>
              <w:sz w:val="17"/>
              <w:szCs w:val="17"/>
            </w:rPr>
            <w:t>ahlungen durch K</w:t>
          </w:r>
          <w:r>
            <w:rPr>
              <w:sz w:val="17"/>
              <w:szCs w:val="17"/>
            </w:rPr>
            <w:t>L</w:t>
          </w:r>
          <w:r w:rsidRPr="00A96C38">
            <w:rPr>
              <w:sz w:val="17"/>
              <w:szCs w:val="17"/>
            </w:rPr>
            <w:t xml:space="preserve"> der WH an </w:t>
          </w:r>
          <w:r>
            <w:rPr>
              <w:sz w:val="17"/>
              <w:szCs w:val="17"/>
            </w:rPr>
            <w:t xml:space="preserve">oder zugunsten von </w:t>
          </w:r>
          <w:r w:rsidRPr="00A96C38">
            <w:rPr>
              <w:sz w:val="17"/>
              <w:szCs w:val="17"/>
            </w:rPr>
            <w:t>Dritten</w:t>
          </w:r>
        </w:p>
      </w:tc>
      <w:tc>
        <w:tcPr>
          <w:tcW w:w="1430" w:type="dxa"/>
        </w:tcPr>
        <w:p w14:paraId="2B09AD20" w14:textId="3A85D2F3" w:rsidR="00AE3DC1" w:rsidRDefault="00AE3DC1" w:rsidP="003965E4">
          <w:pPr>
            <w:pStyle w:val="Fuzeile"/>
            <w:tabs>
              <w:tab w:val="clear" w:pos="4536"/>
              <w:tab w:val="clear" w:pos="9072"/>
              <w:tab w:val="right" w:pos="8504"/>
            </w:tabs>
            <w:jc w:val="center"/>
            <w:rPr>
              <w:sz w:val="17"/>
            </w:rPr>
          </w:pPr>
          <w:r>
            <w:rPr>
              <w:sz w:val="17"/>
            </w:rPr>
            <w:t>Version 1.</w:t>
          </w:r>
          <w:r w:rsidR="00551505">
            <w:rPr>
              <w:sz w:val="17"/>
            </w:rPr>
            <w:t>1</w:t>
          </w:r>
        </w:p>
      </w:tc>
      <w:tc>
        <w:tcPr>
          <w:tcW w:w="2640" w:type="dxa"/>
        </w:tcPr>
        <w:p w14:paraId="2D437E51" w14:textId="77777777" w:rsidR="00AE3DC1" w:rsidRDefault="00AE3DC1" w:rsidP="003965E4">
          <w:pPr>
            <w:pStyle w:val="Fuzeile"/>
            <w:tabs>
              <w:tab w:val="clear" w:pos="4536"/>
              <w:tab w:val="clear" w:pos="9072"/>
              <w:tab w:val="right" w:pos="8504"/>
            </w:tabs>
            <w:jc w:val="right"/>
            <w:rPr>
              <w:sz w:val="17"/>
              <w:lang w:val="de-DE"/>
            </w:rPr>
          </w:pPr>
          <w:r>
            <w:rPr>
              <w:sz w:val="17"/>
              <w:lang w:val="de-DE"/>
            </w:rPr>
            <w:t>VerfasserIn: FS WH</w:t>
          </w:r>
        </w:p>
      </w:tc>
    </w:tr>
    <w:tr w:rsidR="00AE3DC1" w14:paraId="4944656F" w14:textId="77777777" w:rsidTr="00583D8F">
      <w:trPr>
        <w:trHeight w:val="284"/>
      </w:trPr>
      <w:tc>
        <w:tcPr>
          <w:tcW w:w="9133" w:type="dxa"/>
          <w:gridSpan w:val="3"/>
        </w:tcPr>
        <w:p w14:paraId="5F93EEFE" w14:textId="0DACE797" w:rsidR="00AE3DC1" w:rsidRDefault="00AE3DC1" w:rsidP="00551505">
          <w:pPr>
            <w:pStyle w:val="Fuzeile"/>
            <w:tabs>
              <w:tab w:val="clear" w:pos="4536"/>
              <w:tab w:val="clear" w:pos="9072"/>
              <w:tab w:val="right" w:pos="8504"/>
            </w:tabs>
            <w:rPr>
              <w:sz w:val="17"/>
              <w:lang w:val="de-DE"/>
            </w:rPr>
          </w:pPr>
          <w:r>
            <w:rPr>
              <w:sz w:val="17"/>
              <w:lang w:val="de-DE"/>
            </w:rPr>
            <w:t>© Copyright Soziale Dienste. Eine Weiterverwendung ist nur mit dem Zusatz «Soziale Dienste Stadt Zürich» erlaubt.</w:t>
          </w:r>
        </w:p>
      </w:tc>
    </w:tr>
  </w:tbl>
  <w:p w14:paraId="056CDF88" w14:textId="77777777" w:rsidR="00AE3DC1" w:rsidRDefault="00AE3DC1"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F0BCE" w14:textId="77777777" w:rsidR="00210055" w:rsidRDefault="00210055">
      <w:r>
        <w:separator/>
      </w:r>
    </w:p>
    <w:p w14:paraId="1134B20F" w14:textId="77777777" w:rsidR="00210055" w:rsidRDefault="00210055"/>
  </w:footnote>
  <w:footnote w:type="continuationSeparator" w:id="0">
    <w:p w14:paraId="626D5E13" w14:textId="77777777" w:rsidR="00210055" w:rsidRDefault="00210055">
      <w:r>
        <w:continuationSeparator/>
      </w:r>
    </w:p>
    <w:p w14:paraId="18BEE5C8" w14:textId="77777777" w:rsidR="00210055" w:rsidRDefault="00210055"/>
  </w:footnote>
  <w:footnote w:type="continuationNotice" w:id="1">
    <w:p w14:paraId="094EF908" w14:textId="77777777" w:rsidR="00210055" w:rsidRDefault="0021005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AE3DC1" w14:paraId="6F215977" w14:textId="77777777">
      <w:tc>
        <w:tcPr>
          <w:tcW w:w="7257" w:type="dxa"/>
          <w:gridSpan w:val="2"/>
        </w:tcPr>
        <w:p w14:paraId="55D466B5" w14:textId="77777777" w:rsidR="00AE3DC1" w:rsidRDefault="00AE3DC1">
          <w:pPr>
            <w:pStyle w:val="Kopfzeile"/>
            <w:tabs>
              <w:tab w:val="clear" w:pos="4536"/>
              <w:tab w:val="clear" w:pos="9072"/>
            </w:tabs>
            <w:rPr>
              <w:szCs w:val="22"/>
            </w:rPr>
          </w:pPr>
          <w:r>
            <w:rPr>
              <w:noProof/>
              <w:szCs w:val="22"/>
              <w:lang w:eastAsia="de-CH"/>
            </w:rPr>
            <w:drawing>
              <wp:inline distT="0" distB="0" distL="0" distR="0" wp14:anchorId="70CCE75B" wp14:editId="7FD4918E">
                <wp:extent cx="1352550" cy="276225"/>
                <wp:effectExtent l="0" t="0" r="0" b="0"/>
                <wp:docPr id="3"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p w14:paraId="507508CB" w14:textId="77777777" w:rsidR="00AE3DC1" w:rsidRDefault="00AE3DC1">
          <w:pPr>
            <w:pStyle w:val="Kopfzeile"/>
            <w:tabs>
              <w:tab w:val="clear" w:pos="4536"/>
              <w:tab w:val="clear" w:pos="9072"/>
            </w:tabs>
            <w:rPr>
              <w:szCs w:val="22"/>
            </w:rPr>
          </w:pPr>
        </w:p>
      </w:tc>
      <w:tc>
        <w:tcPr>
          <w:tcW w:w="2495" w:type="dxa"/>
        </w:tcPr>
        <w:p w14:paraId="34DF21D3" w14:textId="77777777" w:rsidR="00AE3DC1" w:rsidRDefault="00AE3DC1">
          <w:pPr>
            <w:pStyle w:val="Kopfzeile"/>
            <w:tabs>
              <w:tab w:val="clear" w:pos="4536"/>
              <w:tab w:val="clear" w:pos="9072"/>
            </w:tabs>
            <w:rPr>
              <w:sz w:val="17"/>
              <w:szCs w:val="17"/>
            </w:rPr>
          </w:pPr>
        </w:p>
      </w:tc>
    </w:tr>
    <w:tr w:rsidR="00AE3DC1" w14:paraId="12FBCB4E" w14:textId="77777777">
      <w:trPr>
        <w:trHeight w:val="210"/>
      </w:trPr>
      <w:tc>
        <w:tcPr>
          <w:tcW w:w="680" w:type="dxa"/>
        </w:tcPr>
        <w:p w14:paraId="6D7224D0" w14:textId="77777777" w:rsidR="00AE3DC1" w:rsidRDefault="00AE3DC1">
          <w:pPr>
            <w:pStyle w:val="Kopfzeile"/>
          </w:pPr>
        </w:p>
      </w:tc>
      <w:tc>
        <w:tcPr>
          <w:tcW w:w="9072" w:type="dxa"/>
          <w:gridSpan w:val="2"/>
        </w:tcPr>
        <w:p w14:paraId="4EFB1FB2" w14:textId="3218E471" w:rsidR="00AE3DC1" w:rsidRDefault="00AE3DC1">
          <w:pPr>
            <w:pStyle w:val="Kopfzeile"/>
          </w:pPr>
          <w:r>
            <w:fldChar w:fldCharType="begin"/>
          </w:r>
          <w:r>
            <w:instrText xml:space="preserve"> PAGE   \* MERGEFORMAT </w:instrText>
          </w:r>
          <w:r>
            <w:fldChar w:fldCharType="separate"/>
          </w:r>
          <w:r w:rsidR="00DB7996">
            <w:rPr>
              <w:noProof/>
            </w:rPr>
            <w:t>2</w:t>
          </w:r>
          <w:r>
            <w:fldChar w:fldCharType="end"/>
          </w:r>
          <w:r>
            <w:t>/</w:t>
          </w:r>
          <w:r w:rsidR="00DB7996">
            <w:fldChar w:fldCharType="begin"/>
          </w:r>
          <w:r w:rsidR="00DB7996">
            <w:instrText xml:space="preserve"> NUMPAGES   \* MERGEFORMAT </w:instrText>
          </w:r>
          <w:r w:rsidR="00DB7996">
            <w:fldChar w:fldCharType="separate"/>
          </w:r>
          <w:r w:rsidR="00DB7996">
            <w:rPr>
              <w:noProof/>
            </w:rPr>
            <w:t>4</w:t>
          </w:r>
          <w:r w:rsidR="00DB7996">
            <w:rPr>
              <w:noProof/>
            </w:rPr>
            <w:fldChar w:fldCharType="end"/>
          </w:r>
        </w:p>
      </w:tc>
    </w:tr>
  </w:tbl>
  <w:p w14:paraId="60B3286E" w14:textId="77777777" w:rsidR="00AE3DC1" w:rsidRDefault="00AE3DC1">
    <w:pPr>
      <w:pStyle w:val="Kopfzeile"/>
      <w:tabs>
        <w:tab w:val="clear" w:pos="4536"/>
        <w:tab w:val="clear" w:pos="9072"/>
      </w:tabs>
      <w:rPr>
        <w:sz w:val="2"/>
      </w:rPr>
    </w:pPr>
  </w:p>
  <w:p w14:paraId="5422ED89" w14:textId="77777777" w:rsidR="00AE3DC1" w:rsidRDefault="00AE3DC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AE3DC1" w14:paraId="5C50DE35" w14:textId="77777777">
      <w:tc>
        <w:tcPr>
          <w:tcW w:w="7257" w:type="dxa"/>
        </w:tcPr>
        <w:p w14:paraId="2E96BBE5" w14:textId="77777777" w:rsidR="00AE3DC1" w:rsidRDefault="00AE3DC1">
          <w:pPr>
            <w:pStyle w:val="Kopfzeile"/>
            <w:tabs>
              <w:tab w:val="clear" w:pos="4536"/>
              <w:tab w:val="clear" w:pos="9072"/>
            </w:tabs>
            <w:rPr>
              <w:szCs w:val="22"/>
            </w:rPr>
          </w:pPr>
          <w:r>
            <w:rPr>
              <w:noProof/>
              <w:szCs w:val="22"/>
              <w:lang w:eastAsia="de-CH"/>
            </w:rPr>
            <w:drawing>
              <wp:inline distT="0" distB="0" distL="0" distR="0" wp14:anchorId="18E0EC66" wp14:editId="07D9C99E">
                <wp:extent cx="1352550" cy="276225"/>
                <wp:effectExtent l="0" t="0" r="0" b="0"/>
                <wp:docPr id="4"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2495" w:type="dxa"/>
        </w:tcPr>
        <w:p w14:paraId="67B3159C" w14:textId="77777777" w:rsidR="00AE3DC1" w:rsidRDefault="00AE3DC1">
          <w:pPr>
            <w:pStyle w:val="Kopfzeile"/>
            <w:tabs>
              <w:tab w:val="clear" w:pos="4536"/>
              <w:tab w:val="clear" w:pos="9072"/>
            </w:tabs>
            <w:rPr>
              <w:sz w:val="17"/>
              <w:szCs w:val="17"/>
            </w:rPr>
          </w:pPr>
        </w:p>
      </w:tc>
    </w:tr>
    <w:tr w:rsidR="00AE3DC1" w14:paraId="56F42475" w14:textId="77777777">
      <w:tc>
        <w:tcPr>
          <w:tcW w:w="7257" w:type="dxa"/>
        </w:tcPr>
        <w:p w14:paraId="25697D9C" w14:textId="77777777" w:rsidR="00AE3DC1" w:rsidRDefault="00AE3DC1">
          <w:pPr>
            <w:pStyle w:val="Kopfzeile"/>
            <w:tabs>
              <w:tab w:val="clear" w:pos="4536"/>
              <w:tab w:val="clear" w:pos="9072"/>
            </w:tabs>
            <w:rPr>
              <w:szCs w:val="22"/>
            </w:rPr>
          </w:pPr>
        </w:p>
      </w:tc>
      <w:tc>
        <w:tcPr>
          <w:tcW w:w="2495" w:type="dxa"/>
        </w:tcPr>
        <w:p w14:paraId="5B0481CB" w14:textId="77777777" w:rsidR="00AE3DC1" w:rsidRDefault="00AE3DC1">
          <w:pPr>
            <w:pStyle w:val="Kopfzeile"/>
            <w:tabs>
              <w:tab w:val="clear" w:pos="4536"/>
              <w:tab w:val="clear" w:pos="9072"/>
            </w:tabs>
            <w:rPr>
              <w:noProof/>
              <w:sz w:val="17"/>
              <w:szCs w:val="17"/>
              <w:lang w:val="de-DE"/>
            </w:rPr>
          </w:pPr>
        </w:p>
      </w:tc>
    </w:tr>
  </w:tbl>
  <w:p w14:paraId="6F2782EE" w14:textId="77777777" w:rsidR="00AE3DC1" w:rsidRDefault="00AE3DC1">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28D0B87"/>
    <w:multiLevelType w:val="hybridMultilevel"/>
    <w:tmpl w:val="D9901E80"/>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CB65A6"/>
    <w:multiLevelType w:val="hybridMultilevel"/>
    <w:tmpl w:val="3C3401B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4303D6"/>
    <w:multiLevelType w:val="hybridMultilevel"/>
    <w:tmpl w:val="8AE63B6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D5540A"/>
    <w:multiLevelType w:val="hybridMultilevel"/>
    <w:tmpl w:val="42A2D060"/>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805031"/>
    <w:multiLevelType w:val="hybridMultilevel"/>
    <w:tmpl w:val="7F3806E6"/>
    <w:lvl w:ilvl="0" w:tplc="08070001">
      <w:start w:val="1"/>
      <w:numFmt w:val="bullet"/>
      <w:lvlText w:val=""/>
      <w:lvlJc w:val="left"/>
      <w:pPr>
        <w:ind w:left="783" w:hanging="360"/>
      </w:pPr>
      <w:rPr>
        <w:rFonts w:ascii="Symbol" w:hAnsi="Symbol" w:hint="default"/>
      </w:rPr>
    </w:lvl>
    <w:lvl w:ilvl="1" w:tplc="08070003">
      <w:start w:val="1"/>
      <w:numFmt w:val="bullet"/>
      <w:lvlText w:val="o"/>
      <w:lvlJc w:val="left"/>
      <w:pPr>
        <w:ind w:left="1503" w:hanging="360"/>
      </w:pPr>
      <w:rPr>
        <w:rFonts w:ascii="Courier New" w:hAnsi="Courier New" w:cs="Courier New" w:hint="default"/>
      </w:rPr>
    </w:lvl>
    <w:lvl w:ilvl="2" w:tplc="08070005">
      <w:start w:val="1"/>
      <w:numFmt w:val="bullet"/>
      <w:lvlText w:val=""/>
      <w:lvlJc w:val="left"/>
      <w:pPr>
        <w:ind w:left="2223" w:hanging="360"/>
      </w:pPr>
      <w:rPr>
        <w:rFonts w:ascii="Wingdings" w:hAnsi="Wingdings" w:hint="default"/>
      </w:rPr>
    </w:lvl>
    <w:lvl w:ilvl="3" w:tplc="08070001">
      <w:start w:val="1"/>
      <w:numFmt w:val="bullet"/>
      <w:lvlText w:val=""/>
      <w:lvlJc w:val="left"/>
      <w:pPr>
        <w:ind w:left="2943" w:hanging="360"/>
      </w:pPr>
      <w:rPr>
        <w:rFonts w:ascii="Symbol" w:hAnsi="Symbol" w:hint="default"/>
      </w:rPr>
    </w:lvl>
    <w:lvl w:ilvl="4" w:tplc="08070003">
      <w:start w:val="1"/>
      <w:numFmt w:val="bullet"/>
      <w:lvlText w:val="o"/>
      <w:lvlJc w:val="left"/>
      <w:pPr>
        <w:ind w:left="3663" w:hanging="360"/>
      </w:pPr>
      <w:rPr>
        <w:rFonts w:ascii="Courier New" w:hAnsi="Courier New" w:cs="Courier New" w:hint="default"/>
      </w:rPr>
    </w:lvl>
    <w:lvl w:ilvl="5" w:tplc="08070005">
      <w:start w:val="1"/>
      <w:numFmt w:val="bullet"/>
      <w:lvlText w:val=""/>
      <w:lvlJc w:val="left"/>
      <w:pPr>
        <w:ind w:left="4383" w:hanging="360"/>
      </w:pPr>
      <w:rPr>
        <w:rFonts w:ascii="Wingdings" w:hAnsi="Wingdings" w:hint="default"/>
      </w:rPr>
    </w:lvl>
    <w:lvl w:ilvl="6" w:tplc="08070001">
      <w:start w:val="1"/>
      <w:numFmt w:val="bullet"/>
      <w:lvlText w:val=""/>
      <w:lvlJc w:val="left"/>
      <w:pPr>
        <w:ind w:left="5103" w:hanging="360"/>
      </w:pPr>
      <w:rPr>
        <w:rFonts w:ascii="Symbol" w:hAnsi="Symbol" w:hint="default"/>
      </w:rPr>
    </w:lvl>
    <w:lvl w:ilvl="7" w:tplc="08070003">
      <w:start w:val="1"/>
      <w:numFmt w:val="bullet"/>
      <w:lvlText w:val="o"/>
      <w:lvlJc w:val="left"/>
      <w:pPr>
        <w:ind w:left="5823" w:hanging="360"/>
      </w:pPr>
      <w:rPr>
        <w:rFonts w:ascii="Courier New" w:hAnsi="Courier New" w:cs="Courier New" w:hint="default"/>
      </w:rPr>
    </w:lvl>
    <w:lvl w:ilvl="8" w:tplc="08070005">
      <w:start w:val="1"/>
      <w:numFmt w:val="bullet"/>
      <w:lvlText w:val=""/>
      <w:lvlJc w:val="left"/>
      <w:pPr>
        <w:ind w:left="6543" w:hanging="360"/>
      </w:pPr>
      <w:rPr>
        <w:rFonts w:ascii="Wingdings" w:hAnsi="Wingdings" w:hint="default"/>
      </w:rPr>
    </w:lvl>
  </w:abstractNum>
  <w:abstractNum w:abstractNumId="7"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8" w15:restartNumberingAfterBreak="0">
    <w:nsid w:val="11F92AE3"/>
    <w:multiLevelType w:val="hybridMultilevel"/>
    <w:tmpl w:val="FF12FB32"/>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2C8393A"/>
    <w:multiLevelType w:val="hybridMultilevel"/>
    <w:tmpl w:val="67C457C6"/>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807D2E"/>
    <w:multiLevelType w:val="hybridMultilevel"/>
    <w:tmpl w:val="57781C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5" w15:restartNumberingAfterBreak="0">
    <w:nsid w:val="5C6430BB"/>
    <w:multiLevelType w:val="hybridMultilevel"/>
    <w:tmpl w:val="46F0F94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C118A5"/>
    <w:multiLevelType w:val="hybridMultilevel"/>
    <w:tmpl w:val="74EAAB1C"/>
    <w:lvl w:ilvl="0" w:tplc="7CF68BE2">
      <w:start w:val="1"/>
      <w:numFmt w:val="bullet"/>
      <w:lvlText w:val=""/>
      <w:lvlJc w:val="left"/>
      <w:pPr>
        <w:tabs>
          <w:tab w:val="num" w:pos="340"/>
        </w:tabs>
        <w:ind w:left="340" w:hanging="34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93708C"/>
    <w:multiLevelType w:val="hybridMultilevel"/>
    <w:tmpl w:val="D44AAF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7"/>
  </w:num>
  <w:num w:numId="2">
    <w:abstractNumId w:val="11"/>
  </w:num>
  <w:num w:numId="3">
    <w:abstractNumId w:val="9"/>
  </w:num>
  <w:num w:numId="4">
    <w:abstractNumId w:val="13"/>
  </w:num>
  <w:num w:numId="5">
    <w:abstractNumId w:val="18"/>
  </w:num>
  <w:num w:numId="6">
    <w:abstractNumId w:val="10"/>
  </w:num>
  <w:num w:numId="7">
    <w:abstractNumId w:val="7"/>
  </w:num>
  <w:num w:numId="8">
    <w:abstractNumId w:val="1"/>
  </w:num>
  <w:num w:numId="9">
    <w:abstractNumId w:val="0"/>
  </w:num>
  <w:num w:numId="10">
    <w:abstractNumId w:val="15"/>
  </w:num>
  <w:num w:numId="11">
    <w:abstractNumId w:val="3"/>
  </w:num>
  <w:num w:numId="12">
    <w:abstractNumId w:val="4"/>
  </w:num>
  <w:num w:numId="13">
    <w:abstractNumId w:val="8"/>
  </w:num>
  <w:num w:numId="14">
    <w:abstractNumId w:val="2"/>
  </w:num>
  <w:num w:numId="15">
    <w:abstractNumId w:val="5"/>
  </w:num>
  <w:num w:numId="16">
    <w:abstractNumId w:val="16"/>
  </w:num>
  <w:num w:numId="17">
    <w:abstractNumId w:val="12"/>
  </w:num>
  <w:num w:numId="18">
    <w:abstractNumId w:val="14"/>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08"/>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EB5DCC"/>
    <w:rsid w:val="00051F38"/>
    <w:rsid w:val="000726F6"/>
    <w:rsid w:val="00073A59"/>
    <w:rsid w:val="000B0970"/>
    <w:rsid w:val="000D47EF"/>
    <w:rsid w:val="000E352A"/>
    <w:rsid w:val="00102807"/>
    <w:rsid w:val="001252CD"/>
    <w:rsid w:val="00147107"/>
    <w:rsid w:val="00163955"/>
    <w:rsid w:val="00177D6D"/>
    <w:rsid w:val="001D5294"/>
    <w:rsid w:val="001D7A8E"/>
    <w:rsid w:val="001E53B1"/>
    <w:rsid w:val="00210055"/>
    <w:rsid w:val="002129A1"/>
    <w:rsid w:val="00254EA7"/>
    <w:rsid w:val="00286E41"/>
    <w:rsid w:val="002B15BE"/>
    <w:rsid w:val="003256E8"/>
    <w:rsid w:val="003415A9"/>
    <w:rsid w:val="003465AE"/>
    <w:rsid w:val="00371C3F"/>
    <w:rsid w:val="00375FC2"/>
    <w:rsid w:val="003773E9"/>
    <w:rsid w:val="0039395A"/>
    <w:rsid w:val="0039444D"/>
    <w:rsid w:val="00396535"/>
    <w:rsid w:val="003965E4"/>
    <w:rsid w:val="003D36BA"/>
    <w:rsid w:val="003E4296"/>
    <w:rsid w:val="003E5FC8"/>
    <w:rsid w:val="00421D82"/>
    <w:rsid w:val="004312B8"/>
    <w:rsid w:val="00496206"/>
    <w:rsid w:val="004972B1"/>
    <w:rsid w:val="004A5756"/>
    <w:rsid w:val="005154F0"/>
    <w:rsid w:val="0053312E"/>
    <w:rsid w:val="005407B5"/>
    <w:rsid w:val="00551505"/>
    <w:rsid w:val="00551E46"/>
    <w:rsid w:val="0055445F"/>
    <w:rsid w:val="0056180C"/>
    <w:rsid w:val="0056456E"/>
    <w:rsid w:val="00565C40"/>
    <w:rsid w:val="00572646"/>
    <w:rsid w:val="00576B09"/>
    <w:rsid w:val="00583D8F"/>
    <w:rsid w:val="005B7BF1"/>
    <w:rsid w:val="005F2D85"/>
    <w:rsid w:val="00630FE9"/>
    <w:rsid w:val="00656C8E"/>
    <w:rsid w:val="0066309C"/>
    <w:rsid w:val="006B6D30"/>
    <w:rsid w:val="00711334"/>
    <w:rsid w:val="007461EE"/>
    <w:rsid w:val="00777B4A"/>
    <w:rsid w:val="007F39A3"/>
    <w:rsid w:val="00801AB0"/>
    <w:rsid w:val="00816095"/>
    <w:rsid w:val="00820DD6"/>
    <w:rsid w:val="0084442E"/>
    <w:rsid w:val="00873D0E"/>
    <w:rsid w:val="00882284"/>
    <w:rsid w:val="00887903"/>
    <w:rsid w:val="008A3866"/>
    <w:rsid w:val="008A7216"/>
    <w:rsid w:val="008D6D2D"/>
    <w:rsid w:val="0091245D"/>
    <w:rsid w:val="0094198C"/>
    <w:rsid w:val="009531C9"/>
    <w:rsid w:val="0099371D"/>
    <w:rsid w:val="009B4516"/>
    <w:rsid w:val="009C1956"/>
    <w:rsid w:val="009D0759"/>
    <w:rsid w:val="009F5D64"/>
    <w:rsid w:val="00A036BB"/>
    <w:rsid w:val="00A07947"/>
    <w:rsid w:val="00A207FC"/>
    <w:rsid w:val="00A455D4"/>
    <w:rsid w:val="00A63EF3"/>
    <w:rsid w:val="00A70898"/>
    <w:rsid w:val="00A96C38"/>
    <w:rsid w:val="00AC689C"/>
    <w:rsid w:val="00AD28AB"/>
    <w:rsid w:val="00AE3DC1"/>
    <w:rsid w:val="00AF08D6"/>
    <w:rsid w:val="00AF270C"/>
    <w:rsid w:val="00B0061A"/>
    <w:rsid w:val="00B050D5"/>
    <w:rsid w:val="00B055D0"/>
    <w:rsid w:val="00B21C06"/>
    <w:rsid w:val="00B40344"/>
    <w:rsid w:val="00B54D30"/>
    <w:rsid w:val="00B749D2"/>
    <w:rsid w:val="00B76738"/>
    <w:rsid w:val="00B92738"/>
    <w:rsid w:val="00B9507E"/>
    <w:rsid w:val="00BA26DB"/>
    <w:rsid w:val="00BA5B33"/>
    <w:rsid w:val="00BB4FE7"/>
    <w:rsid w:val="00BE226B"/>
    <w:rsid w:val="00BE6CCF"/>
    <w:rsid w:val="00C4705B"/>
    <w:rsid w:val="00C96430"/>
    <w:rsid w:val="00C96665"/>
    <w:rsid w:val="00CB7AC2"/>
    <w:rsid w:val="00CE182B"/>
    <w:rsid w:val="00D23EC3"/>
    <w:rsid w:val="00D954C6"/>
    <w:rsid w:val="00DA024F"/>
    <w:rsid w:val="00DB1927"/>
    <w:rsid w:val="00DB7996"/>
    <w:rsid w:val="00DE3CC9"/>
    <w:rsid w:val="00E06746"/>
    <w:rsid w:val="00E108B9"/>
    <w:rsid w:val="00E219EF"/>
    <w:rsid w:val="00E362A0"/>
    <w:rsid w:val="00E42809"/>
    <w:rsid w:val="00E62EF8"/>
    <w:rsid w:val="00E72DFD"/>
    <w:rsid w:val="00E91332"/>
    <w:rsid w:val="00EA122A"/>
    <w:rsid w:val="00EB5DCC"/>
    <w:rsid w:val="00ED498F"/>
    <w:rsid w:val="00F2332A"/>
    <w:rsid w:val="00F32113"/>
    <w:rsid w:val="00F367E5"/>
    <w:rsid w:val="00F47685"/>
    <w:rsid w:val="00F65B68"/>
    <w:rsid w:val="00F9606A"/>
    <w:rsid w:val="00FC5201"/>
    <w:rsid w:val="00FD519F"/>
    <w:rsid w:val="00FE7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93126BA"/>
  <w15:docId w15:val="{BC994DF2-B81A-4686-94CF-3953BD4D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qFormat/>
    <w:rsid w:val="003415A9"/>
    <w:pPr>
      <w:numPr>
        <w:numId w:val="1"/>
      </w:numPr>
      <w:shd w:val="clear" w:color="auto" w:fill="99CCFF"/>
      <w:tabs>
        <w:tab w:val="left" w:pos="709"/>
      </w:tabs>
      <w:spacing w:before="240" w:after="120"/>
      <w:ind w:left="431" w:hanging="431"/>
      <w:outlineLvl w:val="0"/>
    </w:pPr>
    <w:rPr>
      <w:rFonts w:cs="Times New Roman"/>
      <w:b/>
      <w:szCs w:val="24"/>
    </w:rPr>
  </w:style>
  <w:style w:type="paragraph" w:styleId="berschrift2">
    <w:name w:val="heading 2"/>
    <w:basedOn w:val="berschrift1"/>
    <w:next w:val="Absatz0"/>
    <w:qFormat/>
    <w:rsid w:val="003415A9"/>
    <w:pPr>
      <w:numPr>
        <w:ilvl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Hyperlink">
    <w:name w:val="Hyperlink"/>
    <w:rsid w:val="009B4516"/>
    <w:rPr>
      <w:color w:val="0000FF"/>
      <w:u w:val="single"/>
    </w:rPr>
  </w:style>
  <w:style w:type="character" w:customStyle="1" w:styleId="berschrift1Zchn">
    <w:name w:val="Überschrift 1 Zchn"/>
    <w:link w:val="berschrift1"/>
    <w:rsid w:val="009B4516"/>
    <w:rPr>
      <w:rFonts w:ascii="Arial" w:hAnsi="Arial"/>
      <w:b/>
      <w:sz w:val="22"/>
      <w:szCs w:val="24"/>
      <w:lang w:val="de-CH" w:eastAsia="de-DE" w:bidi="ar-SA"/>
    </w:rPr>
  </w:style>
  <w:style w:type="paragraph" w:customStyle="1" w:styleId="Default">
    <w:name w:val="Default"/>
    <w:rsid w:val="009B4516"/>
    <w:pPr>
      <w:autoSpaceDE w:val="0"/>
      <w:autoSpaceDN w:val="0"/>
      <w:adjustRightInd w:val="0"/>
    </w:pPr>
    <w:rPr>
      <w:rFonts w:ascii="Arial" w:hAnsi="Arial" w:cs="Arial"/>
      <w:color w:val="000000"/>
      <w:sz w:val="24"/>
      <w:szCs w:val="24"/>
    </w:rPr>
  </w:style>
  <w:style w:type="character" w:styleId="BesuchterLink">
    <w:name w:val="FollowedHyperlink"/>
    <w:rsid w:val="00E91332"/>
    <w:rPr>
      <w:color w:val="606420"/>
      <w:u w:val="single"/>
    </w:rPr>
  </w:style>
  <w:style w:type="paragraph" w:styleId="Kommentartext">
    <w:name w:val="annotation text"/>
    <w:basedOn w:val="Standard"/>
    <w:link w:val="KommentartextZchn"/>
    <w:uiPriority w:val="99"/>
    <w:semiHidden/>
    <w:unhideWhenUsed/>
    <w:rsid w:val="00A96C38"/>
    <w:rPr>
      <w:rFonts w:eastAsiaTheme="minorHAnsi" w:cstheme="minorBidi"/>
      <w:sz w:val="20"/>
      <w:lang w:eastAsia="en-US"/>
    </w:rPr>
  </w:style>
  <w:style w:type="character" w:customStyle="1" w:styleId="KommentartextZchn">
    <w:name w:val="Kommentartext Zchn"/>
    <w:basedOn w:val="Absatz-Standardschriftart"/>
    <w:link w:val="Kommentartext"/>
    <w:uiPriority w:val="99"/>
    <w:semiHidden/>
    <w:rsid w:val="00A96C38"/>
    <w:rPr>
      <w:rFonts w:ascii="Arial" w:eastAsiaTheme="minorHAnsi" w:hAnsi="Arial" w:cstheme="minorBidi"/>
      <w:lang w:eastAsia="en-US"/>
    </w:rPr>
  </w:style>
  <w:style w:type="paragraph" w:styleId="Listenabsatz">
    <w:name w:val="List Paragraph"/>
    <w:basedOn w:val="Standard"/>
    <w:uiPriority w:val="34"/>
    <w:qFormat/>
    <w:rsid w:val="00A96C38"/>
    <w:pPr>
      <w:spacing w:line="260" w:lineRule="atLeast"/>
      <w:ind w:left="720"/>
      <w:contextualSpacing/>
    </w:pPr>
    <w:rPr>
      <w:rFonts w:eastAsiaTheme="minorHAnsi" w:cstheme="minorBidi"/>
      <w:szCs w:val="22"/>
      <w:lang w:eastAsia="en-US"/>
    </w:rPr>
  </w:style>
  <w:style w:type="character" w:styleId="Kommentarzeichen">
    <w:name w:val="annotation reference"/>
    <w:basedOn w:val="Absatz-Standardschriftart"/>
    <w:uiPriority w:val="99"/>
    <w:semiHidden/>
    <w:unhideWhenUsed/>
    <w:rsid w:val="00A96C38"/>
    <w:rPr>
      <w:sz w:val="16"/>
      <w:szCs w:val="16"/>
    </w:rPr>
  </w:style>
  <w:style w:type="paragraph" w:styleId="Kommentarthema">
    <w:name w:val="annotation subject"/>
    <w:basedOn w:val="Kommentartext"/>
    <w:next w:val="Kommentartext"/>
    <w:link w:val="KommentarthemaZchn"/>
    <w:semiHidden/>
    <w:unhideWhenUsed/>
    <w:rsid w:val="0091245D"/>
    <w:rPr>
      <w:rFonts w:eastAsia="Times New Roman" w:cs="Arial"/>
      <w:b/>
      <w:bCs/>
      <w:lang w:eastAsia="de-DE"/>
    </w:rPr>
  </w:style>
  <w:style w:type="character" w:customStyle="1" w:styleId="KommentarthemaZchn">
    <w:name w:val="Kommentarthema Zchn"/>
    <w:basedOn w:val="KommentartextZchn"/>
    <w:link w:val="Kommentarthema"/>
    <w:semiHidden/>
    <w:rsid w:val="0091245D"/>
    <w:rPr>
      <w:rFonts w:ascii="Arial" w:eastAsiaTheme="minorHAnsi" w:hAnsi="Arial" w:cs="Arial"/>
      <w:b/>
      <w:bCs/>
      <w:lang w:eastAsia="de-DE"/>
    </w:rPr>
  </w:style>
  <w:style w:type="paragraph" w:styleId="berarbeitung">
    <w:name w:val="Revision"/>
    <w:hidden/>
    <w:uiPriority w:val="99"/>
    <w:semiHidden/>
    <w:rsid w:val="00177D6D"/>
    <w:rPr>
      <w:rFonts w:ascii="Arial" w:hAnsi="Arial" w:cs="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6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4.xml><?xml version="1.0" encoding="utf-8"?>
<?mso-contentType ?>
<customXsn xmlns="http://schemas.microsoft.com/office/2006/metadata/customXsn">
  <xsnLocation/>
  <cached>True</cached>
  <openByDefault>True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5</Value>
    </Zu_x0020_konsultierende_x002f_-s_x0020_Fachressort_x002f_-s>
    <Version_x0020_des_x0020_Dokuments xmlns="3905ffbc-9aeb-4d51-937e-ee1e2cf00671">1.1</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
        <AccountId xsi:nil="true"/>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5</Federführende_x002f_s_x0020_Fachressort_x002f_Einheit>
    <Herausgabe_x0020_bei_x0020_Informationszugangsgesuchen xmlns="f3b92940-74e1-4b32-811a-cd501d17ae23" xsi:nil="true"/>
    <SKOS-Kapitel xmlns="f3b92940-74e1-4b32-811a-cd501d17ae23">
      <Value>1</Value>
      <Value>4</Value>
      <Value>6</Value>
    </SKOS-Kapitel>
    <Fachkonzept xmlns="f3b92940-74e1-4b32-811a-cd501d17ae23">8</Fachkonzept>
    <Leistung xmlns="f3b92940-74e1-4b32-811a-cd501d17ae23" xsi:nil="true"/>
    <Gesetzliche_x0020_Grundlage xmlns="f3b92940-74e1-4b32-811a-cd501d17ae23" xsi:nil="true"/>
    <Thematische_x0020_Zuordnung_x0020_Fachressort_x0028_s_x0029_ xmlns="f3b92940-74e1-4b32-811a-cd501d17ae23">
      <Value>5</Value>
    </Thematische_x0020_Zuordnung_x0020_Fachressort_x0028_s_x0029_>
  </documentManagement>
</p:properties>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20D0C-5B34-4C1B-805C-B1AF08D61C15}">
  <ds:schemaRefs>
    <ds:schemaRef ds:uri="http://schemas.microsoft.com/sharepoint/v3/contenttype/forms"/>
  </ds:schemaRefs>
</ds:datastoreItem>
</file>

<file path=customXml/itemProps2.xml><?xml version="1.0" encoding="utf-8"?>
<ds:datastoreItem xmlns:ds="http://schemas.openxmlformats.org/officeDocument/2006/customXml" ds:itemID="{437154AF-F715-4415-A4EB-0509B11BF5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1EF670-FF16-41ED-B3A6-06141E4725A7}">
  <ds:schemaRefs>
    <ds:schemaRef ds:uri="http://schemas.microsoft.com/sharepoint/events"/>
  </ds:schemaRefs>
</ds:datastoreItem>
</file>

<file path=customXml/itemProps4.xml><?xml version="1.0" encoding="utf-8"?>
<ds:datastoreItem xmlns:ds="http://schemas.openxmlformats.org/officeDocument/2006/customXml" ds:itemID="{F00D877F-6A98-43A5-8B33-1D340175CD45}">
  <ds:schemaRefs>
    <ds:schemaRef ds:uri="http://schemas.microsoft.com/office/2006/metadata/customXsn"/>
  </ds:schemaRefs>
</ds:datastoreItem>
</file>

<file path=customXml/itemProps5.xml><?xml version="1.0" encoding="utf-8"?>
<ds:datastoreItem xmlns:ds="http://schemas.openxmlformats.org/officeDocument/2006/customXml" ds:itemID="{E776FEAB-801C-410C-A94F-5C0A85257EF8}">
  <ds:schemaRefs>
    <ds:schemaRef ds:uri="http://schemas.openxmlformats.org/package/2006/metadata/core-properties"/>
    <ds:schemaRef ds:uri="f3b92940-74e1-4b32-811a-cd501d17ae23"/>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3905ffbc-9aeb-4d51-937e-ee1e2cf00671"/>
    <ds:schemaRef ds:uri="http://www.w3.org/XML/1998/namespace"/>
    <ds:schemaRef ds:uri="http://purl.org/dc/dcmitype/"/>
  </ds:schemaRefs>
</ds:datastoreItem>
</file>

<file path=customXml/itemProps6.xml><?xml version="1.0" encoding="utf-8"?>
<ds:datastoreItem xmlns:ds="http://schemas.openxmlformats.org/officeDocument/2006/customXml" ds:itemID="{29F0DFB5-83CA-45BE-AEF8-B57F1305804E}">
  <ds:schemaRefs>
    <ds:schemaRef ds:uri="http://schemas.microsoft.com/office/2006/metadata/longProperties"/>
  </ds:schemaRefs>
</ds:datastoreItem>
</file>

<file path=customXml/itemProps7.xml><?xml version="1.0" encoding="utf-8"?>
<ds:datastoreItem xmlns:ds="http://schemas.openxmlformats.org/officeDocument/2006/customXml" ds:itemID="{B50D3D5A-2363-4F1E-B956-875077D7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1330</Words>
  <Characters>8385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PRA Geldzahlungen an Dritte</vt:lpstr>
    </vt:vector>
  </TitlesOfParts>
  <Company>Stadt Zürich</Company>
  <LinksUpToDate>false</LinksUpToDate>
  <CharactersWithSpaces>9696</CharactersWithSpaces>
  <SharedDoc>false</SharedDoc>
  <HLinks>
    <vt:vector size="18" baseType="variant">
      <vt:variant>
        <vt:i4>851981</vt:i4>
      </vt:variant>
      <vt:variant>
        <vt:i4>10</vt:i4>
      </vt:variant>
      <vt:variant>
        <vt:i4>0</vt:i4>
      </vt:variant>
      <vt:variant>
        <vt:i4>5</vt:i4>
      </vt:variant>
      <vt:variant>
        <vt:lpwstr>http://www.fahrzeugmarkt.ch/</vt:lpwstr>
      </vt:variant>
      <vt:variant>
        <vt:lpwstr/>
      </vt:variant>
      <vt:variant>
        <vt:i4>851981</vt:i4>
      </vt:variant>
      <vt:variant>
        <vt:i4>7</vt:i4>
      </vt:variant>
      <vt:variant>
        <vt:i4>0</vt:i4>
      </vt:variant>
      <vt:variant>
        <vt:i4>5</vt:i4>
      </vt:variant>
      <vt:variant>
        <vt:lpwstr>http://www.fahrzeugmarkt.ch/</vt:lpwstr>
      </vt:variant>
      <vt:variant>
        <vt:lpwstr/>
      </vt:variant>
      <vt:variant>
        <vt:i4>4063318</vt:i4>
      </vt:variant>
      <vt:variant>
        <vt:i4>4</vt:i4>
      </vt:variant>
      <vt:variant>
        <vt:i4>0</vt:i4>
      </vt:variant>
      <vt:variant>
        <vt:i4>5</vt:i4>
      </vt:variant>
      <vt:variant>
        <vt:lpwstr>http://sd.intra.stzh.ch/intranet/sd/sod/leistungen_intake/wirtschaftliche_sozialhilfe/SKOS_A.html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Geldzahlungen an Dritte</dc:title>
  <dc:creator>Gebhardt Carmen (SD)</dc:creator>
  <cp:lastModifiedBy>Nadine Grunder (sozgnn)</cp:lastModifiedBy>
  <cp:revision>2</cp:revision>
  <cp:lastPrinted>2015-10-08T08:16:00Z</cp:lastPrinted>
  <dcterms:created xsi:type="dcterms:W3CDTF">2021-06-21T05:31:00Z</dcterms:created>
  <dcterms:modified xsi:type="dcterms:W3CDTF">2021-06-21T05:31:00Z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0x01010012DCBF5558F0D14AB1FD168DE6C7A40C0100309021253101A04D9D9A7096FBAB356B</vt:lpwstr>
  </property>
  <property fmtid="{D5CDD505-2E9C-101B-9397-08002B2CF9AE}" pid="3" name="Link Ablageort im Intranet SOD">
    <vt:lpwstr/>
  </property>
  <property fmtid="{D5CDD505-2E9C-101B-9397-08002B2CF9AE}" pid="4" name="Dokumentenart">
    <vt:lpwstr>4</vt:lpwstr>
  </property>
  <property fmtid="{D5CDD505-2E9C-101B-9397-08002B2CF9AE}" pid="5" name="ContentType">
    <vt:lpwstr>Handlungsanweisung</vt:lpwstr>
  </property>
  <property fmtid="{D5CDD505-2E9C-101B-9397-08002B2CF9AE}" pid="6" name="Bemerkungen">
    <vt:lpwstr/>
  </property>
  <property fmtid="{D5CDD505-2E9C-101B-9397-08002B2CF9AE}" pid="7" name="Intranetverlinkung">
    <vt:lpwstr>Nein</vt:lpwstr>
  </property>
  <property fmtid="{D5CDD505-2E9C-101B-9397-08002B2CF9AE}" pid="8" name="1. Verschlagwortung durch">
    <vt:lpwstr/>
  </property>
  <property fmtid="{D5CDD505-2E9C-101B-9397-08002B2CF9AE}" pid="9" name="Datum 1. Verschlagwortung">
    <vt:lpwstr/>
  </property>
  <property fmtid="{D5CDD505-2E9C-101B-9397-08002B2CF9AE}" pid="10" name="Datum 2. Verschlagwortung">
    <vt:lpwstr/>
  </property>
  <property fmtid="{D5CDD505-2E9C-101B-9397-08002B2CF9AE}" pid="11" name="Kurzbeschreibung Dokument">
    <vt:lpwstr/>
  </property>
  <property fmtid="{D5CDD505-2E9C-101B-9397-08002B2CF9AE}" pid="12" name="Gültig von">
    <vt:lpwstr>2012-06-01T02:00:00Z</vt:lpwstr>
  </property>
  <property fmtid="{D5CDD505-2E9C-101B-9397-08002B2CF9AE}" pid="13" name="SKOS Kapitel">
    <vt:lpwstr>1;#A</vt:lpwstr>
  </property>
  <property fmtid="{D5CDD505-2E9C-101B-9397-08002B2CF9AE}" pid="14" name="Strategisch verantwortlich">
    <vt:lpwstr/>
  </property>
  <property fmtid="{D5CDD505-2E9C-101B-9397-08002B2CF9AE}" pid="15" name="Document Owner">
    <vt:lpwstr/>
  </property>
  <property fmtid="{D5CDD505-2E9C-101B-9397-08002B2CF9AE}" pid="16" name="2. Verschlagwortung durch">
    <vt:lpwstr/>
  </property>
  <property fmtid="{D5CDD505-2E9C-101B-9397-08002B2CF9AE}" pid="17" name="Inhaltliche Verknüpfungen">
    <vt:lpwstr/>
  </property>
  <property fmtid="{D5CDD505-2E9C-101B-9397-08002B2CF9AE}" pid="18" name="Spezialdienste">
    <vt:lpwstr/>
  </property>
  <property fmtid="{D5CDD505-2E9C-101B-9397-08002B2CF9AE}" pid="19" name="Zielgruppe(n)">
    <vt:lpwstr/>
  </property>
  <property fmtid="{D5CDD505-2E9C-101B-9397-08002B2CF9AE}" pid="20" name="Thema">
    <vt:lpwstr/>
  </property>
  <property fmtid="{D5CDD505-2E9C-101B-9397-08002B2CF9AE}" pid="21" name="display_urn:schemas-microsoft-com:office:office#Editor">
    <vt:lpwstr>Hohermuth Ivo (SD)</vt:lpwstr>
  </property>
  <property fmtid="{D5CDD505-2E9C-101B-9397-08002B2CF9AE}" pid="22" name="TemplateUrl">
    <vt:lpwstr/>
  </property>
  <property fmtid="{D5CDD505-2E9C-101B-9397-08002B2CF9AE}" pid="23" name="Order">
    <vt:r8>49400</vt:r8>
  </property>
  <property fmtid="{D5CDD505-2E9C-101B-9397-08002B2CF9AE}" pid="24" name="xd_ProgID">
    <vt:lpwstr/>
  </property>
  <property fmtid="{D5CDD505-2E9C-101B-9397-08002B2CF9AE}" pid="25" name="display_urn:schemas-microsoft-com:office:office#Author">
    <vt:lpwstr>Hohermuth Ivo (SD)</vt:lpwstr>
  </property>
  <property fmtid="{D5CDD505-2E9C-101B-9397-08002B2CF9AE}" pid="26" name="Gesetzliche Grundlage">
    <vt:lpwstr/>
  </property>
  <property fmtid="{D5CDD505-2E9C-101B-9397-08002B2CF9AE}" pid="27" name="_dlc_DocId">
    <vt:lpwstr>SDSOD-119-837</vt:lpwstr>
  </property>
  <property fmtid="{D5CDD505-2E9C-101B-9397-08002B2CF9AE}" pid="28" name="_dlc_DocIdItemGuid">
    <vt:lpwstr>c28584f5-495f-4eb9-ba2c-9771fc723ae6</vt:lpwstr>
  </property>
  <property fmtid="{D5CDD505-2E9C-101B-9397-08002B2CF9AE}" pid="29" name="_dlc_DocIdUrl">
    <vt:lpwstr>http://portal.sd.intra.stzh.ch/sod/regelwerk/_layouts/DocIdRedir.aspx?ID=SDSOD-119-837, SDSOD-119-837</vt:lpwstr>
  </property>
  <property fmtid="{D5CDD505-2E9C-101B-9397-08002B2CF9AE}" pid="30" name="WorkflowChangePath">
    <vt:lpwstr>52675646-02d6-422a-bf6f-0a8dd6281eff,6;52675646-02d6-422a-bf6f-0a8dd6281eff,8;0d2b39e8-dd18-4502-a924-40335b5a9ad4,10;0d2b39e8-dd18-4502-a924-40335b5a9ad4,12;498d860f-cbd0-4500-a53b-08f6ed17cb6e,4;7dbe9e3d-1110-41fa-836b-195a3e49061c,6;7dbe9e3d-1110-41fa-</vt:lpwstr>
  </property>
  <property fmtid="{D5CDD505-2E9C-101B-9397-08002B2CF9AE}" pid="31" name="Fachkonzept">
    <vt:lpwstr>8;#Einzelfallhilfe;#9;#WSH</vt:lpwstr>
  </property>
  <property fmtid="{D5CDD505-2E9C-101B-9397-08002B2CF9AE}" pid="32" name="Fachressorts">
    <vt:lpwstr>5;#Wirtschaftliche Hilfe</vt:lpwstr>
  </property>
  <property fmtid="{D5CDD505-2E9C-101B-9397-08002B2CF9AE}" pid="33" name="Dokumentenart0">
    <vt:lpwstr>5</vt:lpwstr>
  </property>
  <property fmtid="{D5CDD505-2E9C-101B-9397-08002B2CF9AE}" pid="34" name="Dokumentenstatus">
    <vt:lpwstr>3</vt:lpwstr>
  </property>
  <property fmtid="{D5CDD505-2E9C-101B-9397-08002B2CF9AE}" pid="35" name="Verantwortliche/r Autor/in">
    <vt:lpwstr/>
  </property>
  <property fmtid="{D5CDD505-2E9C-101B-9397-08002B2CF9AE}" pid="36" name="Federführende/s Fachressort/Einheit">
    <vt:lpwstr>5</vt:lpwstr>
  </property>
  <property fmtid="{D5CDD505-2E9C-101B-9397-08002B2CF9AE}" pid="37" name="Zu konsultierende/-s Fachressort/-s">
    <vt:lpwstr>5;#</vt:lpwstr>
  </property>
  <property fmtid="{D5CDD505-2E9C-101B-9397-08002B2CF9AE}" pid="38" name="IntraZueriMandant">
    <vt:lpwstr>1;#SOD|d2ca4cc4-367d-4a9a-a3b2-38906409b4ae</vt:lpwstr>
  </property>
  <property fmtid="{D5CDD505-2E9C-101B-9397-08002B2CF9AE}" pid="39" name="ka528af28a094f5abf754d5f0fa26795">
    <vt:lpwstr>SOD|d2ca4cc4-367d-4a9a-a3b2-38906409b4ae</vt:lpwstr>
  </property>
  <property fmtid="{D5CDD505-2E9C-101B-9397-08002B2CF9AE}" pid="40" name="Kontaktperson für SOD KOM">
    <vt:lpwstr/>
  </property>
  <property fmtid="{D5CDD505-2E9C-101B-9397-08002B2CF9AE}" pid="41" name="Herausgabe bei Informationszugangsgesuchen">
    <vt:lpwstr>kann herausgegeben werden</vt:lpwstr>
  </property>
  <property fmtid="{D5CDD505-2E9C-101B-9397-08002B2CF9AE}" pid="42" name="SKOS-Kapitel">
    <vt:lpwstr>1;#;#5;#</vt:lpwstr>
  </property>
  <property fmtid="{D5CDD505-2E9C-101B-9397-08002B2CF9AE}" pid="43" name="Thematische Zuordnung Fachressort(s)">
    <vt:lpwstr>5;#</vt:lpwstr>
  </property>
</Properties>
</file>