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7F6F1D" w14:paraId="291270AE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2B72A1FB" w14:textId="77777777" w:rsidR="007F6F1D" w:rsidRDefault="00A3502F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bookmarkStart w:id="0" w:name="_GoBack"/>
            <w:bookmarkEnd w:id="0"/>
            <w:r>
              <w:t>Z</w:t>
            </w:r>
            <w:bookmarkStart w:id="1" w:name="Text3"/>
            <w:r>
              <w:t xml:space="preserve">uordnung: </w:t>
            </w:r>
          </w:p>
        </w:tc>
        <w:bookmarkEnd w:id="1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67BCF345" w14:textId="77777777" w:rsidR="007F6F1D" w:rsidRDefault="00A3502F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Praxishilfe</w:t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56CD9D25" w14:textId="77777777" w:rsidR="007F6F1D" w:rsidRDefault="00A3502F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 xml:space="preserve">Gültig ab: </w:t>
            </w:r>
          </w:p>
        </w:tc>
      </w:tr>
      <w:tr w:rsidR="007F6F1D" w14:paraId="13DA3B4A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3798DB1" w14:textId="77777777" w:rsidR="007F6F1D" w:rsidRDefault="00A3502F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</w:pPr>
            <w:r>
              <w:rPr>
                <w:b w:val="0"/>
                <w:bCs/>
                <w:sz w:val="20"/>
              </w:rPr>
              <w:t>Barauszahlungen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293D87E8" w14:textId="77777777" w:rsidR="007F6F1D" w:rsidRDefault="007F6F1D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3893A97F" w14:textId="77777777" w:rsidR="007F6F1D" w:rsidRDefault="00A3502F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</w:pPr>
            <w:r>
              <w:rPr>
                <w:b w:val="0"/>
                <w:bCs/>
                <w:sz w:val="20"/>
              </w:rPr>
              <w:t>1.4.2007</w:t>
            </w:r>
          </w:p>
        </w:tc>
      </w:tr>
      <w:tr w:rsidR="007F6F1D" w14:paraId="363A5238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214AAB" w14:textId="77777777" w:rsidR="007F6F1D" w:rsidRDefault="00A3502F">
            <w:pPr>
              <w:pStyle w:val="WeisungKopfteil"/>
              <w:framePr w:hSpace="0" w:wrap="auto" w:vAnchor="margin" w:hAnchor="text" w:xAlign="left" w:yAlign="inline"/>
            </w:pPr>
            <w:r>
              <w:t>Identitätsnachweis bei Barauszahlungen an der Stadtkasse</w:t>
            </w:r>
          </w:p>
        </w:tc>
      </w:tr>
    </w:tbl>
    <w:p w14:paraId="76710ED9" w14:textId="77777777" w:rsidR="007F6F1D" w:rsidRDefault="007F6F1D">
      <w:pPr>
        <w:pStyle w:val="Absatz0"/>
      </w:pPr>
    </w:p>
    <w:p w14:paraId="6A53993C" w14:textId="77777777" w:rsidR="007F6F1D" w:rsidRDefault="00A3502F">
      <w:pPr>
        <w:pStyle w:val="Absatz0"/>
      </w:pPr>
      <w:r>
        <w:t>Gemäss Finanzverwaltung der Stadt Zürich</w:t>
      </w:r>
    </w:p>
    <w:p w14:paraId="242A7D1F" w14:textId="77777777" w:rsidR="007F6F1D" w:rsidRDefault="00A3502F">
      <w:pPr>
        <w:pStyle w:val="berschrift1"/>
      </w:pPr>
      <w:r>
        <w:t>Art. 1</w:t>
      </w:r>
      <w:r>
        <w:tab/>
        <w:t>Gültige Ausweise:</w:t>
      </w:r>
    </w:p>
    <w:p w14:paraId="0D0EDE70" w14:textId="77777777" w:rsidR="007F6F1D" w:rsidRDefault="00A3502F">
      <w:pPr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>Folgende Ausweise werden an der Stadtkasse als Identifikationsausweis akzeptiert:</w:t>
      </w:r>
    </w:p>
    <w:p w14:paraId="0E782FCE" w14:textId="77777777" w:rsidR="007F6F1D" w:rsidRDefault="007F6F1D">
      <w:pPr>
        <w:spacing w:before="100" w:beforeAutospacing="1" w:after="100" w:afterAutospacing="1"/>
        <w:rPr>
          <w:b/>
          <w:bCs/>
          <w:color w:val="000000"/>
          <w:u w:val="single"/>
        </w:rPr>
      </w:pPr>
    </w:p>
    <w:p w14:paraId="33CE9F65" w14:textId="77777777" w:rsidR="007F6F1D" w:rsidRDefault="00A3502F">
      <w:pPr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b/>
          <w:bCs/>
          <w:color w:val="000000"/>
          <w:u w:val="single"/>
        </w:rPr>
        <w:t>Gruppe A</w:t>
      </w:r>
      <w:r>
        <w:rPr>
          <w:b/>
          <w:bCs/>
          <w:color w:val="000000"/>
        </w:rPr>
        <w:t xml:space="preserve"> (mit Lichtbild)</w:t>
      </w:r>
    </w:p>
    <w:p w14:paraId="18C5A9F4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Reise-Pass (bis max. 5 Jahre nach Gültigkeitsdatum) </w:t>
      </w:r>
    </w:p>
    <w:p w14:paraId="7215BB52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Eidgenössischer Reiseausweis </w:t>
      </w:r>
    </w:p>
    <w:p w14:paraId="46C03625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„Laissez passer“ </w:t>
      </w:r>
    </w:p>
    <w:p w14:paraId="56E9FEEF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Führerausweise </w:t>
      </w:r>
    </w:p>
    <w:p w14:paraId="69E5FA54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Gültige Identitätskarten (bei AusländerIn: amtl. Personalausweis) </w:t>
      </w:r>
    </w:p>
    <w:p w14:paraId="36C14ABF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Ausländerausweis A, B, C, F, G, L, N </w:t>
      </w:r>
    </w:p>
    <w:p w14:paraId="305D603F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Bescheinigung des Asylgesuche </w:t>
      </w:r>
    </w:p>
    <w:p w14:paraId="09422915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Identifikationskarte der Sozialen Dienste der Stadt Zürich </w:t>
      </w:r>
    </w:p>
    <w:p w14:paraId="4A2EB616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Identifikationskarte der Amtsvormunde </w:t>
      </w:r>
    </w:p>
    <w:p w14:paraId="7D0C5151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Personalausweis städtischer Amtsstellen </w:t>
      </w:r>
    </w:p>
    <w:p w14:paraId="5C987CC5" w14:textId="77777777" w:rsidR="007F6F1D" w:rsidRDefault="007F6F1D">
      <w:pPr>
        <w:spacing w:before="100" w:beforeAutospacing="1" w:after="100" w:afterAutospacing="1"/>
        <w:rPr>
          <w:b/>
          <w:bCs/>
          <w:color w:val="000000"/>
          <w:u w:val="single"/>
        </w:rPr>
      </w:pPr>
    </w:p>
    <w:p w14:paraId="60F7846E" w14:textId="77777777" w:rsidR="007F6F1D" w:rsidRDefault="00A3502F">
      <w:pPr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b/>
          <w:bCs/>
          <w:color w:val="000000"/>
          <w:u w:val="single"/>
        </w:rPr>
        <w:t>Gruppe B</w:t>
      </w:r>
      <w:r>
        <w:rPr>
          <w:b/>
          <w:bCs/>
          <w:color w:val="000000"/>
        </w:rPr>
        <w:t xml:space="preserve"> (ohne Lichtbild)</w:t>
      </w:r>
    </w:p>
    <w:p w14:paraId="12A05B43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color w:val="000000"/>
        </w:rPr>
      </w:pPr>
      <w:r>
        <w:rPr>
          <w:color w:val="000000"/>
        </w:rPr>
        <w:t xml:space="preserve">Niederlassungsbewilligung </w:t>
      </w:r>
    </w:p>
    <w:p w14:paraId="2CD9D103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color w:val="000000"/>
        </w:rPr>
      </w:pPr>
      <w:r>
        <w:rPr>
          <w:color w:val="000000"/>
        </w:rPr>
        <w:t xml:space="preserve">Anmeldebestätigung (Schriftenempfangsschein) </w:t>
      </w:r>
    </w:p>
    <w:p w14:paraId="3B34385B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color w:val="000000"/>
        </w:rPr>
      </w:pPr>
      <w:r>
        <w:rPr>
          <w:color w:val="000000"/>
        </w:rPr>
        <w:t xml:space="preserve">Personalausweis für StadtbürgerInnen </w:t>
      </w:r>
    </w:p>
    <w:p w14:paraId="5D62D3D9" w14:textId="77777777" w:rsidR="007F6F1D" w:rsidRDefault="00A3502F">
      <w:pPr>
        <w:numPr>
          <w:ilvl w:val="0"/>
          <w:numId w:val="8"/>
        </w:numPr>
        <w:tabs>
          <w:tab w:val="clear" w:pos="516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Personalausweis städtischer Amtsstellen </w:t>
      </w:r>
    </w:p>
    <w:p w14:paraId="33660F0A" w14:textId="77777777" w:rsidR="007F6F1D" w:rsidRDefault="007F6F1D">
      <w:pPr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</w:p>
    <w:p w14:paraId="6D5BB8FD" w14:textId="77777777" w:rsidR="007F6F1D" w:rsidRDefault="00A3502F">
      <w:pPr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>Die Aufzählung ist abschliessend.</w:t>
      </w:r>
    </w:p>
    <w:p w14:paraId="72D4B140" w14:textId="77777777" w:rsidR="007F6F1D" w:rsidRDefault="00A3502F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br w:type="page"/>
      </w:r>
    </w:p>
    <w:p w14:paraId="64A0E14E" w14:textId="77777777" w:rsidR="007F6F1D" w:rsidRDefault="00A3502F">
      <w:pPr>
        <w:pStyle w:val="berschrift1"/>
      </w:pPr>
      <w:r>
        <w:lastRenderedPageBreak/>
        <w:t>Art. 2</w:t>
      </w:r>
      <w:r>
        <w:tab/>
        <w:t>Betragliche Limitierung</w:t>
      </w:r>
    </w:p>
    <w:p w14:paraId="0AF04D53" w14:textId="77777777" w:rsidR="007F6F1D" w:rsidRDefault="00A3502F">
      <w:pPr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>Ausweise gemäss Gruppe A finden Verwendung für Bezüge in unlimitierter Höhe. Identifikationsdokumente gemäss Gruppe B werden lediglich bis zu einer Betragshöhe von Fr. 100 anerkannt.</w:t>
      </w:r>
    </w:p>
    <w:p w14:paraId="3FD3106A" w14:textId="77777777" w:rsidR="007F6F1D" w:rsidRDefault="00A3502F">
      <w:pPr>
        <w:pStyle w:val="berschrift1"/>
        <w:ind w:left="431" w:hanging="431"/>
      </w:pPr>
      <w:r>
        <w:t>Art. 3</w:t>
      </w:r>
      <w:r>
        <w:tab/>
        <w:t>Besonderheiten</w:t>
      </w:r>
    </w:p>
    <w:p w14:paraId="1F29933E" w14:textId="77777777" w:rsidR="007F6F1D" w:rsidRDefault="00A3502F">
      <w:pPr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>Barauszahlungsbelege der Sozialen Dienste dürfen nur akzeptiert werden, wenn sie mit einer Sicherheitsetikette der Sozialen Dienste versehen sind. Pro Beleg dürfen maximal 3'000 Franken ausbezahlt werden.</w:t>
      </w:r>
    </w:p>
    <w:p w14:paraId="1902781C" w14:textId="77777777" w:rsidR="007F6F1D" w:rsidRDefault="00A3502F">
      <w:pPr>
        <w:pStyle w:val="berschrift1"/>
        <w:ind w:left="431" w:hanging="431"/>
      </w:pPr>
      <w:r>
        <w:t>Art. 4</w:t>
      </w:r>
      <w:r>
        <w:tab/>
        <w:t>Vollmachten</w:t>
      </w:r>
    </w:p>
    <w:p w14:paraId="0EC681B2" w14:textId="77777777" w:rsidR="007F6F1D" w:rsidRDefault="00A3502F">
      <w:pPr>
        <w:keepLines/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>Für Barauszahlungen werden ausschliesslich Vollmachten anerkannt, deren Unterschriften amtlich beglaubigt sind. Der/die Bevollmächtigte hat sich zudem am Schalter mit einem der in Art. 1 aufgeführten Ausweise zu identifizieren. Die beiden Bedingungen sind kumulaltiv zu erfüllen, andernfalls ist das Guthaben der begünstigten Person auf ihr persönliches Bank- oder Postkonto anzuweisen.</w:t>
      </w:r>
    </w:p>
    <w:p w14:paraId="706A53FE" w14:textId="77777777" w:rsidR="007F6F1D" w:rsidRDefault="00A3502F">
      <w:pPr>
        <w:pStyle w:val="berschrift1"/>
        <w:ind w:left="431" w:hanging="431"/>
      </w:pPr>
      <w:r>
        <w:t>Art. 5</w:t>
      </w:r>
      <w:r>
        <w:tab/>
        <w:t>Ausweiskopien</w:t>
      </w:r>
    </w:p>
    <w:p w14:paraId="3A25184E" w14:textId="77777777" w:rsidR="007F6F1D" w:rsidRDefault="00A3502F">
      <w:pPr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Es werden nur notariell beglaubigte Ausweiskopien anerkannt. Fotokopien von Ausweisen - mit oder ohne Stempel und Unterschrift der für die Unterstützungszahlung zuständigen Person, wie auch Bestätigungen von anderen Amtstellen (z.B. Bevölkerungsamt, Migrationsstelle des Kantons Zürich etc.) – gelten nicht  als gültiger Identitätsnachweis. </w:t>
      </w:r>
    </w:p>
    <w:p w14:paraId="3C224ADE" w14:textId="77777777" w:rsidR="007F6F1D" w:rsidRDefault="00A3502F">
      <w:pPr>
        <w:pStyle w:val="berschrift1"/>
        <w:ind w:left="431" w:hanging="431"/>
      </w:pPr>
      <w:r>
        <w:t>Art. 6</w:t>
      </w:r>
      <w:r>
        <w:tab/>
        <w:t>Identitätsvermerk</w:t>
      </w:r>
    </w:p>
    <w:p w14:paraId="0A9EFB05" w14:textId="77777777" w:rsidR="007F6F1D" w:rsidRDefault="00A3502F">
      <w:pPr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>Die vorgelegten Ausweisschriften sind auf den Auszahlungsbelegen</w:t>
      </w:r>
      <w:r>
        <w:rPr>
          <w:color w:val="000000"/>
        </w:rPr>
        <w:br/>
        <w:t>zwingend zu vermerken, sofern der/die Begünstigte dem Kassier bzw. der Kassierin nicht persönlich bekannt ist.</w:t>
      </w:r>
      <w:r>
        <w:rPr>
          <w:color w:val="000000"/>
        </w:rPr>
        <w:tab/>
      </w:r>
    </w:p>
    <w:p w14:paraId="1010B687" w14:textId="77777777" w:rsidR="007F6F1D" w:rsidRDefault="00A3502F">
      <w:pPr>
        <w:pStyle w:val="Textkrper-Zeileneinzug"/>
        <w:spacing w:before="0" w:beforeAutospacing="0" w:after="0" w:afterAutospacing="0"/>
      </w:pPr>
      <w:r>
        <w:t>Als Identitätsvermerke sind aufzuführen</w:t>
      </w:r>
    </w:p>
    <w:p w14:paraId="6C3705FF" w14:textId="77777777" w:rsidR="007F6F1D" w:rsidRDefault="00A3502F">
      <w:pPr>
        <w:numPr>
          <w:ilvl w:val="0"/>
          <w:numId w:val="10"/>
        </w:numPr>
        <w:tabs>
          <w:tab w:val="clear" w:pos="720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die Ausweisart </w:t>
      </w:r>
    </w:p>
    <w:p w14:paraId="15EE073E" w14:textId="77777777" w:rsidR="007F6F1D" w:rsidRDefault="00A3502F">
      <w:pPr>
        <w:numPr>
          <w:ilvl w:val="0"/>
          <w:numId w:val="10"/>
        </w:numPr>
        <w:tabs>
          <w:tab w:val="clear" w:pos="720"/>
          <w:tab w:val="num" w:pos="440"/>
        </w:tabs>
        <w:spacing w:before="100" w:beforeAutospacing="1" w:after="100" w:afterAutospacing="1"/>
        <w:ind w:left="440" w:hanging="440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 xml:space="preserve">die Ausweisnummer </w:t>
      </w:r>
    </w:p>
    <w:p w14:paraId="679895E2" w14:textId="77777777" w:rsidR="007F6F1D" w:rsidRDefault="00A3502F">
      <w:pPr>
        <w:numPr>
          <w:ilvl w:val="0"/>
          <w:numId w:val="10"/>
        </w:numPr>
        <w:tabs>
          <w:tab w:val="clear" w:pos="720"/>
          <w:tab w:val="num" w:pos="440"/>
        </w:tabs>
        <w:spacing w:before="100" w:beforeAutospacing="1" w:after="100" w:afterAutospacing="1"/>
        <w:ind w:left="440" w:hanging="4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Ausstellungsdatum </w:t>
      </w:r>
    </w:p>
    <w:p w14:paraId="63BB006D" w14:textId="77777777" w:rsidR="007F6F1D" w:rsidRDefault="007F6F1D">
      <w:pPr>
        <w:pStyle w:val="Kopfzeile"/>
        <w:tabs>
          <w:tab w:val="left" w:pos="550"/>
        </w:tabs>
      </w:pPr>
    </w:p>
    <w:p w14:paraId="180C4312" w14:textId="77777777" w:rsidR="007F6F1D" w:rsidRDefault="00A3502F">
      <w:pPr>
        <w:pStyle w:val="Kopfzeile"/>
        <w:tabs>
          <w:tab w:val="left" w:pos="550"/>
        </w:tabs>
      </w:pPr>
      <w:r>
        <w:t>Ist der/die Begünstigte dem Kassier bzw. der Kassierin persönlich bekannt, wird dies entsprechend vermerkt und visiert.</w:t>
      </w:r>
    </w:p>
    <w:p w14:paraId="2975CB7A" w14:textId="77777777" w:rsidR="007F6F1D" w:rsidRDefault="00A3502F">
      <w:pPr>
        <w:pStyle w:val="berschrift1"/>
      </w:pPr>
      <w:r>
        <w:t>Art. 7</w:t>
      </w:r>
      <w:r>
        <w:tab/>
        <w:t>Gültigkeit</w:t>
      </w:r>
    </w:p>
    <w:p w14:paraId="270BDB2B" w14:textId="77777777" w:rsidR="007F6F1D" w:rsidRDefault="00A3502F">
      <w:pPr>
        <w:spacing w:before="100" w:beforeAutospacing="1" w:after="100" w:afterAutospacing="1"/>
        <w:ind w:firstLine="24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>Diese Anweisung tritt per 1. März 2005 in Kraft.</w:t>
      </w:r>
      <w:r>
        <w:rPr>
          <w:color w:val="000000"/>
        </w:rPr>
        <w:br/>
        <w:t>Gleichzeitig wird die bisherige Dienstanweisung Nr. 1/2004 vom 29. September 2004 aufgehoben.</w:t>
      </w:r>
    </w:p>
    <w:sectPr w:rsidR="007F6F1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E9B73" w14:textId="77777777" w:rsidR="007F6F1D" w:rsidRDefault="00A3502F">
      <w:r>
        <w:separator/>
      </w:r>
    </w:p>
  </w:endnote>
  <w:endnote w:type="continuationSeparator" w:id="0">
    <w:p w14:paraId="68FF42EB" w14:textId="77777777" w:rsidR="007F6F1D" w:rsidRDefault="00A35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7F6F1D" w14:paraId="4DC38B1C" w14:textId="77777777">
      <w:trPr>
        <w:trHeight w:val="284"/>
      </w:trPr>
      <w:tc>
        <w:tcPr>
          <w:tcW w:w="5063" w:type="dxa"/>
        </w:tcPr>
        <w:p w14:paraId="17D5E04C" w14:textId="77777777" w:rsidR="007F6F1D" w:rsidRDefault="00A3502F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PRA Identitätsnachweis.doc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030A8374" w14:textId="77777777" w:rsidR="007F6F1D" w:rsidRDefault="00A3502F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1.0</w:t>
          </w:r>
        </w:p>
      </w:tc>
      <w:tc>
        <w:tcPr>
          <w:tcW w:w="2640" w:type="dxa"/>
        </w:tcPr>
        <w:p w14:paraId="4561A353" w14:textId="77777777" w:rsidR="007F6F1D" w:rsidRDefault="00A3502F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VerfasserIn: KPZ FB SH</w:t>
          </w:r>
        </w:p>
      </w:tc>
    </w:tr>
  </w:tbl>
  <w:p w14:paraId="61BC877D" w14:textId="77777777" w:rsidR="007F6F1D" w:rsidRDefault="007F6F1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7F6F1D" w14:paraId="51D2E643" w14:textId="77777777">
      <w:trPr>
        <w:trHeight w:val="284"/>
      </w:trPr>
      <w:tc>
        <w:tcPr>
          <w:tcW w:w="5063" w:type="dxa"/>
        </w:tcPr>
        <w:p w14:paraId="558D3AAB" w14:textId="77777777" w:rsidR="007F6F1D" w:rsidRDefault="00A3502F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PRA Identitätsnachweis.doc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26109614" w14:textId="77777777" w:rsidR="007F6F1D" w:rsidRDefault="00A3502F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1.0</w:t>
          </w:r>
        </w:p>
      </w:tc>
      <w:tc>
        <w:tcPr>
          <w:tcW w:w="2640" w:type="dxa"/>
        </w:tcPr>
        <w:p w14:paraId="655A3C94" w14:textId="77777777" w:rsidR="007F6F1D" w:rsidRDefault="00A3502F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VerfasserIn: KPZ FB SH</w:t>
          </w:r>
        </w:p>
      </w:tc>
    </w:tr>
    <w:tr w:rsidR="006379A1" w14:paraId="3F07875E" w14:textId="77777777" w:rsidTr="00D71BA5">
      <w:trPr>
        <w:trHeight w:val="284"/>
      </w:trPr>
      <w:tc>
        <w:tcPr>
          <w:tcW w:w="9133" w:type="dxa"/>
          <w:gridSpan w:val="3"/>
        </w:tcPr>
        <w:p w14:paraId="4C8FADB3" w14:textId="3553DD5F" w:rsidR="006379A1" w:rsidRDefault="006379A1" w:rsidP="006379A1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22D872C8" w14:textId="77777777" w:rsidR="007F6F1D" w:rsidRDefault="007F6F1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3BDEA" w14:textId="77777777" w:rsidR="007F6F1D" w:rsidRDefault="00A3502F">
      <w:r>
        <w:separator/>
      </w:r>
    </w:p>
  </w:footnote>
  <w:footnote w:type="continuationSeparator" w:id="0">
    <w:p w14:paraId="5A42992E" w14:textId="77777777" w:rsidR="007F6F1D" w:rsidRDefault="00A35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7F6F1D" w14:paraId="3C438287" w14:textId="77777777">
      <w:tc>
        <w:tcPr>
          <w:tcW w:w="7257" w:type="dxa"/>
          <w:gridSpan w:val="2"/>
        </w:tcPr>
        <w:p w14:paraId="446EB7AA" w14:textId="77777777" w:rsidR="007F6F1D" w:rsidRDefault="00A3502F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2" w:name="OLE_LINK1"/>
          <w:r>
            <w:rPr>
              <w:noProof/>
              <w:szCs w:val="22"/>
              <w:lang w:eastAsia="de-CH"/>
            </w:rPr>
            <w:drawing>
              <wp:inline distT="0" distB="0" distL="0" distR="0" wp14:anchorId="7BE7E81E" wp14:editId="0AC0C335">
                <wp:extent cx="1352550" cy="276225"/>
                <wp:effectExtent l="0" t="0" r="0" b="0"/>
                <wp:docPr id="2" name="Bild 2" descr="\\Sozf0001\ZW\ZW_SD_L00\2000\Logos\logo_stzh_SOD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\\Sozf0001\ZW\ZW_SD_L00\2000\Logos\logo_stzh_SOD_s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88BF29" w14:textId="77777777" w:rsidR="007F6F1D" w:rsidRDefault="007F6F1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71A6FE6" w14:textId="77777777" w:rsidR="007F6F1D" w:rsidRDefault="007F6F1D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7F6F1D" w14:paraId="446FBDEC" w14:textId="77777777">
      <w:trPr>
        <w:trHeight w:val="210"/>
      </w:trPr>
      <w:tc>
        <w:tcPr>
          <w:tcW w:w="680" w:type="dxa"/>
        </w:tcPr>
        <w:p w14:paraId="04F342D3" w14:textId="77777777" w:rsidR="007F6F1D" w:rsidRDefault="007F6F1D">
          <w:pPr>
            <w:pStyle w:val="Kopfzeile"/>
          </w:pPr>
        </w:p>
      </w:tc>
      <w:tc>
        <w:tcPr>
          <w:tcW w:w="9072" w:type="dxa"/>
          <w:gridSpan w:val="2"/>
        </w:tcPr>
        <w:p w14:paraId="03573A99" w14:textId="5B2F0E51" w:rsidR="007F6F1D" w:rsidRDefault="00A3502F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B551A">
            <w:rPr>
              <w:noProof/>
            </w:rPr>
            <w:t>2</w:t>
          </w:r>
          <w:r>
            <w:fldChar w:fldCharType="end"/>
          </w:r>
          <w:r>
            <w:t>/</w:t>
          </w:r>
          <w:r w:rsidR="009B551A">
            <w:fldChar w:fldCharType="begin"/>
          </w:r>
          <w:r w:rsidR="009B551A">
            <w:instrText xml:space="preserve"> NUMP</w:instrText>
          </w:r>
          <w:r w:rsidR="009B551A">
            <w:instrText xml:space="preserve">AGES   \* MERGEFORMAT </w:instrText>
          </w:r>
          <w:r w:rsidR="009B551A">
            <w:fldChar w:fldCharType="separate"/>
          </w:r>
          <w:r w:rsidR="009B551A">
            <w:rPr>
              <w:noProof/>
            </w:rPr>
            <w:t>2</w:t>
          </w:r>
          <w:r w:rsidR="009B551A">
            <w:rPr>
              <w:noProof/>
            </w:rPr>
            <w:fldChar w:fldCharType="end"/>
          </w:r>
        </w:p>
      </w:tc>
    </w:tr>
    <w:bookmarkEnd w:id="2"/>
  </w:tbl>
  <w:p w14:paraId="0DD5E55F" w14:textId="77777777" w:rsidR="007F6F1D" w:rsidRDefault="007F6F1D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7F6F1D" w14:paraId="398876CE" w14:textId="77777777">
      <w:tc>
        <w:tcPr>
          <w:tcW w:w="7257" w:type="dxa"/>
        </w:tcPr>
        <w:p w14:paraId="4CCE785E" w14:textId="77777777" w:rsidR="007F6F1D" w:rsidRDefault="00A3502F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00D88EB" wp14:editId="424A6FD8">
                <wp:extent cx="1352550" cy="276225"/>
                <wp:effectExtent l="0" t="0" r="0" b="0"/>
                <wp:docPr id="1" name="Bild 1" descr="\\Sozf0001\ZW\ZW_SD_L00\2000\Logos\logo_stzh_SOD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Sozf0001\ZW\ZW_SD_L00\2000\Logos\logo_stzh_SOD_s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27EC9121" w14:textId="77777777" w:rsidR="007F6F1D" w:rsidRDefault="007F6F1D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7F6F1D" w14:paraId="41ECC244" w14:textId="77777777">
      <w:tc>
        <w:tcPr>
          <w:tcW w:w="7257" w:type="dxa"/>
        </w:tcPr>
        <w:p w14:paraId="4342922E" w14:textId="77777777" w:rsidR="007F6F1D" w:rsidRDefault="007F6F1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6BEEC447" w14:textId="77777777" w:rsidR="007F6F1D" w:rsidRDefault="007F6F1D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32E588E4" w14:textId="77777777" w:rsidR="007F6F1D" w:rsidRDefault="007F6F1D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A06"/>
    <w:multiLevelType w:val="hybridMultilevel"/>
    <w:tmpl w:val="B582B5F2"/>
    <w:lvl w:ilvl="0" w:tplc="9314D73A">
      <w:start w:val="1"/>
      <w:numFmt w:val="bullet"/>
      <w:lvlText w:val=""/>
      <w:lvlJc w:val="left"/>
      <w:pPr>
        <w:tabs>
          <w:tab w:val="num" w:pos="516"/>
        </w:tabs>
        <w:ind w:left="516" w:hanging="360"/>
      </w:pPr>
      <w:rPr>
        <w:rFonts w:ascii="Symbol" w:hAnsi="Symbol" w:hint="default"/>
        <w:sz w:val="20"/>
      </w:rPr>
    </w:lvl>
    <w:lvl w:ilvl="1" w:tplc="7E6A085C" w:tentative="1">
      <w:start w:val="1"/>
      <w:numFmt w:val="bullet"/>
      <w:lvlText w:val="o"/>
      <w:lvlJc w:val="left"/>
      <w:pPr>
        <w:tabs>
          <w:tab w:val="num" w:pos="1236"/>
        </w:tabs>
        <w:ind w:left="1236" w:hanging="360"/>
      </w:pPr>
      <w:rPr>
        <w:rFonts w:ascii="Courier New" w:hAnsi="Courier New" w:hint="default"/>
        <w:sz w:val="20"/>
      </w:rPr>
    </w:lvl>
    <w:lvl w:ilvl="2" w:tplc="1AF47146" w:tentative="1">
      <w:start w:val="1"/>
      <w:numFmt w:val="bullet"/>
      <w:lvlText w:val=""/>
      <w:lvlJc w:val="left"/>
      <w:pPr>
        <w:tabs>
          <w:tab w:val="num" w:pos="1956"/>
        </w:tabs>
        <w:ind w:left="1956" w:hanging="360"/>
      </w:pPr>
      <w:rPr>
        <w:rFonts w:ascii="Wingdings" w:hAnsi="Wingdings" w:hint="default"/>
        <w:sz w:val="20"/>
      </w:rPr>
    </w:lvl>
    <w:lvl w:ilvl="3" w:tplc="F9364BB4" w:tentative="1">
      <w:start w:val="1"/>
      <w:numFmt w:val="bullet"/>
      <w:lvlText w:val=""/>
      <w:lvlJc w:val="left"/>
      <w:pPr>
        <w:tabs>
          <w:tab w:val="num" w:pos="2676"/>
        </w:tabs>
        <w:ind w:left="2676" w:hanging="360"/>
      </w:pPr>
      <w:rPr>
        <w:rFonts w:ascii="Wingdings" w:hAnsi="Wingdings" w:hint="default"/>
        <w:sz w:val="20"/>
      </w:rPr>
    </w:lvl>
    <w:lvl w:ilvl="4" w:tplc="ACA6E7C8" w:tentative="1">
      <w:start w:val="1"/>
      <w:numFmt w:val="bullet"/>
      <w:lvlText w:val=""/>
      <w:lvlJc w:val="left"/>
      <w:pPr>
        <w:tabs>
          <w:tab w:val="num" w:pos="3396"/>
        </w:tabs>
        <w:ind w:left="3396" w:hanging="360"/>
      </w:pPr>
      <w:rPr>
        <w:rFonts w:ascii="Wingdings" w:hAnsi="Wingdings" w:hint="default"/>
        <w:sz w:val="20"/>
      </w:rPr>
    </w:lvl>
    <w:lvl w:ilvl="5" w:tplc="9A24C0CE" w:tentative="1">
      <w:start w:val="1"/>
      <w:numFmt w:val="bullet"/>
      <w:lvlText w:val=""/>
      <w:lvlJc w:val="left"/>
      <w:pPr>
        <w:tabs>
          <w:tab w:val="num" w:pos="4116"/>
        </w:tabs>
        <w:ind w:left="4116" w:hanging="360"/>
      </w:pPr>
      <w:rPr>
        <w:rFonts w:ascii="Wingdings" w:hAnsi="Wingdings" w:hint="default"/>
        <w:sz w:val="20"/>
      </w:rPr>
    </w:lvl>
    <w:lvl w:ilvl="6" w:tplc="1B922AF2" w:tentative="1">
      <w:start w:val="1"/>
      <w:numFmt w:val="bullet"/>
      <w:lvlText w:val=""/>
      <w:lvlJc w:val="left"/>
      <w:pPr>
        <w:tabs>
          <w:tab w:val="num" w:pos="4836"/>
        </w:tabs>
        <w:ind w:left="4836" w:hanging="360"/>
      </w:pPr>
      <w:rPr>
        <w:rFonts w:ascii="Wingdings" w:hAnsi="Wingdings" w:hint="default"/>
        <w:sz w:val="20"/>
      </w:rPr>
    </w:lvl>
    <w:lvl w:ilvl="7" w:tplc="CC9C1E14" w:tentative="1">
      <w:start w:val="1"/>
      <w:numFmt w:val="bullet"/>
      <w:lvlText w:val=""/>
      <w:lvlJc w:val="left"/>
      <w:pPr>
        <w:tabs>
          <w:tab w:val="num" w:pos="5556"/>
        </w:tabs>
        <w:ind w:left="5556" w:hanging="360"/>
      </w:pPr>
      <w:rPr>
        <w:rFonts w:ascii="Wingdings" w:hAnsi="Wingdings" w:hint="default"/>
        <w:sz w:val="20"/>
      </w:rPr>
    </w:lvl>
    <w:lvl w:ilvl="8" w:tplc="5980D9C6" w:tentative="1">
      <w:start w:val="1"/>
      <w:numFmt w:val="bullet"/>
      <w:lvlText w:val=""/>
      <w:lvlJc w:val="left"/>
      <w:pPr>
        <w:tabs>
          <w:tab w:val="num" w:pos="6276"/>
        </w:tabs>
        <w:ind w:left="627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216EC"/>
    <w:multiLevelType w:val="multilevel"/>
    <w:tmpl w:val="C9B0FCC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21C7DE1"/>
    <w:multiLevelType w:val="hybridMultilevel"/>
    <w:tmpl w:val="E9C60156"/>
    <w:lvl w:ilvl="0" w:tplc="A5683774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plc="B68236CC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  <w:sz w:val="20"/>
      </w:rPr>
    </w:lvl>
    <w:lvl w:ilvl="2" w:tplc="A114FBBE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20"/>
      </w:rPr>
    </w:lvl>
    <w:lvl w:ilvl="3" w:tplc="74AC7AF8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4" w:tplc="EDAEC10A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5" w:tplc="3C7EFA2E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6" w:tplc="64ACA30A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7" w:tplc="62BA13B4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8" w:tplc="525ABFB4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327FC9"/>
    <w:multiLevelType w:val="hybridMultilevel"/>
    <w:tmpl w:val="2B6894EE"/>
    <w:lvl w:ilvl="0" w:tplc="12D01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F6B3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FC8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1C8E1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A42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8E3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5341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D4A5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8C8E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A3502F"/>
    <w:rsid w:val="006379A1"/>
    <w:rsid w:val="007F6F1D"/>
    <w:rsid w:val="009B551A"/>
    <w:rsid w:val="00A3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;"/>
  <w14:docId w14:val="12F36383"/>
  <w15:docId w15:val="{50CE1868-DBD9-4A96-AEEC-69D2A729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1210"/>
      </w:tabs>
      <w:spacing w:before="240" w:after="240"/>
      <w:outlineLvl w:val="0"/>
    </w:pPr>
    <w:rPr>
      <w:b/>
      <w:color w:val="000000"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  <w:semiHidden/>
  </w:style>
  <w:style w:type="paragraph" w:styleId="Textkrper-Zeileneinzug">
    <w:name w:val="Body Text Indent"/>
    <w:basedOn w:val="Standard"/>
    <w:semiHidden/>
    <w:pPr>
      <w:spacing w:before="100" w:beforeAutospacing="1" w:after="100" w:afterAutospacing="1"/>
    </w:pPr>
    <w:rPr>
      <w:rFonts w:eastAsia="Arial Unicode MS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02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502F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esetzliche_x0020_Grundlage xmlns="f3b92940-74e1-4b32-811a-cd501d17ae23" xsi:nil="true"/>
    <Dokumentenstatus xmlns="f3b92940-74e1-4b32-811a-cd501d17ae23">3</Dokumentenstatus>
    <Leistung xmlns="f3b92940-74e1-4b32-811a-cd501d17ae23">18</Leistung>
    <Fachkonzept xmlns="f3b92940-74e1-4b32-811a-cd501d17ae23" xsi:nil="true"/>
    <Thematische_x0020_Zuordnung_x0020_Fachressort_x0028_s_x0029_ xmlns="f3b92940-74e1-4b32-811a-cd501d17ae23">
      <Value>2</Value>
      <Value>5</Value>
    </Thematische_x0020_Zuordnung_x0020_Fachressort_x0028_s_x0029_>
    <Zu_x0020_konsultierende_x002f_-s_x0020_Fachressort_x002f_-s xmlns="f3b92940-74e1-4b32-811a-cd501d17ae23"/>
    <SKOS-Kapitel xmlns="f3b92940-74e1-4b32-811a-cd501d17ae23"/>
    <Federführende_x002f_s_x0020_Fachressort_x002f_Einheit xmlns="f3b92940-74e1-4b32-811a-cd501d17ae23">11</Federführende_x002f_s_x0020_Fachressort_x002f_Einheit>
    <Version_x0020_des_x0020_Dokuments xmlns="3905ffbc-9aeb-4d51-937e-ee1e2cf00671" xsi:nil="true"/>
    <Kurzbeschreibung_x0020_Dokument xmlns="3905ffbc-9aeb-4d51-937e-ee1e2cf00671" xsi:nil="true"/>
    <Dokumentenart1 xmlns="3905ffbc-9aeb-4d51-937e-ee1e2cf00671">SOD Praxishilfe (PRA)</Dokumentenart1>
    <Gültig_x0020_bis xmlns="3905ffbc-9aeb-4d51-937e-ee1e2cf00671" xsi:nil="true"/>
    <Herausgabe_x0020_bei_x0020_Informationszugangsgesuchen xmlns="f3b92940-74e1-4b32-811a-cd501d17ae23">kann herausgegeben werden</Herausgabe_x0020_bei_x0020_Informationszugangsgesuchen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Verantwortliche_x002f_r_x0020_Autor_x002f_in xmlns="3905ffbc-9aeb-4d51-937e-ee1e2cf00671">
      <UserInfo>
        <DisplayName/>
        <AccountId xsi:nil="true"/>
        <AccountType/>
      </UserInfo>
    </Verantwortliche_x002f_r_x0020_Autor_x002f_in>
    <Gültig_x0020_von xmlns="3905ffbc-9aeb-4d51-937e-ee1e2cf00671">2007-03-31T22:00:00+00:00</Gültig_x0020_v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788628B8-6DA3-437E-8638-08822A7677E3}">
  <ds:schemaRefs>
    <ds:schemaRef ds:uri="http://purl.org/dc/dcmitype/"/>
    <ds:schemaRef ds:uri="3905ffbc-9aeb-4d51-937e-ee1e2cf00671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f3b92940-74e1-4b32-811a-cd501d17ae2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D0C376F-23B6-45EB-8F0A-3CF6D450D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9CEE6-4118-4887-B0F7-3BCF928D1CD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B2F7AC6-42E0-4AA2-8816-8FAB02127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6B62B1-B2BB-40E7-A6A2-0622063EF413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Identitätsnachweis bei Barauszahlungen an der Stadtkasse</vt:lpstr>
    </vt:vector>
  </TitlesOfParts>
  <Company>EHP</Company>
  <LinksUpToDate>false</LinksUpToDate>
  <CharactersWithSpaces>2689</CharactersWithSpaces>
  <SharedDoc>false</SharedDoc>
  <HLinks>
    <vt:vector size="12" baseType="variant">
      <vt:variant>
        <vt:i4>5308416</vt:i4>
      </vt:variant>
      <vt:variant>
        <vt:i4>3718</vt:i4>
      </vt:variant>
      <vt:variant>
        <vt:i4>1026</vt:i4>
      </vt:variant>
      <vt:variant>
        <vt:i4>1</vt:i4>
      </vt:variant>
      <vt:variant>
        <vt:lpwstr>\\Sozf0001\ZW\ZW_SD_L00\2000\Logos\logo_stzh_SOD_sw.png</vt:lpwstr>
      </vt:variant>
      <vt:variant>
        <vt:lpwstr/>
      </vt:variant>
      <vt:variant>
        <vt:i4>5308416</vt:i4>
      </vt:variant>
      <vt:variant>
        <vt:i4>3881</vt:i4>
      </vt:variant>
      <vt:variant>
        <vt:i4>1025</vt:i4>
      </vt:variant>
      <vt:variant>
        <vt:i4>1</vt:i4>
      </vt:variant>
      <vt:variant>
        <vt:lpwstr>\\Sozf0001\ZW\ZW_SD_L00\2000\Logos\logo_stzh_SOD_sw.png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Identitätsnachweis bei Barauszahlungen an der Stadtkasse</dc:title>
  <dc:creator>Renold Mirjam</dc:creator>
  <cp:lastModifiedBy>Nadine Grunder (sozgnn)</cp:lastModifiedBy>
  <cp:revision>2</cp:revision>
  <cp:lastPrinted>2007-03-24T11:41:00Z</cp:lastPrinted>
  <dcterms:created xsi:type="dcterms:W3CDTF">2021-06-21T07:21:00Z</dcterms:created>
  <dcterms:modified xsi:type="dcterms:W3CDTF">2021-06-21T07:21:00Z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0x01010012DCBF5558F0D14AB1FD168DE6C7A40C0100309021253101A04D9D9A7096FBAB356B</vt:lpwstr>
  </property>
  <property fmtid="{D5CDD505-2E9C-101B-9397-08002B2CF9AE}" pid="3" name="_dlc_DocId">
    <vt:lpwstr>SDSOD-119-677</vt:lpwstr>
  </property>
  <property fmtid="{D5CDD505-2E9C-101B-9397-08002B2CF9AE}" pid="4" name="_dlc_DocIdUrl">
    <vt:lpwstr>http://portal.sd.intra.stzh.ch/sod/regelwerk/_layouts/DocIdRedir.aspx?ID=SDSOD-119-677, SDSOD-119-677</vt:lpwstr>
  </property>
  <property fmtid="{D5CDD505-2E9C-101B-9397-08002B2CF9AE}" pid="5" name="_dlc_DocIdItemGuid">
    <vt:lpwstr>29f6c685-8a90-4935-aa46-0c66dafd107a</vt:lpwstr>
  </property>
  <property fmtid="{D5CDD505-2E9C-101B-9397-08002B2CF9AE}" pid="6" name="Dokumentenart0">
    <vt:lpwstr>5</vt:lpwstr>
  </property>
  <property fmtid="{D5CDD505-2E9C-101B-9397-08002B2CF9AE}" pid="7" name="WorkflowChangePath">
    <vt:lpwstr>1dbebda2-0151-441b-bad0-3a4bc52a6e32,3;7dbe9e3d-1110-41fa-836b-195a3e49061c,6;7dbe9e3d-1110-41fa-836b-195a3e49061c,8;7dbe9e3d-1110-41fa-836b-195a3e49061c,10;</vt:lpwstr>
  </property>
  <property fmtid="{D5CDD505-2E9C-101B-9397-08002B2CF9AE}" pid="8" name="Kontaktperson für SOD KOM">
    <vt:lpwstr>6;#i:0#.w|global\sozhhi</vt:lpwstr>
  </property>
  <property fmtid="{D5CDD505-2E9C-101B-9397-08002B2CF9AE}" pid="9" name="Order">
    <vt:r8>67700</vt:r8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Bemerkungen">
    <vt:lpwstr/>
  </property>
</Properties>
</file>