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59ED7" w14:textId="77777777" w:rsidR="0032323D" w:rsidRDefault="0032323D" w:rsidP="0053296F">
      <w:pPr>
        <w:spacing w:after="0" w:line="259" w:lineRule="auto"/>
        <w:ind w:left="0" w:right="2452" w:firstLine="0"/>
        <w:jc w:val="left"/>
      </w:pPr>
      <w:bookmarkStart w:id="0" w:name="_GoBack"/>
      <w:bookmarkEnd w:id="0"/>
    </w:p>
    <w:tbl>
      <w:tblPr>
        <w:tblStyle w:val="TableGrid"/>
        <w:tblW w:w="9088" w:type="dxa"/>
        <w:tblInd w:w="680" w:type="dxa"/>
        <w:tblCellMar>
          <w:top w:w="130" w:type="dxa"/>
          <w:left w:w="68" w:type="dxa"/>
          <w:right w:w="54" w:type="dxa"/>
        </w:tblCellMar>
        <w:tblLook w:val="04A0" w:firstRow="1" w:lastRow="0" w:firstColumn="1" w:lastColumn="0" w:noHBand="0" w:noVBand="1"/>
      </w:tblPr>
      <w:tblGrid>
        <w:gridCol w:w="2222"/>
        <w:gridCol w:w="4453"/>
        <w:gridCol w:w="2413"/>
      </w:tblGrid>
      <w:tr w:rsidR="0032323D" w14:paraId="123C7211" w14:textId="77777777">
        <w:trPr>
          <w:trHeight w:val="969"/>
        </w:trPr>
        <w:tc>
          <w:tcPr>
            <w:tcW w:w="2221" w:type="dxa"/>
            <w:tcBorders>
              <w:top w:val="single" w:sz="4" w:space="0" w:color="808080"/>
              <w:left w:val="single" w:sz="4" w:space="0" w:color="808080"/>
              <w:bottom w:val="single" w:sz="6" w:space="0" w:color="808080"/>
              <w:right w:val="single" w:sz="6" w:space="0" w:color="808080"/>
            </w:tcBorders>
            <w:shd w:val="clear" w:color="auto" w:fill="F3F3F3"/>
          </w:tcPr>
          <w:p w14:paraId="2FCB6CEE" w14:textId="77777777" w:rsidR="0032323D" w:rsidRDefault="0093350B">
            <w:pPr>
              <w:spacing w:after="62" w:line="259" w:lineRule="auto"/>
              <w:ind w:left="0" w:right="0" w:firstLine="0"/>
              <w:jc w:val="left"/>
            </w:pPr>
            <w:r>
              <w:rPr>
                <w:b/>
              </w:rPr>
              <w:t xml:space="preserve">Zuordnung: </w:t>
            </w:r>
            <w:r>
              <w:rPr>
                <w:sz w:val="20"/>
              </w:rPr>
              <w:t xml:space="preserve"> </w:t>
            </w:r>
          </w:p>
          <w:p w14:paraId="2A1EC399" w14:textId="765F67DC" w:rsidR="0032323D" w:rsidRDefault="0093350B">
            <w:pPr>
              <w:spacing w:after="0" w:line="259" w:lineRule="auto"/>
              <w:ind w:left="0" w:right="0" w:firstLine="0"/>
              <w:jc w:val="left"/>
            </w:pPr>
            <w:r w:rsidRPr="008610E0">
              <w:rPr>
                <w:sz w:val="20"/>
                <w:highlight w:val="yellow"/>
              </w:rPr>
              <w:t xml:space="preserve">SKOS </w:t>
            </w:r>
            <w:r w:rsidR="0053296F" w:rsidRPr="008610E0">
              <w:rPr>
                <w:sz w:val="20"/>
                <w:highlight w:val="yellow"/>
              </w:rPr>
              <w:t>D</w:t>
            </w:r>
            <w:r>
              <w:rPr>
                <w:b/>
              </w:rPr>
              <w:t xml:space="preserve"> </w:t>
            </w:r>
          </w:p>
        </w:tc>
        <w:tc>
          <w:tcPr>
            <w:tcW w:w="4453" w:type="dxa"/>
            <w:tcBorders>
              <w:top w:val="single" w:sz="4" w:space="0" w:color="808080"/>
              <w:left w:val="single" w:sz="6" w:space="0" w:color="808080"/>
              <w:bottom w:val="single" w:sz="6" w:space="0" w:color="808080"/>
              <w:right w:val="single" w:sz="6" w:space="0" w:color="808080"/>
            </w:tcBorders>
            <w:shd w:val="clear" w:color="auto" w:fill="F3F3F3"/>
          </w:tcPr>
          <w:p w14:paraId="794295F3" w14:textId="77777777" w:rsidR="0032323D" w:rsidRDefault="0093350B">
            <w:pPr>
              <w:spacing w:after="0" w:line="259" w:lineRule="auto"/>
              <w:ind w:left="0" w:right="15" w:firstLine="0"/>
              <w:jc w:val="center"/>
            </w:pPr>
            <w:r>
              <w:rPr>
                <w:b/>
              </w:rPr>
              <w:t>Praxishilfe zum Kindesvermögen</w:t>
            </w:r>
            <w:r>
              <w:rPr>
                <w:b/>
                <w:sz w:val="20"/>
              </w:rPr>
              <w:t xml:space="preserve"> </w:t>
            </w:r>
          </w:p>
        </w:tc>
        <w:tc>
          <w:tcPr>
            <w:tcW w:w="2413" w:type="dxa"/>
            <w:tcBorders>
              <w:top w:val="single" w:sz="4" w:space="0" w:color="808080"/>
              <w:left w:val="single" w:sz="6" w:space="0" w:color="808080"/>
              <w:bottom w:val="single" w:sz="6" w:space="0" w:color="808080"/>
              <w:right w:val="single" w:sz="4" w:space="0" w:color="808080"/>
            </w:tcBorders>
            <w:shd w:val="clear" w:color="auto" w:fill="F3F3F3"/>
          </w:tcPr>
          <w:p w14:paraId="0A7F9586" w14:textId="77777777" w:rsidR="0032323D" w:rsidRDefault="0093350B">
            <w:pPr>
              <w:spacing w:after="45" w:line="259" w:lineRule="auto"/>
              <w:ind w:left="0" w:right="61" w:firstLine="0"/>
              <w:jc w:val="right"/>
            </w:pPr>
            <w:r>
              <w:rPr>
                <w:b/>
              </w:rPr>
              <w:t xml:space="preserve">Gültig ab: </w:t>
            </w:r>
          </w:p>
          <w:p w14:paraId="5B97EE19" w14:textId="77777777" w:rsidR="0053296F" w:rsidRDefault="0053296F">
            <w:pPr>
              <w:spacing w:after="0" w:line="259" w:lineRule="auto"/>
              <w:ind w:left="0" w:right="61" w:firstLine="0"/>
              <w:jc w:val="right"/>
              <w:rPr>
                <w:sz w:val="20"/>
              </w:rPr>
            </w:pPr>
            <w:r w:rsidRPr="008610E0">
              <w:rPr>
                <w:sz w:val="20"/>
                <w:highlight w:val="yellow"/>
              </w:rPr>
              <w:t>01.01.2021</w:t>
            </w:r>
          </w:p>
          <w:p w14:paraId="6E962CAA" w14:textId="77777777" w:rsidR="0032323D" w:rsidRDefault="0053296F">
            <w:pPr>
              <w:spacing w:after="0" w:line="259" w:lineRule="auto"/>
              <w:ind w:left="0" w:right="61" w:firstLine="0"/>
              <w:jc w:val="right"/>
            </w:pPr>
            <w:r>
              <w:rPr>
                <w:sz w:val="20"/>
              </w:rPr>
              <w:t xml:space="preserve">ersetzt: </w:t>
            </w:r>
            <w:r w:rsidR="0093350B">
              <w:rPr>
                <w:sz w:val="20"/>
              </w:rPr>
              <w:t>1.10.2006</w:t>
            </w:r>
          </w:p>
        </w:tc>
      </w:tr>
      <w:tr w:rsidR="0032323D" w14:paraId="720BD8C0" w14:textId="77777777">
        <w:trPr>
          <w:trHeight w:val="508"/>
        </w:trPr>
        <w:tc>
          <w:tcPr>
            <w:tcW w:w="6674" w:type="dxa"/>
            <w:gridSpan w:val="2"/>
            <w:tcBorders>
              <w:top w:val="single" w:sz="6" w:space="0" w:color="808080"/>
              <w:left w:val="single" w:sz="4" w:space="0" w:color="808080"/>
              <w:bottom w:val="single" w:sz="4" w:space="0" w:color="808080"/>
              <w:right w:val="nil"/>
            </w:tcBorders>
            <w:vAlign w:val="center"/>
          </w:tcPr>
          <w:p w14:paraId="33F0B6D7" w14:textId="77777777" w:rsidR="0032323D" w:rsidRDefault="0093350B">
            <w:pPr>
              <w:spacing w:after="0" w:line="259" w:lineRule="auto"/>
              <w:ind w:left="0" w:right="0" w:firstLine="0"/>
              <w:jc w:val="left"/>
            </w:pPr>
            <w:r>
              <w:rPr>
                <w:b/>
              </w:rPr>
              <w:t xml:space="preserve">Umgang mit Kindesvermögen </w:t>
            </w:r>
          </w:p>
        </w:tc>
        <w:tc>
          <w:tcPr>
            <w:tcW w:w="2413" w:type="dxa"/>
            <w:tcBorders>
              <w:top w:val="single" w:sz="6" w:space="0" w:color="808080"/>
              <w:left w:val="nil"/>
              <w:bottom w:val="single" w:sz="4" w:space="0" w:color="808080"/>
              <w:right w:val="single" w:sz="4" w:space="0" w:color="808080"/>
            </w:tcBorders>
          </w:tcPr>
          <w:p w14:paraId="34A32694" w14:textId="77777777" w:rsidR="0032323D" w:rsidRDefault="0032323D">
            <w:pPr>
              <w:spacing w:after="160" w:line="259" w:lineRule="auto"/>
              <w:ind w:left="0" w:right="0" w:firstLine="0"/>
              <w:jc w:val="left"/>
            </w:pPr>
          </w:p>
        </w:tc>
      </w:tr>
    </w:tbl>
    <w:p w14:paraId="4B87278C" w14:textId="77777777" w:rsidR="0032323D" w:rsidRDefault="0093350B">
      <w:pPr>
        <w:spacing w:after="0" w:line="259" w:lineRule="auto"/>
        <w:ind w:left="680" w:right="0" w:firstLine="0"/>
        <w:jc w:val="left"/>
      </w:pPr>
      <w:r>
        <w:t xml:space="preserve"> </w:t>
      </w:r>
    </w:p>
    <w:tbl>
      <w:tblPr>
        <w:tblStyle w:val="TableGrid"/>
        <w:tblW w:w="9131" w:type="dxa"/>
        <w:tblInd w:w="650" w:type="dxa"/>
        <w:tblCellMar>
          <w:top w:w="6" w:type="dxa"/>
          <w:right w:w="115" w:type="dxa"/>
        </w:tblCellMar>
        <w:tblLook w:val="04A0" w:firstRow="1" w:lastRow="0" w:firstColumn="1" w:lastColumn="0" w:noHBand="0" w:noVBand="1"/>
      </w:tblPr>
      <w:tblGrid>
        <w:gridCol w:w="462"/>
        <w:gridCol w:w="8669"/>
      </w:tblGrid>
      <w:tr w:rsidR="0032323D" w14:paraId="1E3264BE" w14:textId="77777777">
        <w:trPr>
          <w:trHeight w:val="252"/>
        </w:trPr>
        <w:tc>
          <w:tcPr>
            <w:tcW w:w="462" w:type="dxa"/>
            <w:tcBorders>
              <w:top w:val="nil"/>
              <w:left w:val="nil"/>
              <w:bottom w:val="nil"/>
              <w:right w:val="nil"/>
            </w:tcBorders>
            <w:shd w:val="clear" w:color="auto" w:fill="9ACCFF"/>
          </w:tcPr>
          <w:p w14:paraId="1B0511FC" w14:textId="77777777" w:rsidR="0032323D" w:rsidRDefault="0093350B">
            <w:pPr>
              <w:spacing w:after="0" w:line="259" w:lineRule="auto"/>
              <w:ind w:left="30" w:right="0" w:firstLine="0"/>
              <w:jc w:val="left"/>
            </w:pPr>
            <w:r>
              <w:rPr>
                <w:b/>
              </w:rPr>
              <w:t xml:space="preserve">1 </w:t>
            </w:r>
          </w:p>
        </w:tc>
        <w:tc>
          <w:tcPr>
            <w:tcW w:w="8669" w:type="dxa"/>
            <w:tcBorders>
              <w:top w:val="nil"/>
              <w:left w:val="nil"/>
              <w:bottom w:val="nil"/>
              <w:right w:val="nil"/>
            </w:tcBorders>
            <w:shd w:val="clear" w:color="auto" w:fill="9ACCFF"/>
          </w:tcPr>
          <w:p w14:paraId="2C8FA825" w14:textId="77777777" w:rsidR="0032323D" w:rsidRDefault="0093350B">
            <w:pPr>
              <w:spacing w:after="0" w:line="259" w:lineRule="auto"/>
              <w:ind w:left="0" w:right="0" w:firstLine="0"/>
              <w:jc w:val="left"/>
            </w:pPr>
            <w:r>
              <w:rPr>
                <w:b/>
              </w:rPr>
              <w:t xml:space="preserve">Grundsatz </w:t>
            </w:r>
          </w:p>
        </w:tc>
      </w:tr>
    </w:tbl>
    <w:p w14:paraId="0E4F8393" w14:textId="77777777" w:rsidR="0032323D" w:rsidRDefault="0093350B" w:rsidP="0053296F">
      <w:pPr>
        <w:ind w:left="665" w:right="-9" w:firstLine="0"/>
        <w:jc w:val="left"/>
      </w:pPr>
      <w:r>
        <w:t>Wer Sozialhilfe beantragt ist verpflichtet, wahrheitsgetreu über seine Einkommens- und Vermögensverhältnisse und diejenigen seiner Familie Auskunft zu geben. In diesem Sinne haben gesuchstellende Eltern auch ein allfälliges Vermögen minderjähriger Kinder a</w:t>
      </w:r>
      <w:r w:rsidR="0053296F">
        <w:t>uszuweisen.</w:t>
      </w:r>
    </w:p>
    <w:p w14:paraId="1B775ADF" w14:textId="77777777" w:rsidR="0032323D" w:rsidRDefault="0032323D" w:rsidP="0053296F">
      <w:pPr>
        <w:spacing w:after="0" w:line="259" w:lineRule="auto"/>
        <w:ind w:left="680" w:right="0" w:firstLine="0"/>
        <w:jc w:val="left"/>
      </w:pPr>
    </w:p>
    <w:tbl>
      <w:tblPr>
        <w:tblStyle w:val="TableGrid"/>
        <w:tblW w:w="9131" w:type="dxa"/>
        <w:tblInd w:w="650" w:type="dxa"/>
        <w:tblCellMar>
          <w:top w:w="6" w:type="dxa"/>
          <w:right w:w="115" w:type="dxa"/>
        </w:tblCellMar>
        <w:tblLook w:val="04A0" w:firstRow="1" w:lastRow="0" w:firstColumn="1" w:lastColumn="0" w:noHBand="0" w:noVBand="1"/>
      </w:tblPr>
      <w:tblGrid>
        <w:gridCol w:w="462"/>
        <w:gridCol w:w="8669"/>
      </w:tblGrid>
      <w:tr w:rsidR="0032323D" w14:paraId="2BB23554" w14:textId="77777777">
        <w:trPr>
          <w:trHeight w:val="252"/>
        </w:trPr>
        <w:tc>
          <w:tcPr>
            <w:tcW w:w="462" w:type="dxa"/>
            <w:tcBorders>
              <w:top w:val="nil"/>
              <w:left w:val="nil"/>
              <w:bottom w:val="nil"/>
              <w:right w:val="nil"/>
            </w:tcBorders>
            <w:shd w:val="clear" w:color="auto" w:fill="9ACCFF"/>
          </w:tcPr>
          <w:p w14:paraId="4CE5E6E4" w14:textId="77777777" w:rsidR="0032323D" w:rsidRDefault="0093350B" w:rsidP="0053296F">
            <w:pPr>
              <w:spacing w:after="0" w:line="259" w:lineRule="auto"/>
              <w:ind w:left="30" w:right="0" w:firstLine="0"/>
              <w:jc w:val="left"/>
            </w:pPr>
            <w:r>
              <w:rPr>
                <w:b/>
              </w:rPr>
              <w:t xml:space="preserve">2 </w:t>
            </w:r>
          </w:p>
        </w:tc>
        <w:tc>
          <w:tcPr>
            <w:tcW w:w="8669" w:type="dxa"/>
            <w:tcBorders>
              <w:top w:val="nil"/>
              <w:left w:val="nil"/>
              <w:bottom w:val="nil"/>
              <w:right w:val="nil"/>
            </w:tcBorders>
            <w:shd w:val="clear" w:color="auto" w:fill="9ACCFF"/>
          </w:tcPr>
          <w:p w14:paraId="2AD7966A" w14:textId="77777777" w:rsidR="0032323D" w:rsidRDefault="0093350B" w:rsidP="0053296F">
            <w:pPr>
              <w:spacing w:after="0" w:line="259" w:lineRule="auto"/>
              <w:ind w:left="0" w:right="0" w:firstLine="0"/>
              <w:jc w:val="left"/>
            </w:pPr>
            <w:r>
              <w:rPr>
                <w:b/>
              </w:rPr>
              <w:t>Voraussetzungen für Zugriff auf Kindesvermögen</w:t>
            </w:r>
            <w:r>
              <w:rPr>
                <w:b/>
                <w:color w:val="0000FF"/>
              </w:rPr>
              <w:t xml:space="preserve"> </w:t>
            </w:r>
            <w:r>
              <w:rPr>
                <w:b/>
              </w:rPr>
              <w:t xml:space="preserve"> </w:t>
            </w:r>
          </w:p>
        </w:tc>
      </w:tr>
    </w:tbl>
    <w:p w14:paraId="6EB4A2AB" w14:textId="77777777" w:rsidR="0053296F" w:rsidRDefault="0093350B" w:rsidP="0053296F">
      <w:pPr>
        <w:ind w:left="665" w:right="-9" w:firstLine="0"/>
        <w:jc w:val="left"/>
      </w:pPr>
      <w:r>
        <w:t xml:space="preserve">Ist eine Familie auf Sozialhilfe angewiesen, kann unter bestimmten Voraussetzungen auf das Kindesvermögen bzw. auf die Erträge des Kindesvermögens zurückgegriffen werden.  </w:t>
      </w:r>
    </w:p>
    <w:p w14:paraId="22D15B15" w14:textId="77777777" w:rsidR="0032323D" w:rsidRDefault="0093350B" w:rsidP="0053296F">
      <w:pPr>
        <w:spacing w:before="120" w:after="0" w:line="242" w:lineRule="auto"/>
        <w:ind w:left="663" w:right="-11" w:firstLine="0"/>
        <w:jc w:val="left"/>
      </w:pPr>
      <w:r>
        <w:rPr>
          <w:b/>
        </w:rPr>
        <w:t xml:space="preserve">Bei der Anrechnung im Unterstützungsbudget der Familie ist </w:t>
      </w:r>
      <w:r w:rsidR="0053296F">
        <w:rPr>
          <w:b/>
        </w:rPr>
        <w:t>deshalb Folgendes zu beachten:</w:t>
      </w:r>
    </w:p>
    <w:p w14:paraId="549FE9E7" w14:textId="77777777" w:rsidR="0032323D" w:rsidRDefault="0093350B" w:rsidP="0053296F">
      <w:pPr>
        <w:numPr>
          <w:ilvl w:val="0"/>
          <w:numId w:val="6"/>
        </w:numPr>
        <w:spacing w:before="120" w:line="242" w:lineRule="auto"/>
        <w:ind w:right="-11" w:hanging="357"/>
        <w:jc w:val="left"/>
      </w:pPr>
      <w:r>
        <w:t xml:space="preserve">Die Erträge des Kindesvermögens (namentlich Zinsen) sind für den Unterhalt, die Erziehung und die Ausbildung des Kindes zu verwenden.  </w:t>
      </w:r>
    </w:p>
    <w:p w14:paraId="15DD2261" w14:textId="77777777" w:rsidR="0032323D" w:rsidRDefault="0093350B" w:rsidP="0053296F">
      <w:pPr>
        <w:numPr>
          <w:ilvl w:val="0"/>
          <w:numId w:val="6"/>
        </w:numPr>
        <w:spacing w:before="120" w:line="242" w:lineRule="auto"/>
        <w:ind w:right="-11" w:hanging="357"/>
        <w:jc w:val="left"/>
      </w:pPr>
      <w:r>
        <w:t xml:space="preserve">Zusätzlich sind, soweit der Unterhalt des Kindes gedeckt ist, die Erträge des Kindesvermögens für die Bedürfnisse des eigenen Haushalts zu verwenden.  </w:t>
      </w:r>
    </w:p>
    <w:p w14:paraId="5F7CA673" w14:textId="77777777" w:rsidR="0053296F" w:rsidRDefault="0093350B" w:rsidP="0053296F">
      <w:pPr>
        <w:numPr>
          <w:ilvl w:val="0"/>
          <w:numId w:val="6"/>
        </w:numPr>
        <w:spacing w:before="120" w:line="242" w:lineRule="auto"/>
        <w:ind w:right="-11" w:hanging="357"/>
        <w:jc w:val="left"/>
      </w:pPr>
      <w:r>
        <w:rPr>
          <w:noProof/>
        </w:rPr>
        <w:drawing>
          <wp:anchor distT="0" distB="0" distL="114300" distR="114300" simplePos="0" relativeHeight="251658240" behindDoc="0" locked="0" layoutInCell="1" allowOverlap="0" wp14:anchorId="15CCD108" wp14:editId="6D7BCC09">
            <wp:simplePos x="0" y="0"/>
            <wp:positionH relativeFrom="page">
              <wp:posOffset>648462</wp:posOffset>
            </wp:positionH>
            <wp:positionV relativeFrom="page">
              <wp:posOffset>360422</wp:posOffset>
            </wp:positionV>
            <wp:extent cx="1353312" cy="27279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1353312" cy="272796"/>
                    </a:xfrm>
                    <a:prstGeom prst="rect">
                      <a:avLst/>
                    </a:prstGeom>
                  </pic:spPr>
                </pic:pic>
              </a:graphicData>
            </a:graphic>
          </wp:anchor>
        </w:drawing>
      </w:r>
      <w:r>
        <w:t xml:space="preserve">Geldzahlungen, die mittelbar oder unmittelbar zur Deckung des Unterhaltes des Kindes und damit für den Verbrauch bestimmt sind, dürfen von den Eltern bzw. obhutsberechtigten Elternteil ebenfalls für den Unterhalt des Kindes verwendet werden; bei diesen Geldzahlungen ist zu unterscheiden: </w:t>
      </w:r>
    </w:p>
    <w:p w14:paraId="4C0A60FE" w14:textId="77777777" w:rsidR="0053296F" w:rsidRDefault="0093350B" w:rsidP="0053296F">
      <w:pPr>
        <w:numPr>
          <w:ilvl w:val="1"/>
          <w:numId w:val="6"/>
        </w:numPr>
        <w:spacing w:before="120" w:line="242" w:lineRule="auto"/>
        <w:ind w:right="-11" w:hanging="357"/>
        <w:jc w:val="left"/>
      </w:pPr>
      <w:r>
        <w:t xml:space="preserve">Periodische </w:t>
      </w:r>
      <w:r>
        <w:tab/>
        <w:t xml:space="preserve">Leistungen </w:t>
      </w:r>
      <w:r>
        <w:tab/>
        <w:t>(Unte</w:t>
      </w:r>
      <w:r w:rsidR="0053296F">
        <w:t xml:space="preserve">rhaltsbeiträge, </w:t>
      </w:r>
      <w:r w:rsidR="0053296F">
        <w:tab/>
        <w:t xml:space="preserve">Kinderzulagen, </w:t>
      </w:r>
      <w:r>
        <w:t xml:space="preserve">Sozialversicherungsrenten) sind für den </w:t>
      </w:r>
      <w:r w:rsidR="0053296F">
        <w:t>Unterhalt des Kindes bestimmt.</w:t>
      </w:r>
    </w:p>
    <w:p w14:paraId="4537DA99" w14:textId="77777777" w:rsidR="0032323D" w:rsidRDefault="0093350B" w:rsidP="0053296F">
      <w:pPr>
        <w:pStyle w:val="Listenabsatz"/>
        <w:numPr>
          <w:ilvl w:val="1"/>
          <w:numId w:val="6"/>
        </w:numPr>
        <w:spacing w:before="120" w:line="242" w:lineRule="auto"/>
        <w:ind w:right="-11" w:hanging="357"/>
        <w:jc w:val="left"/>
      </w:pPr>
      <w:r>
        <w:t xml:space="preserve">Kapitalabfindungen mit Unterhaltscharakter (Abfindungen, Schadenersatzleistungen, Versicherungsleistungen) dürfen (ohne Bewilligung der VB) in Teilbeträgen ebenfalls für den Unterhalt des Kindes verwendet werden.  </w:t>
      </w:r>
    </w:p>
    <w:p w14:paraId="0AC9EFC2" w14:textId="77777777" w:rsidR="0032323D" w:rsidRDefault="0093350B" w:rsidP="0053296F">
      <w:pPr>
        <w:numPr>
          <w:ilvl w:val="0"/>
          <w:numId w:val="6"/>
        </w:numPr>
        <w:spacing w:before="120" w:line="242" w:lineRule="auto"/>
        <w:ind w:right="-11" w:hanging="357"/>
        <w:jc w:val="left"/>
      </w:pPr>
      <w:r>
        <w:t xml:space="preserve">In allen übrigen Fällen ist eine </w:t>
      </w:r>
      <w:r>
        <w:rPr>
          <w:b/>
        </w:rPr>
        <w:t>Verwendung</w:t>
      </w:r>
      <w:r>
        <w:t xml:space="preserve"> des Kindes</w:t>
      </w:r>
      <w:r>
        <w:rPr>
          <w:b/>
        </w:rPr>
        <w:t>vermögens</w:t>
      </w:r>
      <w:r>
        <w:t xml:space="preserve"> nur erlaubt, wenn sie für die Bestreitung der Kosten des Unterhalts, der Erziehung und der Ausbildung des Kindes notwendig ist und eine (vorgängig einzuholende) </w:t>
      </w:r>
      <w:r>
        <w:rPr>
          <w:b/>
        </w:rPr>
        <w:t>Zustimmung der Vormundschaftsbehörde</w:t>
      </w:r>
      <w:r>
        <w:t xml:space="preserve"> vorliegt. Die Vormundschaftsbehörde bestimmt dabei die Höhe und den Zweck der Verwendung des dem Kindesvermögen entnommenen Betrages.  </w:t>
      </w:r>
    </w:p>
    <w:p w14:paraId="7FFFA696" w14:textId="45206A78" w:rsidR="0032323D" w:rsidRDefault="0093350B" w:rsidP="0053296F">
      <w:pPr>
        <w:numPr>
          <w:ilvl w:val="0"/>
          <w:numId w:val="6"/>
        </w:numPr>
        <w:spacing w:before="120" w:after="47" w:line="242" w:lineRule="auto"/>
        <w:ind w:right="-11" w:hanging="357"/>
        <w:jc w:val="left"/>
      </w:pPr>
      <w:r>
        <w:t xml:space="preserve">Gemäss SKOS </w:t>
      </w:r>
      <w:r w:rsidRPr="00A2331C">
        <w:rPr>
          <w:highlight w:val="yellow"/>
        </w:rPr>
        <w:t>D.3.1.</w:t>
      </w:r>
      <w:r>
        <w:t xml:space="preserve"> ist bei Minderjährigen ein </w:t>
      </w:r>
      <w:r>
        <w:rPr>
          <w:b/>
        </w:rPr>
        <w:t>Vermögensfreibetrag von Fr. 2'000.--</w:t>
      </w:r>
      <w:r>
        <w:t xml:space="preserve"> einzuhalten. </w:t>
      </w:r>
    </w:p>
    <w:p w14:paraId="0DA6C2C7" w14:textId="77777777" w:rsidR="0032323D" w:rsidRDefault="0032323D" w:rsidP="0053296F">
      <w:pPr>
        <w:spacing w:after="0" w:line="259" w:lineRule="auto"/>
        <w:ind w:left="680" w:right="0" w:firstLine="0"/>
        <w:jc w:val="left"/>
      </w:pPr>
    </w:p>
    <w:tbl>
      <w:tblPr>
        <w:tblStyle w:val="TableGrid"/>
        <w:tblW w:w="9131" w:type="dxa"/>
        <w:tblInd w:w="650" w:type="dxa"/>
        <w:tblCellMar>
          <w:top w:w="6" w:type="dxa"/>
          <w:right w:w="115" w:type="dxa"/>
        </w:tblCellMar>
        <w:tblLook w:val="04A0" w:firstRow="1" w:lastRow="0" w:firstColumn="1" w:lastColumn="0" w:noHBand="0" w:noVBand="1"/>
      </w:tblPr>
      <w:tblGrid>
        <w:gridCol w:w="462"/>
        <w:gridCol w:w="8669"/>
      </w:tblGrid>
      <w:tr w:rsidR="0032323D" w14:paraId="2563770F" w14:textId="77777777">
        <w:trPr>
          <w:trHeight w:val="253"/>
        </w:trPr>
        <w:tc>
          <w:tcPr>
            <w:tcW w:w="462" w:type="dxa"/>
            <w:tcBorders>
              <w:top w:val="nil"/>
              <w:left w:val="nil"/>
              <w:bottom w:val="nil"/>
              <w:right w:val="nil"/>
            </w:tcBorders>
            <w:shd w:val="clear" w:color="auto" w:fill="9ACCFF"/>
          </w:tcPr>
          <w:p w14:paraId="518B108D" w14:textId="77777777" w:rsidR="0032323D" w:rsidRDefault="0093350B" w:rsidP="0053296F">
            <w:pPr>
              <w:spacing w:after="0" w:line="259" w:lineRule="auto"/>
              <w:ind w:left="30" w:right="0" w:firstLine="0"/>
              <w:jc w:val="left"/>
            </w:pPr>
            <w:r>
              <w:rPr>
                <w:b/>
              </w:rPr>
              <w:t xml:space="preserve">3 </w:t>
            </w:r>
          </w:p>
        </w:tc>
        <w:tc>
          <w:tcPr>
            <w:tcW w:w="8669" w:type="dxa"/>
            <w:tcBorders>
              <w:top w:val="nil"/>
              <w:left w:val="nil"/>
              <w:bottom w:val="nil"/>
              <w:right w:val="nil"/>
            </w:tcBorders>
            <w:shd w:val="clear" w:color="auto" w:fill="9ACCFF"/>
          </w:tcPr>
          <w:p w14:paraId="5F06DD45" w14:textId="77777777" w:rsidR="0032323D" w:rsidRDefault="0093350B" w:rsidP="0053296F">
            <w:pPr>
              <w:spacing w:after="0" w:line="259" w:lineRule="auto"/>
              <w:ind w:left="0" w:right="0" w:firstLine="0"/>
              <w:jc w:val="left"/>
            </w:pPr>
            <w:r>
              <w:rPr>
                <w:b/>
              </w:rPr>
              <w:t xml:space="preserve">Einholung der Zustimmung der Vormundschaftsbehörde </w:t>
            </w:r>
          </w:p>
        </w:tc>
      </w:tr>
    </w:tbl>
    <w:p w14:paraId="73DB4FDD" w14:textId="77777777" w:rsidR="0032323D" w:rsidRDefault="0093350B" w:rsidP="0053296F">
      <w:pPr>
        <w:spacing w:after="1448"/>
        <w:ind w:left="665" w:right="-9" w:firstLine="0"/>
        <w:jc w:val="left"/>
      </w:pPr>
      <w:r>
        <w:t xml:space="preserve">Für die Zustimmung der Vormundschaftsbehörde ist ein formeller Antrag mit Begründung notwendig. Der Antrag ist zu richten an: Vormundschaftsbehörde, Abteilung Inventarisation / Kindesvermögen. Bei der Prüfung der Genehmigung ist das Interesse des Kindes an den geforderten Ausgaben ausschlaggebend. </w:t>
      </w:r>
    </w:p>
    <w:sectPr w:rsidR="0032323D" w:rsidSect="0053296F">
      <w:footerReference w:type="default" r:id="rId13"/>
      <w:pgSz w:w="11900" w:h="16840"/>
      <w:pgMar w:top="1560" w:right="1123" w:bottom="1440"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3900F" w14:textId="77777777" w:rsidR="0053296F" w:rsidRDefault="0053296F" w:rsidP="0053296F">
      <w:pPr>
        <w:spacing w:after="0" w:line="240" w:lineRule="auto"/>
      </w:pPr>
      <w:r>
        <w:separator/>
      </w:r>
    </w:p>
  </w:endnote>
  <w:endnote w:type="continuationSeparator" w:id="0">
    <w:p w14:paraId="4DEEDED4" w14:textId="77777777" w:rsidR="0053296F" w:rsidRDefault="0053296F" w:rsidP="00532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709" w:type="dxa"/>
      <w:tblBorders>
        <w:top w:val="single" w:sz="4" w:space="0" w:color="auto"/>
      </w:tblBorders>
      <w:tblLayout w:type="fixed"/>
      <w:tblCellMar>
        <w:left w:w="3" w:type="dxa"/>
        <w:right w:w="3" w:type="dxa"/>
      </w:tblCellMar>
      <w:tblLook w:val="0000" w:firstRow="0" w:lastRow="0" w:firstColumn="0" w:lastColumn="0" w:noHBand="0" w:noVBand="0"/>
    </w:tblPr>
    <w:tblGrid>
      <w:gridCol w:w="4253"/>
      <w:gridCol w:w="2240"/>
      <w:gridCol w:w="2640"/>
    </w:tblGrid>
    <w:tr w:rsidR="0053296F" w14:paraId="6CB3759F" w14:textId="77777777" w:rsidTr="0053296F">
      <w:trPr>
        <w:trHeight w:val="284"/>
      </w:trPr>
      <w:tc>
        <w:tcPr>
          <w:tcW w:w="4253" w:type="dxa"/>
        </w:tcPr>
        <w:p w14:paraId="45CDBCCB" w14:textId="77777777" w:rsidR="0053296F" w:rsidRDefault="0053296F" w:rsidP="0053296F">
          <w:pPr>
            <w:pStyle w:val="Fuzeile"/>
            <w:tabs>
              <w:tab w:val="clear" w:pos="4536"/>
              <w:tab w:val="clear" w:pos="9072"/>
              <w:tab w:val="right" w:pos="8504"/>
            </w:tabs>
            <w:ind w:left="0" w:hanging="2"/>
            <w:jc w:val="left"/>
            <w:rPr>
              <w:sz w:val="17"/>
            </w:rPr>
          </w:pPr>
          <w:r>
            <w:rPr>
              <w:sz w:val="17"/>
            </w:rPr>
            <w:t>PRA_Umgang_Kindesvermögen_SoD</w:t>
          </w:r>
        </w:p>
      </w:tc>
      <w:tc>
        <w:tcPr>
          <w:tcW w:w="2240" w:type="dxa"/>
        </w:tcPr>
        <w:p w14:paraId="00D08287" w14:textId="07A147B4" w:rsidR="0053296F" w:rsidRDefault="0053296F" w:rsidP="0053296F">
          <w:pPr>
            <w:pStyle w:val="Fuzeile"/>
            <w:tabs>
              <w:tab w:val="clear" w:pos="4536"/>
              <w:tab w:val="clear" w:pos="9072"/>
              <w:tab w:val="right" w:pos="8504"/>
            </w:tabs>
            <w:jc w:val="left"/>
            <w:rPr>
              <w:sz w:val="17"/>
            </w:rPr>
          </w:pPr>
          <w:r>
            <w:rPr>
              <w:sz w:val="17"/>
            </w:rPr>
            <w:t>Version 1.1</w:t>
          </w:r>
        </w:p>
      </w:tc>
      <w:tc>
        <w:tcPr>
          <w:tcW w:w="2640" w:type="dxa"/>
        </w:tcPr>
        <w:p w14:paraId="5A2C3328" w14:textId="51486A27" w:rsidR="0053296F" w:rsidRDefault="0053296F" w:rsidP="0053296F">
          <w:pPr>
            <w:pStyle w:val="Fuzeile"/>
            <w:tabs>
              <w:tab w:val="clear" w:pos="4536"/>
              <w:tab w:val="clear" w:pos="9072"/>
              <w:tab w:val="right" w:pos="8504"/>
            </w:tabs>
            <w:jc w:val="left"/>
            <w:rPr>
              <w:sz w:val="17"/>
              <w:lang w:val="de-DE"/>
            </w:rPr>
          </w:pPr>
          <w:r>
            <w:rPr>
              <w:sz w:val="17"/>
              <w:lang w:val="de-DE"/>
            </w:rPr>
            <w:t xml:space="preserve">VerfasserIn: </w:t>
          </w:r>
          <w:r>
            <w:rPr>
              <w:sz w:val="17"/>
            </w:rPr>
            <w:t>FS WH</w:t>
          </w:r>
        </w:p>
      </w:tc>
    </w:tr>
    <w:tr w:rsidR="0053296F" w14:paraId="105D3735" w14:textId="77777777" w:rsidTr="0053296F">
      <w:trPr>
        <w:trHeight w:val="284"/>
      </w:trPr>
      <w:tc>
        <w:tcPr>
          <w:tcW w:w="9133" w:type="dxa"/>
          <w:gridSpan w:val="3"/>
        </w:tcPr>
        <w:p w14:paraId="3BB4563D" w14:textId="77777777" w:rsidR="0053296F" w:rsidRDefault="0053296F" w:rsidP="0053296F">
          <w:pPr>
            <w:pStyle w:val="Fuzeile"/>
            <w:tabs>
              <w:tab w:val="clear" w:pos="4536"/>
              <w:tab w:val="clear" w:pos="9072"/>
              <w:tab w:val="right" w:pos="8504"/>
            </w:tabs>
            <w:ind w:left="0" w:hanging="2"/>
            <w:jc w:val="left"/>
            <w:rPr>
              <w:sz w:val="17"/>
              <w:lang w:val="de-DE"/>
            </w:rPr>
          </w:pPr>
          <w:r>
            <w:rPr>
              <w:sz w:val="17"/>
              <w:lang w:val="de-DE"/>
            </w:rPr>
            <w:t>© Copyright: Soziale Dienste. Eine Weiterverwendung ist nur mit dem Zusatz «Soziale Dienste Stadt Zürich» erlaubt.</w:t>
          </w:r>
        </w:p>
      </w:tc>
    </w:tr>
  </w:tbl>
  <w:p w14:paraId="631BA5F2" w14:textId="77777777" w:rsidR="0053296F" w:rsidRDefault="0053296F" w:rsidP="0053296F">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C38A5" w14:textId="77777777" w:rsidR="0053296F" w:rsidRDefault="0053296F" w:rsidP="0053296F">
      <w:pPr>
        <w:spacing w:after="0" w:line="240" w:lineRule="auto"/>
      </w:pPr>
      <w:r>
        <w:separator/>
      </w:r>
    </w:p>
  </w:footnote>
  <w:footnote w:type="continuationSeparator" w:id="0">
    <w:p w14:paraId="7FB101E5" w14:textId="77777777" w:rsidR="0053296F" w:rsidRDefault="0053296F" w:rsidP="00532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C44"/>
    <w:multiLevelType w:val="hybridMultilevel"/>
    <w:tmpl w:val="B032EFE2"/>
    <w:lvl w:ilvl="0" w:tplc="151C11B0">
      <w:start w:val="1"/>
      <w:numFmt w:val="bullet"/>
      <w:lvlText w:val="•"/>
      <w:lvlJc w:val="left"/>
      <w:pPr>
        <w:ind w:left="3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70003" w:tentative="1">
      <w:start w:val="1"/>
      <w:numFmt w:val="bullet"/>
      <w:lvlText w:val="o"/>
      <w:lvlJc w:val="left"/>
      <w:pPr>
        <w:ind w:left="3560" w:hanging="360"/>
      </w:pPr>
      <w:rPr>
        <w:rFonts w:ascii="Courier New" w:hAnsi="Courier New" w:cs="Courier New" w:hint="default"/>
      </w:rPr>
    </w:lvl>
    <w:lvl w:ilvl="2" w:tplc="08070005" w:tentative="1">
      <w:start w:val="1"/>
      <w:numFmt w:val="bullet"/>
      <w:lvlText w:val=""/>
      <w:lvlJc w:val="left"/>
      <w:pPr>
        <w:ind w:left="4280" w:hanging="360"/>
      </w:pPr>
      <w:rPr>
        <w:rFonts w:ascii="Wingdings" w:hAnsi="Wingdings" w:hint="default"/>
      </w:rPr>
    </w:lvl>
    <w:lvl w:ilvl="3" w:tplc="08070001" w:tentative="1">
      <w:start w:val="1"/>
      <w:numFmt w:val="bullet"/>
      <w:lvlText w:val=""/>
      <w:lvlJc w:val="left"/>
      <w:pPr>
        <w:ind w:left="5000" w:hanging="360"/>
      </w:pPr>
      <w:rPr>
        <w:rFonts w:ascii="Symbol" w:hAnsi="Symbol" w:hint="default"/>
      </w:rPr>
    </w:lvl>
    <w:lvl w:ilvl="4" w:tplc="08070003" w:tentative="1">
      <w:start w:val="1"/>
      <w:numFmt w:val="bullet"/>
      <w:lvlText w:val="o"/>
      <w:lvlJc w:val="left"/>
      <w:pPr>
        <w:ind w:left="5720" w:hanging="360"/>
      </w:pPr>
      <w:rPr>
        <w:rFonts w:ascii="Courier New" w:hAnsi="Courier New" w:cs="Courier New" w:hint="default"/>
      </w:rPr>
    </w:lvl>
    <w:lvl w:ilvl="5" w:tplc="08070005" w:tentative="1">
      <w:start w:val="1"/>
      <w:numFmt w:val="bullet"/>
      <w:lvlText w:val=""/>
      <w:lvlJc w:val="left"/>
      <w:pPr>
        <w:ind w:left="6440" w:hanging="360"/>
      </w:pPr>
      <w:rPr>
        <w:rFonts w:ascii="Wingdings" w:hAnsi="Wingdings" w:hint="default"/>
      </w:rPr>
    </w:lvl>
    <w:lvl w:ilvl="6" w:tplc="08070001" w:tentative="1">
      <w:start w:val="1"/>
      <w:numFmt w:val="bullet"/>
      <w:lvlText w:val=""/>
      <w:lvlJc w:val="left"/>
      <w:pPr>
        <w:ind w:left="7160" w:hanging="360"/>
      </w:pPr>
      <w:rPr>
        <w:rFonts w:ascii="Symbol" w:hAnsi="Symbol" w:hint="default"/>
      </w:rPr>
    </w:lvl>
    <w:lvl w:ilvl="7" w:tplc="08070003" w:tentative="1">
      <w:start w:val="1"/>
      <w:numFmt w:val="bullet"/>
      <w:lvlText w:val="o"/>
      <w:lvlJc w:val="left"/>
      <w:pPr>
        <w:ind w:left="7880" w:hanging="360"/>
      </w:pPr>
      <w:rPr>
        <w:rFonts w:ascii="Courier New" w:hAnsi="Courier New" w:cs="Courier New" w:hint="default"/>
      </w:rPr>
    </w:lvl>
    <w:lvl w:ilvl="8" w:tplc="08070005" w:tentative="1">
      <w:start w:val="1"/>
      <w:numFmt w:val="bullet"/>
      <w:lvlText w:val=""/>
      <w:lvlJc w:val="left"/>
      <w:pPr>
        <w:ind w:left="8600" w:hanging="360"/>
      </w:pPr>
      <w:rPr>
        <w:rFonts w:ascii="Wingdings" w:hAnsi="Wingdings" w:hint="default"/>
      </w:rPr>
    </w:lvl>
  </w:abstractNum>
  <w:abstractNum w:abstractNumId="1" w15:restartNumberingAfterBreak="0">
    <w:nsid w:val="0EBA3395"/>
    <w:multiLevelType w:val="hybridMultilevel"/>
    <w:tmpl w:val="25520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C964B4"/>
    <w:multiLevelType w:val="hybridMultilevel"/>
    <w:tmpl w:val="4C10890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821CE4"/>
    <w:multiLevelType w:val="hybridMultilevel"/>
    <w:tmpl w:val="32401F9C"/>
    <w:lvl w:ilvl="0" w:tplc="151C11B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F54E99"/>
    <w:multiLevelType w:val="hybridMultilevel"/>
    <w:tmpl w:val="33ACBBFC"/>
    <w:lvl w:ilvl="0" w:tplc="08070003">
      <w:start w:val="1"/>
      <w:numFmt w:val="bullet"/>
      <w:lvlText w:val="o"/>
      <w:lvlJc w:val="left"/>
      <w:pPr>
        <w:ind w:left="306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8070003" w:tentative="1">
      <w:start w:val="1"/>
      <w:numFmt w:val="bullet"/>
      <w:lvlText w:val="o"/>
      <w:lvlJc w:val="left"/>
      <w:pPr>
        <w:ind w:left="3560" w:hanging="360"/>
      </w:pPr>
      <w:rPr>
        <w:rFonts w:ascii="Courier New" w:hAnsi="Courier New" w:cs="Courier New" w:hint="default"/>
      </w:rPr>
    </w:lvl>
    <w:lvl w:ilvl="2" w:tplc="08070005" w:tentative="1">
      <w:start w:val="1"/>
      <w:numFmt w:val="bullet"/>
      <w:lvlText w:val=""/>
      <w:lvlJc w:val="left"/>
      <w:pPr>
        <w:ind w:left="4280" w:hanging="360"/>
      </w:pPr>
      <w:rPr>
        <w:rFonts w:ascii="Wingdings" w:hAnsi="Wingdings" w:hint="default"/>
      </w:rPr>
    </w:lvl>
    <w:lvl w:ilvl="3" w:tplc="08070001" w:tentative="1">
      <w:start w:val="1"/>
      <w:numFmt w:val="bullet"/>
      <w:lvlText w:val=""/>
      <w:lvlJc w:val="left"/>
      <w:pPr>
        <w:ind w:left="5000" w:hanging="360"/>
      </w:pPr>
      <w:rPr>
        <w:rFonts w:ascii="Symbol" w:hAnsi="Symbol" w:hint="default"/>
      </w:rPr>
    </w:lvl>
    <w:lvl w:ilvl="4" w:tplc="08070003" w:tentative="1">
      <w:start w:val="1"/>
      <w:numFmt w:val="bullet"/>
      <w:lvlText w:val="o"/>
      <w:lvlJc w:val="left"/>
      <w:pPr>
        <w:ind w:left="5720" w:hanging="360"/>
      </w:pPr>
      <w:rPr>
        <w:rFonts w:ascii="Courier New" w:hAnsi="Courier New" w:cs="Courier New" w:hint="default"/>
      </w:rPr>
    </w:lvl>
    <w:lvl w:ilvl="5" w:tplc="08070005" w:tentative="1">
      <w:start w:val="1"/>
      <w:numFmt w:val="bullet"/>
      <w:lvlText w:val=""/>
      <w:lvlJc w:val="left"/>
      <w:pPr>
        <w:ind w:left="6440" w:hanging="360"/>
      </w:pPr>
      <w:rPr>
        <w:rFonts w:ascii="Wingdings" w:hAnsi="Wingdings" w:hint="default"/>
      </w:rPr>
    </w:lvl>
    <w:lvl w:ilvl="6" w:tplc="08070001" w:tentative="1">
      <w:start w:val="1"/>
      <w:numFmt w:val="bullet"/>
      <w:lvlText w:val=""/>
      <w:lvlJc w:val="left"/>
      <w:pPr>
        <w:ind w:left="7160" w:hanging="360"/>
      </w:pPr>
      <w:rPr>
        <w:rFonts w:ascii="Symbol" w:hAnsi="Symbol" w:hint="default"/>
      </w:rPr>
    </w:lvl>
    <w:lvl w:ilvl="7" w:tplc="08070003" w:tentative="1">
      <w:start w:val="1"/>
      <w:numFmt w:val="bullet"/>
      <w:lvlText w:val="o"/>
      <w:lvlJc w:val="left"/>
      <w:pPr>
        <w:ind w:left="7880" w:hanging="360"/>
      </w:pPr>
      <w:rPr>
        <w:rFonts w:ascii="Courier New" w:hAnsi="Courier New" w:cs="Courier New" w:hint="default"/>
      </w:rPr>
    </w:lvl>
    <w:lvl w:ilvl="8" w:tplc="08070005" w:tentative="1">
      <w:start w:val="1"/>
      <w:numFmt w:val="bullet"/>
      <w:lvlText w:val=""/>
      <w:lvlJc w:val="left"/>
      <w:pPr>
        <w:ind w:left="8600" w:hanging="360"/>
      </w:pPr>
      <w:rPr>
        <w:rFonts w:ascii="Wingdings" w:hAnsi="Wingdings" w:hint="default"/>
      </w:rPr>
    </w:lvl>
  </w:abstractNum>
  <w:abstractNum w:abstractNumId="5" w15:restartNumberingAfterBreak="0">
    <w:nsid w:val="55B54B7E"/>
    <w:multiLevelType w:val="hybridMultilevel"/>
    <w:tmpl w:val="C07CC67C"/>
    <w:lvl w:ilvl="0" w:tplc="151C11B0">
      <w:start w:val="1"/>
      <w:numFmt w:val="bullet"/>
      <w:lvlText w:val="•"/>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6E11A">
      <w:start w:val="1"/>
      <w:numFmt w:val="bullet"/>
      <w:lvlText w:val="o"/>
      <w:lvlJc w:val="left"/>
      <w:pPr>
        <w:ind w:left="1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962B8C">
      <w:start w:val="1"/>
      <w:numFmt w:val="bullet"/>
      <w:lvlText w:val="▪"/>
      <w:lvlJc w:val="left"/>
      <w:pPr>
        <w:ind w:left="2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4CCD96">
      <w:start w:val="1"/>
      <w:numFmt w:val="bullet"/>
      <w:lvlText w:val="•"/>
      <w:lvlJc w:val="left"/>
      <w:pPr>
        <w:ind w:left="3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964B5C">
      <w:start w:val="1"/>
      <w:numFmt w:val="bullet"/>
      <w:lvlText w:val="o"/>
      <w:lvlJc w:val="left"/>
      <w:pPr>
        <w:ind w:left="3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406EDC">
      <w:start w:val="1"/>
      <w:numFmt w:val="bullet"/>
      <w:lvlText w:val="▪"/>
      <w:lvlJc w:val="left"/>
      <w:pPr>
        <w:ind w:left="4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286116">
      <w:start w:val="1"/>
      <w:numFmt w:val="bullet"/>
      <w:lvlText w:val="•"/>
      <w:lvlJc w:val="left"/>
      <w:pPr>
        <w:ind w:left="5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64FDD4">
      <w:start w:val="1"/>
      <w:numFmt w:val="bullet"/>
      <w:lvlText w:val="o"/>
      <w:lvlJc w:val="left"/>
      <w:pPr>
        <w:ind w:left="6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4A026">
      <w:start w:val="1"/>
      <w:numFmt w:val="bullet"/>
      <w:lvlText w:val="▪"/>
      <w:lvlJc w:val="left"/>
      <w:pPr>
        <w:ind w:left="6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trackRevisions/>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3D"/>
    <w:rsid w:val="0032323D"/>
    <w:rsid w:val="0053296F"/>
    <w:rsid w:val="008610E0"/>
    <w:rsid w:val="0093350B"/>
    <w:rsid w:val="00A2331C"/>
    <w:rsid w:val="00A977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2BC6FE"/>
  <w15:docId w15:val="{C9BEBFBF-F182-4EAD-A141-3E112D0D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4" w:line="243" w:lineRule="auto"/>
      <w:ind w:left="973" w:right="5" w:hanging="293"/>
      <w:jc w:val="both"/>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5329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296F"/>
    <w:rPr>
      <w:rFonts w:ascii="Arial" w:eastAsia="Arial" w:hAnsi="Arial" w:cs="Arial"/>
      <w:color w:val="000000"/>
    </w:rPr>
  </w:style>
  <w:style w:type="paragraph" w:styleId="Fuzeile">
    <w:name w:val="footer"/>
    <w:basedOn w:val="Standard"/>
    <w:link w:val="FuzeileZchn"/>
    <w:unhideWhenUsed/>
    <w:rsid w:val="005329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296F"/>
    <w:rPr>
      <w:rFonts w:ascii="Arial" w:eastAsia="Arial" w:hAnsi="Arial" w:cs="Arial"/>
      <w:color w:val="000000"/>
    </w:rPr>
  </w:style>
  <w:style w:type="paragraph" w:styleId="Sprechblasentext">
    <w:name w:val="Balloon Text"/>
    <w:basedOn w:val="Standard"/>
    <w:link w:val="SprechblasentextZchn"/>
    <w:uiPriority w:val="99"/>
    <w:semiHidden/>
    <w:unhideWhenUsed/>
    <w:rsid w:val="005329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296F"/>
    <w:rPr>
      <w:rFonts w:ascii="Segoe UI" w:eastAsia="Arial" w:hAnsi="Segoe UI" w:cs="Segoe UI"/>
      <w:color w:val="000000"/>
      <w:sz w:val="18"/>
      <w:szCs w:val="18"/>
    </w:rPr>
  </w:style>
  <w:style w:type="paragraph" w:styleId="Listenabsatz">
    <w:name w:val="List Paragraph"/>
    <w:basedOn w:val="Standard"/>
    <w:uiPriority w:val="34"/>
    <w:qFormat/>
    <w:rsid w:val="0053296F"/>
    <w:pPr>
      <w:ind w:left="720"/>
      <w:contextualSpacing/>
    </w:pPr>
  </w:style>
  <w:style w:type="character" w:styleId="Kommentarzeichen">
    <w:name w:val="annotation reference"/>
    <w:basedOn w:val="Absatz-Standardschriftart"/>
    <w:uiPriority w:val="99"/>
    <w:semiHidden/>
    <w:unhideWhenUsed/>
    <w:rsid w:val="0053296F"/>
    <w:rPr>
      <w:sz w:val="16"/>
      <w:szCs w:val="16"/>
    </w:rPr>
  </w:style>
  <w:style w:type="paragraph" w:styleId="Kommentartext">
    <w:name w:val="annotation text"/>
    <w:basedOn w:val="Standard"/>
    <w:link w:val="KommentartextZchn"/>
    <w:uiPriority w:val="99"/>
    <w:semiHidden/>
    <w:unhideWhenUsed/>
    <w:rsid w:val="00532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3296F"/>
    <w:rPr>
      <w:rFonts w:ascii="Arial" w:eastAsia="Arial" w:hAnsi="Arial" w:cs="Arial"/>
      <w:color w:val="000000"/>
      <w:sz w:val="20"/>
      <w:szCs w:val="20"/>
    </w:rPr>
  </w:style>
  <w:style w:type="paragraph" w:styleId="Kommentarthema">
    <w:name w:val="annotation subject"/>
    <w:basedOn w:val="Kommentartext"/>
    <w:next w:val="Kommentartext"/>
    <w:link w:val="KommentarthemaZchn"/>
    <w:uiPriority w:val="99"/>
    <w:semiHidden/>
    <w:unhideWhenUsed/>
    <w:rsid w:val="0053296F"/>
    <w:rPr>
      <w:b/>
      <w:bCs/>
    </w:rPr>
  </w:style>
  <w:style w:type="character" w:customStyle="1" w:styleId="KommentarthemaZchn">
    <w:name w:val="Kommentarthema Zchn"/>
    <w:basedOn w:val="KommentartextZchn"/>
    <w:link w:val="Kommentarthema"/>
    <w:uiPriority w:val="99"/>
    <w:semiHidden/>
    <w:rsid w:val="0053296F"/>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hematische_x0020_Zuordnung_x0020_Fachressort_x0028_s_x0029_ xmlns="f3b92940-74e1-4b32-811a-cd501d17ae23">
      <Value>5</Value>
      <Value>3</Value>
    </Thematische_x0020_Zuordnung_x0020_Fachressort_x0028_s_x0029_>
    <Zu_x0020_konsultierende_x002f_-s_x0020_Fachressort_x002f_-s xmlns="f3b92940-74e1-4b32-811a-cd501d17ae23">
      <Value>5</Value>
      <Value>3</Value>
    </Zu_x0020_konsultierende_x002f_-s_x0020_Fachressort_x002f_-s>
    <Gesetzliche_x0020_Grundlage xmlns="f3b92940-74e1-4b32-811a-cd501d17ae23" xsi:nil="true"/>
    <Version_x0020_des_x0020_Dokuments xmlns="3905ffbc-9aeb-4d51-937e-ee1e2cf00671">1.1</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Herausgabe_x0020_bei_x0020_Informationszugangsgesuchen xmlns="f3b92940-74e1-4b32-811a-cd501d17ae23">kann herausgegeben werden</Herausgabe_x0020_bei_x0020_Informationszugangsgesuchen>
    <SKOS-Kapitel xmlns="f3b92940-74e1-4b32-811a-cd501d17ae23">
      <Value>4</Value>
    </SKOS-Kapitel>
    <Kurzbeschreibung_x0020_Dokument xmlns="3905ffbc-9aeb-4d51-937e-ee1e2cf00671">&lt;div&gt;&lt;/div&gt;</Kurzbeschreibung_x0020_Dokument>
    <Fachkonzept xmlns="f3b92940-74e1-4b32-811a-cd501d17ae23" xsi:nil="true"/>
    <Leistung xmlns="f3b92940-74e1-4b32-811a-cd501d17ae23" xsi:nil="true"/>
    <Dokumentenstatus xmlns="f3b92940-74e1-4b32-811a-cd501d17ae23">3</Dokumentenstatus>
    <Verantwortliche_x002f_r_x0020_Autor_x002f_in xmlns="3905ffbc-9aeb-4d51-937e-ee1e2cf00671">
      <UserInfo>
        <DisplayName>i:0#.w|global\sozsodk</DisplayName>
        <AccountId>392</AccountId>
        <AccountType/>
      </UserInfo>
    </Verantwortliche_x002f_r_x0020_Autor_x002f_in>
    <Gültig_x0020_von xmlns="3905ffbc-9aeb-4d51-937e-ee1e2cf00671">2020-12-31T23:00:00+00:00</Gültig_x0020_von>
    <Dokumentenart1 xmlns="3905ffbc-9aeb-4d51-937e-ee1e2cf00671" xsi:nil="true"/>
    <Federführende_x002f_s_x0020_Fachressort_x002f_Einheit xmlns="f3b92940-74e1-4b32-811a-cd501d17ae23">5</Federführende_x002f_s_x0020_Fachressort_x002f_Einheit>
  </documentManagement>
</p:properties>
</file>

<file path=customXml/itemProps1.xml><?xml version="1.0" encoding="utf-8"?>
<ds:datastoreItem xmlns:ds="http://schemas.openxmlformats.org/officeDocument/2006/customXml" ds:itemID="{50A3ADFB-B3C7-4236-B306-7DD087F44A48}">
  <ds:schemaRefs>
    <ds:schemaRef ds:uri="http://schemas.microsoft.com/sharepoint/v3/contenttype/forms"/>
  </ds:schemaRefs>
</ds:datastoreItem>
</file>

<file path=customXml/itemProps2.xml><?xml version="1.0" encoding="utf-8"?>
<ds:datastoreItem xmlns:ds="http://schemas.openxmlformats.org/officeDocument/2006/customXml" ds:itemID="{0BB558CB-11CF-4AF0-A592-920BA6FA73EC}">
  <ds:schemaRefs>
    <ds:schemaRef ds:uri="http://schemas.microsoft.com/sharepoint/events"/>
  </ds:schemaRefs>
</ds:datastoreItem>
</file>

<file path=customXml/itemProps3.xml><?xml version="1.0" encoding="utf-8"?>
<ds:datastoreItem xmlns:ds="http://schemas.openxmlformats.org/officeDocument/2006/customXml" ds:itemID="{0A329169-1BC1-4060-8B3F-17874AB54DF4}">
  <ds:schemaRefs>
    <ds:schemaRef ds:uri="http://schemas.microsoft.com/office/2006/metadata/customXsn"/>
  </ds:schemaRefs>
</ds:datastoreItem>
</file>

<file path=customXml/itemProps4.xml><?xml version="1.0" encoding="utf-8"?>
<ds:datastoreItem xmlns:ds="http://schemas.openxmlformats.org/officeDocument/2006/customXml" ds:itemID="{BA8331FF-19BB-40C8-88B8-28D391CCA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353FC2-A1E6-437B-8EC4-1EB48E24621B}">
  <ds:schemaRefs>
    <ds:schemaRef ds:uri="http://purl.org/dc/elements/1.1/"/>
    <ds:schemaRef ds:uri="25f3c3a0-1ed7-46fa-91b0-e5175ac448d0"/>
    <ds:schemaRef ds:uri="http://schemas.microsoft.com/office/2006/metadata/properties"/>
    <ds:schemaRef ds:uri="f3b92940-74e1-4b32-811a-cd501d17ae23"/>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3905ffbc-9aeb-4d51-937e-ee1e2cf0067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Microsoft Word - PRA_Umgang_Kindesvermögen.doc</vt:lpstr>
    </vt:vector>
  </TitlesOfParts>
  <Company>Stadt Zürich</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PRA_Umgang_Kindesvermögen.doc</dc:title>
  <dc:subject/>
  <dc:creator>sozrem</dc:creator>
  <cp:keywords/>
  <cp:lastModifiedBy>Nadine Grunder (sozgnn)</cp:lastModifiedBy>
  <cp:revision>2</cp:revision>
  <dcterms:created xsi:type="dcterms:W3CDTF">2021-06-21T05:33:00Z</dcterms:created>
  <dcterms:modified xsi:type="dcterms:W3CDTF">2021-06-21T05:33:00Z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ies>
</file>