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14:paraId="51D2D2AD"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77675949" w14:textId="77777777" w:rsidR="002129A1" w:rsidRPr="0008034C" w:rsidRDefault="002129A1">
            <w:pPr>
              <w:pStyle w:val="WeisungKopfteil"/>
              <w:framePr w:hSpace="0" w:wrap="auto" w:vAnchor="margin" w:hAnchor="text" w:xAlign="left" w:yAlign="inline"/>
              <w:spacing w:after="0"/>
              <w:rPr>
                <w:b w:val="0"/>
                <w:bCs/>
                <w:sz w:val="20"/>
                <w:highlight w:val="yellow"/>
              </w:rPr>
            </w:pPr>
            <w:r w:rsidRPr="0008034C">
              <w:rPr>
                <w:highlight w:val="yellow"/>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52D93370" w14:textId="77777777" w:rsidR="002129A1" w:rsidRDefault="00E70206">
            <w:pPr>
              <w:pStyle w:val="WeisungKopfteil"/>
              <w:framePr w:hSpace="0" w:wrap="auto" w:vAnchor="margin" w:hAnchor="text" w:xAlign="left" w:yAlign="inline"/>
              <w:spacing w:after="0"/>
              <w:jc w:val="center"/>
              <w:rPr>
                <w:sz w:val="20"/>
              </w:rPr>
            </w:pPr>
            <w:r>
              <w:t>Praxishilfe</w:t>
            </w:r>
            <w:r w:rsidR="002129A1">
              <w:br/>
            </w:r>
          </w:p>
        </w:tc>
        <w:bookmarkStart w:id="0" w:name="Dropdown1"/>
        <w:tc>
          <w:tcPr>
            <w:tcW w:w="2414" w:type="dxa"/>
            <w:tcBorders>
              <w:top w:val="single" w:sz="4" w:space="0" w:color="808080"/>
              <w:left w:val="single" w:sz="6" w:space="0" w:color="808080"/>
              <w:bottom w:val="nil"/>
              <w:right w:val="single" w:sz="4" w:space="0" w:color="808080"/>
            </w:tcBorders>
            <w:shd w:val="clear" w:color="auto" w:fill="F3F3F3"/>
          </w:tcPr>
          <w:p w14:paraId="71973B82" w14:textId="77777777" w:rsidR="002129A1" w:rsidRDefault="0053312E">
            <w:pPr>
              <w:pStyle w:val="WeisungKopfteil"/>
              <w:framePr w:hSpace="0" w:wrap="auto" w:vAnchor="margin" w:hAnchor="text" w:xAlign="left" w:yAlign="inline"/>
              <w:spacing w:after="0"/>
              <w:ind w:right="45"/>
              <w:jc w:val="right"/>
              <w:rPr>
                <w:b w:val="0"/>
                <w:bCs/>
                <w:sz w:val="20"/>
              </w:rPr>
            </w:pPr>
            <w:r>
              <w:fldChar w:fldCharType="begin">
                <w:ffData>
                  <w:name w:val="Dropdown1"/>
                  <w:enabled/>
                  <w:calcOnExit w:val="0"/>
                  <w:ddList>
                    <w:listEntry w:val="Gültig ab:"/>
                    <w:listEntry w:val="Datum:"/>
                  </w:ddList>
                </w:ffData>
              </w:fldChar>
            </w:r>
            <w:r>
              <w:instrText xml:space="preserve"> FORMDROPDOWN </w:instrText>
            </w:r>
            <w:r w:rsidR="00A21587">
              <w:fldChar w:fldCharType="separate"/>
            </w:r>
            <w:r>
              <w:fldChar w:fldCharType="end"/>
            </w:r>
            <w:bookmarkEnd w:id="0"/>
            <w:r w:rsidR="002129A1">
              <w:t xml:space="preserve"> </w:t>
            </w:r>
          </w:p>
        </w:tc>
      </w:tr>
      <w:tr w:rsidR="002129A1" w14:paraId="7005E4EF"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1FE918C8" w14:textId="77777777" w:rsidR="002129A1" w:rsidRPr="0008034C" w:rsidRDefault="001A33D5" w:rsidP="00820DD6">
            <w:pPr>
              <w:pStyle w:val="WeisungKopfteil"/>
              <w:framePr w:hSpace="0" w:wrap="auto" w:vAnchor="margin" w:hAnchor="text" w:xAlign="left" w:yAlign="inline"/>
              <w:spacing w:before="0" w:after="0"/>
              <w:rPr>
                <w:highlight w:val="yellow"/>
              </w:rPr>
            </w:pPr>
            <w:r w:rsidRPr="0008034C">
              <w:rPr>
                <w:b w:val="0"/>
                <w:bCs/>
                <w:sz w:val="20"/>
                <w:highlight w:val="yellow"/>
              </w:rPr>
              <w:t xml:space="preserve">SKOS </w:t>
            </w:r>
            <w:r w:rsidR="0008034C" w:rsidRPr="0008034C">
              <w:rPr>
                <w:b w:val="0"/>
                <w:bCs/>
                <w:sz w:val="20"/>
                <w:highlight w:val="yellow"/>
              </w:rPr>
              <w:t xml:space="preserve">D.1 </w:t>
            </w:r>
          </w:p>
        </w:tc>
        <w:tc>
          <w:tcPr>
            <w:tcW w:w="4453" w:type="dxa"/>
            <w:vMerge/>
            <w:tcBorders>
              <w:left w:val="single" w:sz="6" w:space="0" w:color="808080"/>
              <w:bottom w:val="single" w:sz="6" w:space="0" w:color="808080"/>
              <w:right w:val="single" w:sz="6" w:space="0" w:color="808080"/>
            </w:tcBorders>
            <w:shd w:val="clear" w:color="auto" w:fill="F3F3F3"/>
          </w:tcPr>
          <w:p w14:paraId="4C6873A4" w14:textId="77777777" w:rsidR="002129A1" w:rsidRDefault="002129A1">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5E294340" w14:textId="4EA26C7A" w:rsidR="002129A1" w:rsidRDefault="00A21587" w:rsidP="00820DD6">
            <w:pPr>
              <w:pStyle w:val="WeisungKopfteil"/>
              <w:framePr w:hSpace="0" w:wrap="auto" w:vAnchor="margin" w:hAnchor="text" w:xAlign="left" w:yAlign="inline"/>
              <w:spacing w:before="0" w:after="0"/>
              <w:ind w:right="45"/>
              <w:jc w:val="right"/>
            </w:pPr>
            <w:r>
              <w:rPr>
                <w:b w:val="0"/>
                <w:bCs/>
                <w:sz w:val="20"/>
              </w:rPr>
              <w:t>01.08</w:t>
            </w:r>
            <w:bookmarkStart w:id="1" w:name="_GoBack"/>
            <w:bookmarkEnd w:id="1"/>
            <w:r w:rsidR="00BB3AF6">
              <w:rPr>
                <w:b w:val="0"/>
                <w:bCs/>
                <w:sz w:val="20"/>
              </w:rPr>
              <w:t>.</w:t>
            </w:r>
            <w:r w:rsidR="006B53E7">
              <w:rPr>
                <w:b w:val="0"/>
                <w:bCs/>
                <w:sz w:val="20"/>
              </w:rPr>
              <w:t>2023</w:t>
            </w:r>
          </w:p>
        </w:tc>
      </w:tr>
      <w:tr w:rsidR="002129A1" w14:paraId="2325E1EA"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2D2C9A3D" w14:textId="162AF258" w:rsidR="002129A1" w:rsidRDefault="00DE43C9" w:rsidP="008B3150">
            <w:pPr>
              <w:pStyle w:val="WeisungKopfteil"/>
              <w:framePr w:hSpace="0" w:wrap="auto" w:vAnchor="margin" w:hAnchor="text" w:xAlign="left" w:yAlign="inline"/>
            </w:pPr>
            <w:r>
              <w:t>Umgang mit</w:t>
            </w:r>
            <w:r w:rsidR="00607D09">
              <w:t xml:space="preserve"> </w:t>
            </w:r>
            <w:r w:rsidR="008B3150">
              <w:t>Einnahmen in der Wirtschaftlichen Hilfe</w:t>
            </w:r>
            <w:r w:rsidDel="00DE43C9">
              <w:t xml:space="preserve"> </w:t>
            </w:r>
          </w:p>
        </w:tc>
      </w:tr>
    </w:tbl>
    <w:p w14:paraId="7F5899FB" w14:textId="77777777" w:rsidR="003415A9" w:rsidRDefault="003415A9">
      <w:pPr>
        <w:pStyle w:val="Absatz0"/>
        <w:sectPr w:rsidR="003415A9" w:rsidSect="003E5FC8">
          <w:headerReference w:type="default" r:id="rId8"/>
          <w:footerReference w:type="default" r:id="rId9"/>
          <w:headerReference w:type="first" r:id="rId10"/>
          <w:footerReference w:type="first" r:id="rId11"/>
          <w:pgSz w:w="11906" w:h="16838" w:code="9"/>
          <w:pgMar w:top="1985" w:right="1134" w:bottom="567" w:left="1701" w:header="567" w:footer="227" w:gutter="0"/>
          <w:cols w:space="720"/>
          <w:titlePg/>
          <w:docGrid w:linePitch="299"/>
        </w:sectPr>
      </w:pPr>
    </w:p>
    <w:p w14:paraId="0D60058F" w14:textId="77777777" w:rsidR="00321DCC" w:rsidRDefault="00321DCC" w:rsidP="00321DCC">
      <w:pPr>
        <w:pStyle w:val="berschrift1"/>
        <w:numPr>
          <w:ilvl w:val="0"/>
          <w:numId w:val="0"/>
        </w:numPr>
        <w:ind w:left="431" w:hanging="431"/>
      </w:pPr>
      <w:bookmarkStart w:id="2" w:name="_Toc127369488"/>
      <w:r>
        <w:t>Inhaltsverzeichnis</w:t>
      </w:r>
      <w:bookmarkEnd w:id="2"/>
    </w:p>
    <w:sdt>
      <w:sdtPr>
        <w:rPr>
          <w:b w:val="0"/>
          <w:caps w:val="0"/>
          <w:lang w:val="de-DE"/>
        </w:rPr>
        <w:id w:val="-600636864"/>
        <w:docPartObj>
          <w:docPartGallery w:val="Table of Contents"/>
          <w:docPartUnique/>
        </w:docPartObj>
      </w:sdtPr>
      <w:sdtEndPr>
        <w:rPr>
          <w:bCs/>
        </w:rPr>
      </w:sdtEndPr>
      <w:sdtContent>
        <w:p w14:paraId="26E86C7C" w14:textId="0BE42EE1" w:rsidR="00167491" w:rsidRDefault="005A6150" w:rsidP="005A6150">
          <w:pPr>
            <w:pStyle w:val="Verzeichnis1"/>
            <w:ind w:left="0" w:firstLine="0"/>
            <w:rPr>
              <w:rFonts w:asciiTheme="minorHAnsi" w:eastAsiaTheme="minorEastAsia" w:hAnsiTheme="minorHAnsi" w:cstheme="minorBidi"/>
              <w:b w:val="0"/>
              <w:caps w:val="0"/>
              <w:noProof/>
              <w:szCs w:val="22"/>
              <w:lang w:eastAsia="de-CH"/>
            </w:rPr>
          </w:pPr>
          <w:r w:rsidRPr="005A6150">
            <w:rPr>
              <w:rStyle w:val="Hyperlink"/>
              <w:noProof/>
              <w:color w:val="auto"/>
              <w:u w:val="none"/>
              <w14:scene3d>
                <w14:camera w14:prst="orthographicFront"/>
                <w14:lightRig w14:rig="threePt" w14:dir="t">
                  <w14:rot w14:lat="0" w14:lon="0" w14:rev="0"/>
                </w14:lightRig>
              </w14:scene3d>
            </w:rPr>
            <w:t xml:space="preserve">1        </w:t>
          </w:r>
          <w:r>
            <w:rPr>
              <w:b w:val="0"/>
              <w:caps w:val="0"/>
              <w:lang w:val="de-DE"/>
            </w:rPr>
            <w:t xml:space="preserve">  </w:t>
          </w:r>
          <w:r w:rsidR="00321DCC">
            <w:rPr>
              <w:rFonts w:asciiTheme="majorHAnsi" w:eastAsiaTheme="majorEastAsia" w:hAnsiTheme="majorHAnsi" w:cstheme="majorBidi"/>
              <w:b w:val="0"/>
              <w:color w:val="365F91" w:themeColor="accent1" w:themeShade="BF"/>
              <w:sz w:val="32"/>
              <w:szCs w:val="32"/>
              <w:lang w:eastAsia="de-CH"/>
            </w:rPr>
            <w:fldChar w:fldCharType="begin"/>
          </w:r>
          <w:r w:rsidR="00321DCC">
            <w:instrText xml:space="preserve"> TOC \o "1-3" \h \z \u </w:instrText>
          </w:r>
          <w:r w:rsidR="00321DCC">
            <w:rPr>
              <w:rFonts w:asciiTheme="majorHAnsi" w:eastAsiaTheme="majorEastAsia" w:hAnsiTheme="majorHAnsi" w:cstheme="majorBidi"/>
              <w:b w:val="0"/>
              <w:color w:val="365F91" w:themeColor="accent1" w:themeShade="BF"/>
              <w:sz w:val="32"/>
              <w:szCs w:val="32"/>
              <w:lang w:eastAsia="de-CH"/>
            </w:rPr>
            <w:fldChar w:fldCharType="separate"/>
          </w:r>
          <w:hyperlink w:anchor="_Toc127369489" w:history="1">
            <w:r w:rsidR="00167491" w:rsidRPr="00F25A09">
              <w:rPr>
                <w:rStyle w:val="Hyperlink"/>
                <w:noProof/>
              </w:rPr>
              <w:t>Einleitung</w:t>
            </w:r>
            <w:r w:rsidR="00167491">
              <w:rPr>
                <w:noProof/>
                <w:webHidden/>
              </w:rPr>
              <w:tab/>
            </w:r>
            <w:r w:rsidR="00167491">
              <w:rPr>
                <w:noProof/>
                <w:webHidden/>
              </w:rPr>
              <w:fldChar w:fldCharType="begin"/>
            </w:r>
            <w:r w:rsidR="00167491">
              <w:rPr>
                <w:noProof/>
                <w:webHidden/>
              </w:rPr>
              <w:instrText xml:space="preserve"> PAGEREF _Toc127369489 \h </w:instrText>
            </w:r>
            <w:r w:rsidR="00167491">
              <w:rPr>
                <w:noProof/>
                <w:webHidden/>
              </w:rPr>
            </w:r>
            <w:r w:rsidR="00167491">
              <w:rPr>
                <w:noProof/>
                <w:webHidden/>
              </w:rPr>
              <w:fldChar w:fldCharType="separate"/>
            </w:r>
            <w:r>
              <w:rPr>
                <w:noProof/>
                <w:webHidden/>
              </w:rPr>
              <w:t>1</w:t>
            </w:r>
            <w:r w:rsidR="00167491">
              <w:rPr>
                <w:noProof/>
                <w:webHidden/>
              </w:rPr>
              <w:fldChar w:fldCharType="end"/>
            </w:r>
          </w:hyperlink>
        </w:p>
        <w:p w14:paraId="3D96AB69" w14:textId="70AA042F" w:rsidR="00167491" w:rsidRDefault="00A21587">
          <w:pPr>
            <w:pStyle w:val="Verzeichnis1"/>
            <w:rPr>
              <w:rFonts w:asciiTheme="minorHAnsi" w:eastAsiaTheme="minorEastAsia" w:hAnsiTheme="minorHAnsi" w:cstheme="minorBidi"/>
              <w:b w:val="0"/>
              <w:caps w:val="0"/>
              <w:noProof/>
              <w:szCs w:val="22"/>
              <w:lang w:eastAsia="de-CH"/>
            </w:rPr>
          </w:pPr>
          <w:hyperlink w:anchor="_Toc127369490" w:history="1">
            <w:r w:rsidR="00167491" w:rsidRPr="00F25A09">
              <w:rPr>
                <w:rStyle w:val="Hyperlink"/>
                <w:noProof/>
                <w14:scene3d>
                  <w14:camera w14:prst="orthographicFront"/>
                  <w14:lightRig w14:rig="threePt" w14:dir="t">
                    <w14:rot w14:lat="0" w14:lon="0" w14:rev="0"/>
                  </w14:lightRig>
                </w14:scene3d>
              </w:rPr>
              <w:t>2</w:t>
            </w:r>
            <w:r w:rsidR="00167491">
              <w:rPr>
                <w:rFonts w:asciiTheme="minorHAnsi" w:eastAsiaTheme="minorEastAsia" w:hAnsiTheme="minorHAnsi" w:cstheme="minorBidi"/>
                <w:b w:val="0"/>
                <w:caps w:val="0"/>
                <w:noProof/>
                <w:szCs w:val="22"/>
                <w:lang w:eastAsia="de-CH"/>
              </w:rPr>
              <w:tab/>
            </w:r>
            <w:r w:rsidR="00167491" w:rsidRPr="00F25A09">
              <w:rPr>
                <w:rStyle w:val="Hyperlink"/>
                <w:noProof/>
              </w:rPr>
              <w:t>Grundsätze bei der Prüfung von Zahlungseingängen</w:t>
            </w:r>
            <w:r w:rsidR="00167491">
              <w:rPr>
                <w:noProof/>
                <w:webHidden/>
              </w:rPr>
              <w:tab/>
            </w:r>
            <w:r w:rsidR="00167491">
              <w:rPr>
                <w:noProof/>
                <w:webHidden/>
              </w:rPr>
              <w:fldChar w:fldCharType="begin"/>
            </w:r>
            <w:r w:rsidR="00167491">
              <w:rPr>
                <w:noProof/>
                <w:webHidden/>
              </w:rPr>
              <w:instrText xml:space="preserve"> PAGEREF _Toc127369490 \h </w:instrText>
            </w:r>
            <w:r w:rsidR="00167491">
              <w:rPr>
                <w:noProof/>
                <w:webHidden/>
              </w:rPr>
            </w:r>
            <w:r w:rsidR="00167491">
              <w:rPr>
                <w:noProof/>
                <w:webHidden/>
              </w:rPr>
              <w:fldChar w:fldCharType="separate"/>
            </w:r>
            <w:r w:rsidR="005A6150">
              <w:rPr>
                <w:noProof/>
                <w:webHidden/>
              </w:rPr>
              <w:t>2</w:t>
            </w:r>
            <w:r w:rsidR="00167491">
              <w:rPr>
                <w:noProof/>
                <w:webHidden/>
              </w:rPr>
              <w:fldChar w:fldCharType="end"/>
            </w:r>
          </w:hyperlink>
        </w:p>
        <w:p w14:paraId="583AB73B" w14:textId="342833F3" w:rsidR="00167491" w:rsidRDefault="00A21587">
          <w:pPr>
            <w:pStyle w:val="Verzeichnis2"/>
            <w:rPr>
              <w:rFonts w:asciiTheme="minorHAnsi" w:eastAsiaTheme="minorEastAsia" w:hAnsiTheme="minorHAnsi" w:cstheme="minorBidi"/>
              <w:smallCaps w:val="0"/>
              <w:noProof/>
              <w:szCs w:val="22"/>
              <w:lang w:eastAsia="de-CH"/>
            </w:rPr>
          </w:pPr>
          <w:hyperlink w:anchor="_Toc127369491" w:history="1">
            <w:r w:rsidR="00167491" w:rsidRPr="00F25A09">
              <w:rPr>
                <w:rStyle w:val="Hyperlink"/>
                <w:noProof/>
              </w:rPr>
              <w:t>2.1</w:t>
            </w:r>
            <w:r w:rsidR="00167491">
              <w:rPr>
                <w:rFonts w:asciiTheme="minorHAnsi" w:eastAsiaTheme="minorEastAsia" w:hAnsiTheme="minorHAnsi" w:cstheme="minorBidi"/>
                <w:smallCaps w:val="0"/>
                <w:noProof/>
                <w:szCs w:val="22"/>
                <w:lang w:eastAsia="de-CH"/>
              </w:rPr>
              <w:tab/>
            </w:r>
            <w:r w:rsidR="00167491" w:rsidRPr="00F25A09">
              <w:rPr>
                <w:rStyle w:val="Hyperlink"/>
                <w:noProof/>
              </w:rPr>
              <w:t>Überprüfung von Kleinbeträgen</w:t>
            </w:r>
            <w:r w:rsidR="00167491">
              <w:rPr>
                <w:noProof/>
                <w:webHidden/>
              </w:rPr>
              <w:tab/>
            </w:r>
            <w:r w:rsidR="00167491">
              <w:rPr>
                <w:noProof/>
                <w:webHidden/>
              </w:rPr>
              <w:fldChar w:fldCharType="begin"/>
            </w:r>
            <w:r w:rsidR="00167491">
              <w:rPr>
                <w:noProof/>
                <w:webHidden/>
              </w:rPr>
              <w:instrText xml:space="preserve"> PAGEREF _Toc127369491 \h </w:instrText>
            </w:r>
            <w:r w:rsidR="00167491">
              <w:rPr>
                <w:noProof/>
                <w:webHidden/>
              </w:rPr>
            </w:r>
            <w:r w:rsidR="00167491">
              <w:rPr>
                <w:noProof/>
                <w:webHidden/>
              </w:rPr>
              <w:fldChar w:fldCharType="separate"/>
            </w:r>
            <w:r w:rsidR="005A6150">
              <w:rPr>
                <w:noProof/>
                <w:webHidden/>
              </w:rPr>
              <w:t>2</w:t>
            </w:r>
            <w:r w:rsidR="00167491">
              <w:rPr>
                <w:noProof/>
                <w:webHidden/>
              </w:rPr>
              <w:fldChar w:fldCharType="end"/>
            </w:r>
          </w:hyperlink>
        </w:p>
        <w:p w14:paraId="5F943556" w14:textId="0CB3CBBD" w:rsidR="00167491" w:rsidRDefault="00A21587">
          <w:pPr>
            <w:pStyle w:val="Verzeichnis2"/>
            <w:rPr>
              <w:rFonts w:asciiTheme="minorHAnsi" w:eastAsiaTheme="minorEastAsia" w:hAnsiTheme="minorHAnsi" w:cstheme="minorBidi"/>
              <w:smallCaps w:val="0"/>
              <w:noProof/>
              <w:szCs w:val="22"/>
              <w:lang w:eastAsia="de-CH"/>
            </w:rPr>
          </w:pPr>
          <w:hyperlink w:anchor="_Toc127369492" w:history="1">
            <w:r w:rsidR="00167491" w:rsidRPr="00F25A09">
              <w:rPr>
                <w:rStyle w:val="Hyperlink"/>
                <w:noProof/>
              </w:rPr>
              <w:t>2.2</w:t>
            </w:r>
            <w:r w:rsidR="00167491">
              <w:rPr>
                <w:rFonts w:asciiTheme="minorHAnsi" w:eastAsiaTheme="minorEastAsia" w:hAnsiTheme="minorHAnsi" w:cstheme="minorBidi"/>
                <w:smallCaps w:val="0"/>
                <w:noProof/>
                <w:szCs w:val="22"/>
                <w:lang w:eastAsia="de-CH"/>
              </w:rPr>
              <w:tab/>
            </w:r>
            <w:r w:rsidR="00167491" w:rsidRPr="00F25A09">
              <w:rPr>
                <w:rStyle w:val="Hyperlink"/>
                <w:noProof/>
              </w:rPr>
              <w:t>Erkennen von Auffälligkeiten</w:t>
            </w:r>
            <w:r w:rsidR="00167491">
              <w:rPr>
                <w:noProof/>
                <w:webHidden/>
              </w:rPr>
              <w:tab/>
            </w:r>
            <w:r w:rsidR="00167491">
              <w:rPr>
                <w:noProof/>
                <w:webHidden/>
              </w:rPr>
              <w:fldChar w:fldCharType="begin"/>
            </w:r>
            <w:r w:rsidR="00167491">
              <w:rPr>
                <w:noProof/>
                <w:webHidden/>
              </w:rPr>
              <w:instrText xml:space="preserve"> PAGEREF _Toc127369492 \h </w:instrText>
            </w:r>
            <w:r w:rsidR="00167491">
              <w:rPr>
                <w:noProof/>
                <w:webHidden/>
              </w:rPr>
            </w:r>
            <w:r w:rsidR="00167491">
              <w:rPr>
                <w:noProof/>
                <w:webHidden/>
              </w:rPr>
              <w:fldChar w:fldCharType="separate"/>
            </w:r>
            <w:r w:rsidR="005A6150">
              <w:rPr>
                <w:noProof/>
                <w:webHidden/>
              </w:rPr>
              <w:t>2</w:t>
            </w:r>
            <w:r w:rsidR="00167491">
              <w:rPr>
                <w:noProof/>
                <w:webHidden/>
              </w:rPr>
              <w:fldChar w:fldCharType="end"/>
            </w:r>
          </w:hyperlink>
        </w:p>
        <w:p w14:paraId="53CF1B74" w14:textId="1F8820C2" w:rsidR="00167491" w:rsidRDefault="00A21587">
          <w:pPr>
            <w:pStyle w:val="Verzeichnis2"/>
            <w:rPr>
              <w:rFonts w:asciiTheme="minorHAnsi" w:eastAsiaTheme="minorEastAsia" w:hAnsiTheme="minorHAnsi" w:cstheme="minorBidi"/>
              <w:smallCaps w:val="0"/>
              <w:noProof/>
              <w:szCs w:val="22"/>
              <w:lang w:eastAsia="de-CH"/>
            </w:rPr>
          </w:pPr>
          <w:hyperlink w:anchor="_Toc127369493" w:history="1">
            <w:r w:rsidR="00167491" w:rsidRPr="00F25A09">
              <w:rPr>
                <w:rStyle w:val="Hyperlink"/>
                <w:noProof/>
              </w:rPr>
              <w:t>2.3</w:t>
            </w:r>
            <w:r w:rsidR="00167491">
              <w:rPr>
                <w:rFonts w:asciiTheme="minorHAnsi" w:eastAsiaTheme="minorEastAsia" w:hAnsiTheme="minorHAnsi" w:cstheme="minorBidi"/>
                <w:smallCaps w:val="0"/>
                <w:noProof/>
                <w:szCs w:val="22"/>
                <w:lang w:eastAsia="de-CH"/>
              </w:rPr>
              <w:tab/>
            </w:r>
            <w:r w:rsidR="00167491" w:rsidRPr="00F25A09">
              <w:rPr>
                <w:rStyle w:val="Hyperlink"/>
                <w:noProof/>
              </w:rPr>
              <w:t>Verdachtsfälle</w:t>
            </w:r>
            <w:r w:rsidR="00167491">
              <w:rPr>
                <w:noProof/>
                <w:webHidden/>
              </w:rPr>
              <w:tab/>
            </w:r>
            <w:r w:rsidR="00167491">
              <w:rPr>
                <w:noProof/>
                <w:webHidden/>
              </w:rPr>
              <w:fldChar w:fldCharType="begin"/>
            </w:r>
            <w:r w:rsidR="00167491">
              <w:rPr>
                <w:noProof/>
                <w:webHidden/>
              </w:rPr>
              <w:instrText xml:space="preserve"> PAGEREF _Toc127369493 \h </w:instrText>
            </w:r>
            <w:r w:rsidR="00167491">
              <w:rPr>
                <w:noProof/>
                <w:webHidden/>
              </w:rPr>
            </w:r>
            <w:r w:rsidR="00167491">
              <w:rPr>
                <w:noProof/>
                <w:webHidden/>
              </w:rPr>
              <w:fldChar w:fldCharType="separate"/>
            </w:r>
            <w:r w:rsidR="005A6150">
              <w:rPr>
                <w:noProof/>
                <w:webHidden/>
              </w:rPr>
              <w:t>3</w:t>
            </w:r>
            <w:r w:rsidR="00167491">
              <w:rPr>
                <w:noProof/>
                <w:webHidden/>
              </w:rPr>
              <w:fldChar w:fldCharType="end"/>
            </w:r>
          </w:hyperlink>
        </w:p>
        <w:p w14:paraId="4B5D0A9B" w14:textId="0F35F672" w:rsidR="00167491" w:rsidRDefault="00A21587">
          <w:pPr>
            <w:pStyle w:val="Verzeichnis1"/>
            <w:rPr>
              <w:rFonts w:asciiTheme="minorHAnsi" w:eastAsiaTheme="minorEastAsia" w:hAnsiTheme="minorHAnsi" w:cstheme="minorBidi"/>
              <w:b w:val="0"/>
              <w:caps w:val="0"/>
              <w:noProof/>
              <w:szCs w:val="22"/>
              <w:lang w:eastAsia="de-CH"/>
            </w:rPr>
          </w:pPr>
          <w:hyperlink w:anchor="_Toc127369494" w:history="1">
            <w:r w:rsidR="00167491" w:rsidRPr="00F25A09">
              <w:rPr>
                <w:rStyle w:val="Hyperlink"/>
                <w:noProof/>
                <w14:scene3d>
                  <w14:camera w14:prst="orthographicFront"/>
                  <w14:lightRig w14:rig="threePt" w14:dir="t">
                    <w14:rot w14:lat="0" w14:lon="0" w14:rev="0"/>
                  </w14:lightRig>
                </w14:scene3d>
              </w:rPr>
              <w:t>3</w:t>
            </w:r>
            <w:r w:rsidR="00167491">
              <w:rPr>
                <w:rFonts w:asciiTheme="minorHAnsi" w:eastAsiaTheme="minorEastAsia" w:hAnsiTheme="minorHAnsi" w:cstheme="minorBidi"/>
                <w:b w:val="0"/>
                <w:caps w:val="0"/>
                <w:noProof/>
                <w:szCs w:val="22"/>
                <w:lang w:eastAsia="de-CH"/>
              </w:rPr>
              <w:tab/>
            </w:r>
            <w:r w:rsidR="00167491" w:rsidRPr="00F25A09">
              <w:rPr>
                <w:rStyle w:val="Hyperlink"/>
                <w:noProof/>
              </w:rPr>
              <w:t>Anrechenbare bzw. nicht anrechenbare Einnahmen</w:t>
            </w:r>
            <w:r w:rsidR="00167491">
              <w:rPr>
                <w:noProof/>
                <w:webHidden/>
              </w:rPr>
              <w:tab/>
            </w:r>
            <w:r w:rsidR="00167491">
              <w:rPr>
                <w:noProof/>
                <w:webHidden/>
              </w:rPr>
              <w:fldChar w:fldCharType="begin"/>
            </w:r>
            <w:r w:rsidR="00167491">
              <w:rPr>
                <w:noProof/>
                <w:webHidden/>
              </w:rPr>
              <w:instrText xml:space="preserve"> PAGEREF _Toc127369494 \h </w:instrText>
            </w:r>
            <w:r w:rsidR="00167491">
              <w:rPr>
                <w:noProof/>
                <w:webHidden/>
              </w:rPr>
            </w:r>
            <w:r w:rsidR="00167491">
              <w:rPr>
                <w:noProof/>
                <w:webHidden/>
              </w:rPr>
              <w:fldChar w:fldCharType="separate"/>
            </w:r>
            <w:r w:rsidR="005A6150">
              <w:rPr>
                <w:noProof/>
                <w:webHidden/>
              </w:rPr>
              <w:t>3</w:t>
            </w:r>
            <w:r w:rsidR="00167491">
              <w:rPr>
                <w:noProof/>
                <w:webHidden/>
              </w:rPr>
              <w:fldChar w:fldCharType="end"/>
            </w:r>
          </w:hyperlink>
        </w:p>
        <w:p w14:paraId="4B6CB180" w14:textId="2613A1C3" w:rsidR="00167491" w:rsidRDefault="00A21587">
          <w:pPr>
            <w:pStyle w:val="Verzeichnis2"/>
            <w:rPr>
              <w:rFonts w:asciiTheme="minorHAnsi" w:eastAsiaTheme="minorEastAsia" w:hAnsiTheme="minorHAnsi" w:cstheme="minorBidi"/>
              <w:smallCaps w:val="0"/>
              <w:noProof/>
              <w:szCs w:val="22"/>
              <w:lang w:eastAsia="de-CH"/>
            </w:rPr>
          </w:pPr>
          <w:hyperlink w:anchor="_Toc127369497" w:history="1">
            <w:r w:rsidR="00167491" w:rsidRPr="00F25A09">
              <w:rPr>
                <w:rStyle w:val="Hyperlink"/>
                <w:noProof/>
              </w:rPr>
              <w:t>3.1</w:t>
            </w:r>
            <w:r w:rsidR="00167491">
              <w:rPr>
                <w:rFonts w:asciiTheme="minorHAnsi" w:eastAsiaTheme="minorEastAsia" w:hAnsiTheme="minorHAnsi" w:cstheme="minorBidi"/>
                <w:smallCaps w:val="0"/>
                <w:noProof/>
                <w:szCs w:val="22"/>
                <w:lang w:eastAsia="de-CH"/>
              </w:rPr>
              <w:tab/>
            </w:r>
            <w:r w:rsidR="00167491" w:rsidRPr="00F25A09">
              <w:rPr>
                <w:rStyle w:val="Hyperlink"/>
                <w:noProof/>
              </w:rPr>
              <w:t>Anrechenbare Einnahmen</w:t>
            </w:r>
            <w:r w:rsidR="00167491">
              <w:rPr>
                <w:noProof/>
                <w:webHidden/>
              </w:rPr>
              <w:tab/>
            </w:r>
            <w:r w:rsidR="00167491">
              <w:rPr>
                <w:noProof/>
                <w:webHidden/>
              </w:rPr>
              <w:fldChar w:fldCharType="begin"/>
            </w:r>
            <w:r w:rsidR="00167491">
              <w:rPr>
                <w:noProof/>
                <w:webHidden/>
              </w:rPr>
              <w:instrText xml:space="preserve"> PAGEREF _Toc127369497 \h </w:instrText>
            </w:r>
            <w:r w:rsidR="00167491">
              <w:rPr>
                <w:noProof/>
                <w:webHidden/>
              </w:rPr>
            </w:r>
            <w:r w:rsidR="00167491">
              <w:rPr>
                <w:noProof/>
                <w:webHidden/>
              </w:rPr>
              <w:fldChar w:fldCharType="separate"/>
            </w:r>
            <w:r w:rsidR="005A6150">
              <w:rPr>
                <w:noProof/>
                <w:webHidden/>
              </w:rPr>
              <w:t>3</w:t>
            </w:r>
            <w:r w:rsidR="00167491">
              <w:rPr>
                <w:noProof/>
                <w:webHidden/>
              </w:rPr>
              <w:fldChar w:fldCharType="end"/>
            </w:r>
          </w:hyperlink>
        </w:p>
        <w:p w14:paraId="23E2697F" w14:textId="0BD094D3" w:rsidR="00167491" w:rsidRDefault="00A21587">
          <w:pPr>
            <w:pStyle w:val="Verzeichnis2"/>
            <w:rPr>
              <w:rFonts w:asciiTheme="minorHAnsi" w:eastAsiaTheme="minorEastAsia" w:hAnsiTheme="minorHAnsi" w:cstheme="minorBidi"/>
              <w:smallCaps w:val="0"/>
              <w:noProof/>
              <w:szCs w:val="22"/>
              <w:lang w:eastAsia="de-CH"/>
            </w:rPr>
          </w:pPr>
          <w:hyperlink w:anchor="_Toc127369498" w:history="1">
            <w:r w:rsidR="00167491" w:rsidRPr="00F25A09">
              <w:rPr>
                <w:rStyle w:val="Hyperlink"/>
                <w:noProof/>
              </w:rPr>
              <w:t>3.2</w:t>
            </w:r>
            <w:r w:rsidR="00167491">
              <w:rPr>
                <w:rFonts w:asciiTheme="minorHAnsi" w:eastAsiaTheme="minorEastAsia" w:hAnsiTheme="minorHAnsi" w:cstheme="minorBidi"/>
                <w:smallCaps w:val="0"/>
                <w:noProof/>
                <w:szCs w:val="22"/>
                <w:lang w:eastAsia="de-CH"/>
              </w:rPr>
              <w:tab/>
            </w:r>
            <w:r w:rsidR="00167491" w:rsidRPr="00F25A09">
              <w:rPr>
                <w:rStyle w:val="Hyperlink"/>
                <w:noProof/>
              </w:rPr>
              <w:t>Nicht anrechenbare Einnahmen</w:t>
            </w:r>
            <w:r w:rsidR="00167491">
              <w:rPr>
                <w:noProof/>
                <w:webHidden/>
              </w:rPr>
              <w:tab/>
            </w:r>
            <w:r w:rsidR="00167491">
              <w:rPr>
                <w:noProof/>
                <w:webHidden/>
              </w:rPr>
              <w:fldChar w:fldCharType="begin"/>
            </w:r>
            <w:r w:rsidR="00167491">
              <w:rPr>
                <w:noProof/>
                <w:webHidden/>
              </w:rPr>
              <w:instrText xml:space="preserve"> PAGEREF _Toc127369498 \h </w:instrText>
            </w:r>
            <w:r w:rsidR="00167491">
              <w:rPr>
                <w:noProof/>
                <w:webHidden/>
              </w:rPr>
            </w:r>
            <w:r w:rsidR="00167491">
              <w:rPr>
                <w:noProof/>
                <w:webHidden/>
              </w:rPr>
              <w:fldChar w:fldCharType="separate"/>
            </w:r>
            <w:r w:rsidR="005A6150">
              <w:rPr>
                <w:noProof/>
                <w:webHidden/>
              </w:rPr>
              <w:t>4</w:t>
            </w:r>
            <w:r w:rsidR="00167491">
              <w:rPr>
                <w:noProof/>
                <w:webHidden/>
              </w:rPr>
              <w:fldChar w:fldCharType="end"/>
            </w:r>
          </w:hyperlink>
        </w:p>
        <w:p w14:paraId="3FF5F97D" w14:textId="3FD2F85F" w:rsidR="00167491" w:rsidRDefault="00A21587">
          <w:pPr>
            <w:pStyle w:val="Verzeichnis2"/>
            <w:rPr>
              <w:rFonts w:asciiTheme="minorHAnsi" w:eastAsiaTheme="minorEastAsia" w:hAnsiTheme="minorHAnsi" w:cstheme="minorBidi"/>
              <w:smallCaps w:val="0"/>
              <w:noProof/>
              <w:szCs w:val="22"/>
              <w:lang w:eastAsia="de-CH"/>
            </w:rPr>
          </w:pPr>
          <w:hyperlink w:anchor="_Toc127369499" w:history="1">
            <w:r w:rsidR="00167491" w:rsidRPr="00F25A09">
              <w:rPr>
                <w:rStyle w:val="Hyperlink"/>
                <w:noProof/>
              </w:rPr>
              <w:t>3.3</w:t>
            </w:r>
            <w:r w:rsidR="00167491">
              <w:rPr>
                <w:rFonts w:asciiTheme="minorHAnsi" w:eastAsiaTheme="minorEastAsia" w:hAnsiTheme="minorHAnsi" w:cstheme="minorBidi"/>
                <w:smallCaps w:val="0"/>
                <w:noProof/>
                <w:szCs w:val="22"/>
                <w:lang w:eastAsia="de-CH"/>
              </w:rPr>
              <w:tab/>
            </w:r>
            <w:r w:rsidR="00167491" w:rsidRPr="00F25A09">
              <w:rPr>
                <w:rStyle w:val="Hyperlink"/>
                <w:noProof/>
              </w:rPr>
              <w:t>Ermessensfälle</w:t>
            </w:r>
            <w:r w:rsidR="00167491">
              <w:rPr>
                <w:noProof/>
                <w:webHidden/>
              </w:rPr>
              <w:tab/>
            </w:r>
            <w:r w:rsidR="00167491">
              <w:rPr>
                <w:noProof/>
                <w:webHidden/>
              </w:rPr>
              <w:fldChar w:fldCharType="begin"/>
            </w:r>
            <w:r w:rsidR="00167491">
              <w:rPr>
                <w:noProof/>
                <w:webHidden/>
              </w:rPr>
              <w:instrText xml:space="preserve"> PAGEREF _Toc127369499 \h </w:instrText>
            </w:r>
            <w:r w:rsidR="00167491">
              <w:rPr>
                <w:noProof/>
                <w:webHidden/>
              </w:rPr>
            </w:r>
            <w:r w:rsidR="00167491">
              <w:rPr>
                <w:noProof/>
                <w:webHidden/>
              </w:rPr>
              <w:fldChar w:fldCharType="separate"/>
            </w:r>
            <w:r w:rsidR="005A6150">
              <w:rPr>
                <w:noProof/>
                <w:webHidden/>
              </w:rPr>
              <w:t>5</w:t>
            </w:r>
            <w:r w:rsidR="00167491">
              <w:rPr>
                <w:noProof/>
                <w:webHidden/>
              </w:rPr>
              <w:fldChar w:fldCharType="end"/>
            </w:r>
          </w:hyperlink>
        </w:p>
        <w:p w14:paraId="5A710DC5" w14:textId="34D83F76" w:rsidR="00167491" w:rsidRDefault="00A21587">
          <w:pPr>
            <w:pStyle w:val="Verzeichnis1"/>
            <w:rPr>
              <w:rFonts w:asciiTheme="minorHAnsi" w:eastAsiaTheme="minorEastAsia" w:hAnsiTheme="minorHAnsi" w:cstheme="minorBidi"/>
              <w:b w:val="0"/>
              <w:caps w:val="0"/>
              <w:noProof/>
              <w:szCs w:val="22"/>
              <w:lang w:eastAsia="de-CH"/>
            </w:rPr>
          </w:pPr>
          <w:hyperlink w:anchor="_Toc127369500" w:history="1">
            <w:r w:rsidR="00167491" w:rsidRPr="00F25A09">
              <w:rPr>
                <w:rStyle w:val="Hyperlink"/>
                <w:noProof/>
                <w14:scene3d>
                  <w14:camera w14:prst="orthographicFront"/>
                  <w14:lightRig w14:rig="threePt" w14:dir="t">
                    <w14:rot w14:lat="0" w14:lon="0" w14:rev="0"/>
                  </w14:lightRig>
                </w14:scene3d>
              </w:rPr>
              <w:t>4</w:t>
            </w:r>
            <w:r w:rsidR="00167491">
              <w:rPr>
                <w:rFonts w:asciiTheme="minorHAnsi" w:eastAsiaTheme="minorEastAsia" w:hAnsiTheme="minorHAnsi" w:cstheme="minorBidi"/>
                <w:b w:val="0"/>
                <w:caps w:val="0"/>
                <w:noProof/>
                <w:szCs w:val="22"/>
                <w:lang w:eastAsia="de-CH"/>
              </w:rPr>
              <w:tab/>
            </w:r>
            <w:r w:rsidR="00167491" w:rsidRPr="00F25A09">
              <w:rPr>
                <w:rStyle w:val="Hyperlink"/>
                <w:noProof/>
              </w:rPr>
              <w:t>Spezialfall: Zahlungseingänge aus Ansprüchen für eine Zeit vor Unterstützungsbeginn</w:t>
            </w:r>
            <w:r w:rsidR="00167491">
              <w:rPr>
                <w:noProof/>
                <w:webHidden/>
              </w:rPr>
              <w:tab/>
            </w:r>
            <w:r w:rsidR="00167491">
              <w:rPr>
                <w:noProof/>
                <w:webHidden/>
              </w:rPr>
              <w:fldChar w:fldCharType="begin"/>
            </w:r>
            <w:r w:rsidR="00167491">
              <w:rPr>
                <w:noProof/>
                <w:webHidden/>
              </w:rPr>
              <w:instrText xml:space="preserve"> PAGEREF _Toc127369500 \h </w:instrText>
            </w:r>
            <w:r w:rsidR="00167491">
              <w:rPr>
                <w:noProof/>
                <w:webHidden/>
              </w:rPr>
            </w:r>
            <w:r w:rsidR="00167491">
              <w:rPr>
                <w:noProof/>
                <w:webHidden/>
              </w:rPr>
              <w:fldChar w:fldCharType="separate"/>
            </w:r>
            <w:r w:rsidR="005A6150">
              <w:rPr>
                <w:noProof/>
                <w:webHidden/>
              </w:rPr>
              <w:t>6</w:t>
            </w:r>
            <w:r w:rsidR="00167491">
              <w:rPr>
                <w:noProof/>
                <w:webHidden/>
              </w:rPr>
              <w:fldChar w:fldCharType="end"/>
            </w:r>
          </w:hyperlink>
        </w:p>
        <w:p w14:paraId="3E2A24D8" w14:textId="77777777" w:rsidR="00321DCC" w:rsidRDefault="00321DCC">
          <w:r>
            <w:rPr>
              <w:b/>
              <w:bCs/>
              <w:lang w:val="de-DE"/>
            </w:rPr>
            <w:fldChar w:fldCharType="end"/>
          </w:r>
        </w:p>
      </w:sdtContent>
    </w:sdt>
    <w:p w14:paraId="71D449FB" w14:textId="77777777" w:rsidR="00692D28" w:rsidRDefault="00FF7B61" w:rsidP="003B66A0">
      <w:pPr>
        <w:pStyle w:val="berschrift1"/>
      </w:pPr>
      <w:bookmarkStart w:id="3" w:name="_Toc127369489"/>
      <w:r>
        <w:t>E</w:t>
      </w:r>
      <w:r w:rsidR="00983304">
        <w:t>inleitung</w:t>
      </w:r>
      <w:bookmarkEnd w:id="3"/>
    </w:p>
    <w:p w14:paraId="78272861" w14:textId="77777777" w:rsidR="00420A98" w:rsidRDefault="00420A98" w:rsidP="00420A98">
      <w:pPr>
        <w:pStyle w:val="Absatz0"/>
        <w:tabs>
          <w:tab w:val="left" w:pos="1515"/>
        </w:tabs>
      </w:pPr>
      <w:r>
        <w:t xml:space="preserve">Gemäss </w:t>
      </w:r>
      <w:r w:rsidR="008B3150">
        <w:t>§ 14 Sozialhilfegesetz (SHG) in Verbindung mit § 16 Abs. 1 und 2 Sozialhilfeverordnung (SHV)</w:t>
      </w:r>
      <w:r w:rsidR="009402E1">
        <w:t xml:space="preserve"> </w:t>
      </w:r>
      <w:r w:rsidR="008B3150">
        <w:t xml:space="preserve">sind </w:t>
      </w:r>
      <w:r>
        <w:t xml:space="preserve">bei der Bemessung von finanziellen Leistungen der Sozialhilfe alle verfügbaren Einnahmen </w:t>
      </w:r>
      <w:r w:rsidR="008B3150">
        <w:t xml:space="preserve">zu </w:t>
      </w:r>
      <w:r>
        <w:t>berücksichtig</w:t>
      </w:r>
      <w:r w:rsidR="008B3150">
        <w:t>en</w:t>
      </w:r>
      <w:r>
        <w:t xml:space="preserve">. </w:t>
      </w:r>
      <w:r w:rsidR="008B3150" w:rsidRPr="0035376A">
        <w:t>Auch</w:t>
      </w:r>
      <w:r w:rsidR="008548F4">
        <w:t xml:space="preserve"> </w:t>
      </w:r>
      <w:r w:rsidR="008B3150" w:rsidRPr="0035376A">
        <w:t xml:space="preserve">Kapitel D.1 der Richtlinien der </w:t>
      </w:r>
      <w:r w:rsidR="00792F68" w:rsidRPr="0035376A">
        <w:t>S</w:t>
      </w:r>
      <w:r w:rsidR="008B3150" w:rsidRPr="0035376A">
        <w:t>chweizerischen Konferenz für Sozialhilfe (SKOS)</w:t>
      </w:r>
      <w:r w:rsidR="0035376A" w:rsidRPr="0035376A">
        <w:t xml:space="preserve"> </w:t>
      </w:r>
      <w:r w:rsidR="008548F4">
        <w:t>halten das so fest</w:t>
      </w:r>
      <w:r w:rsidR="0035376A" w:rsidRPr="0035376A">
        <w:t>.</w:t>
      </w:r>
      <w:r w:rsidR="0035376A">
        <w:t xml:space="preserve"> </w:t>
      </w:r>
      <w:r w:rsidR="008B3150">
        <w:t xml:space="preserve">Als Einnahme gelten </w:t>
      </w:r>
      <w:r>
        <w:t xml:space="preserve">alle geldwerten Zuflüsse, die einer unterstützten Person zur Verfügung stehen. Einnahmen </w:t>
      </w:r>
      <w:r w:rsidR="008B3150">
        <w:t xml:space="preserve">sind </w:t>
      </w:r>
      <w:r>
        <w:t xml:space="preserve">grundsätzlich zum Zeitpunkt der Auszahlung </w:t>
      </w:r>
      <w:r w:rsidR="00901B0B">
        <w:t>anzurechnen</w:t>
      </w:r>
      <w:r w:rsidR="008B3150">
        <w:t xml:space="preserve"> </w:t>
      </w:r>
      <w:r>
        <w:t xml:space="preserve">und das Geld ist zur Finanzierung des Lebensbedarfs zu verwenden (siehe auch Kapitel </w:t>
      </w:r>
      <w:r w:rsidR="008548F4">
        <w:t>4</w:t>
      </w:r>
      <w:r>
        <w:t xml:space="preserve">). Wirtschaftliche Hilfe </w:t>
      </w:r>
      <w:r w:rsidR="008B3150">
        <w:t xml:space="preserve">(WH) </w:t>
      </w:r>
      <w:r>
        <w:t xml:space="preserve">wird lediglich subsidiär zu diesen Einnahmen erbracht. Die </w:t>
      </w:r>
      <w:r w:rsidR="00784875">
        <w:t>Sozialen Dienste (</w:t>
      </w:r>
      <w:r>
        <w:t>SOD</w:t>
      </w:r>
      <w:r w:rsidR="00784875">
        <w:t>)</w:t>
      </w:r>
      <w:r>
        <w:t xml:space="preserve"> </w:t>
      </w:r>
      <w:r w:rsidR="008B3150">
        <w:t xml:space="preserve">sind daher </w:t>
      </w:r>
      <w:r>
        <w:t xml:space="preserve">verpflichtet, die Mittellosigkeit der Klient*innen (KL) </w:t>
      </w:r>
      <w:r w:rsidR="008B3150">
        <w:t xml:space="preserve">regelmässig </w:t>
      </w:r>
      <w:r w:rsidR="008548F4">
        <w:t>zu überprüfen.</w:t>
      </w:r>
    </w:p>
    <w:p w14:paraId="1144F75E" w14:textId="77777777" w:rsidR="00420A98" w:rsidRDefault="00420A98" w:rsidP="0097220C">
      <w:pPr>
        <w:pStyle w:val="Absatz0"/>
        <w:tabs>
          <w:tab w:val="left" w:pos="1515"/>
        </w:tabs>
      </w:pPr>
    </w:p>
    <w:p w14:paraId="1DD29ACE" w14:textId="77777777" w:rsidR="0097220C" w:rsidRPr="003E55F4" w:rsidRDefault="00F76F29" w:rsidP="0097220C">
      <w:pPr>
        <w:pStyle w:val="Absatz0"/>
        <w:tabs>
          <w:tab w:val="left" w:pos="1515"/>
        </w:tabs>
      </w:pPr>
      <w:r w:rsidRPr="0035376A">
        <w:t>Die Verschiebung weg vom Bargeld hin zu digitalen Zahlungsmöglichkeiten</w:t>
      </w:r>
      <w:r w:rsidR="00420A98" w:rsidRPr="0035376A">
        <w:t xml:space="preserve"> </w:t>
      </w:r>
      <w:r w:rsidR="00715452" w:rsidRPr="0035376A">
        <w:t>wirkt sich auf die</w:t>
      </w:r>
      <w:r w:rsidR="00420A98" w:rsidRPr="0035376A">
        <w:t xml:space="preserve"> Prüfung der Mittellosigkeit </w:t>
      </w:r>
      <w:r w:rsidR="00715452" w:rsidRPr="0035376A">
        <w:t xml:space="preserve">aus. </w:t>
      </w:r>
      <w:r w:rsidR="00420A98" w:rsidRPr="0035376A">
        <w:t>Die</w:t>
      </w:r>
      <w:r w:rsidRPr="0035376A">
        <w:t xml:space="preserve"> Bewegungen auf </w:t>
      </w:r>
      <w:r w:rsidR="00715452" w:rsidRPr="0035376A">
        <w:t xml:space="preserve">den </w:t>
      </w:r>
      <w:r w:rsidRPr="0035376A">
        <w:t>Kont</w:t>
      </w:r>
      <w:r w:rsidR="00901B0B" w:rsidRPr="0035376A">
        <w:t>i</w:t>
      </w:r>
      <w:r w:rsidRPr="0035376A">
        <w:t xml:space="preserve"> </w:t>
      </w:r>
      <w:r w:rsidR="00715452" w:rsidRPr="0035376A">
        <w:t xml:space="preserve">der KL </w:t>
      </w:r>
      <w:r w:rsidR="00420A98" w:rsidRPr="0035376A">
        <w:t xml:space="preserve">haben </w:t>
      </w:r>
      <w:r w:rsidR="00715452" w:rsidRPr="0035376A">
        <w:t xml:space="preserve">oft </w:t>
      </w:r>
      <w:r w:rsidRPr="0035376A">
        <w:t xml:space="preserve">stark zugenommen. </w:t>
      </w:r>
      <w:r w:rsidR="00420A98" w:rsidRPr="0035376A">
        <w:t>Doch nicht jeder Zahlungseingang</w:t>
      </w:r>
      <w:r w:rsidR="00784875" w:rsidRPr="0035376A">
        <w:t xml:space="preserve"> ist als </w:t>
      </w:r>
      <w:r w:rsidR="001F6BD0">
        <w:t xml:space="preserve">anrechenbare </w:t>
      </w:r>
      <w:r w:rsidR="00784875" w:rsidRPr="0035376A">
        <w:t>Einnahme zu betrachten.</w:t>
      </w:r>
      <w:r w:rsidR="00420A98" w:rsidRPr="0035376A">
        <w:t xml:space="preserve"> </w:t>
      </w:r>
      <w:r w:rsidR="0097220C" w:rsidRPr="0035376A">
        <w:t>Digitale</w:t>
      </w:r>
      <w:r w:rsidRPr="0035376A">
        <w:t xml:space="preserve"> Zahlungsmöglichkeiten werden </w:t>
      </w:r>
      <w:r w:rsidR="0035376A">
        <w:t>beispielsweise</w:t>
      </w:r>
      <w:r w:rsidR="0035376A" w:rsidRPr="0035376A">
        <w:t xml:space="preserve"> </w:t>
      </w:r>
      <w:r w:rsidR="00420A98" w:rsidRPr="0035376A">
        <w:t xml:space="preserve">auch </w:t>
      </w:r>
      <w:r w:rsidRPr="0035376A">
        <w:t>dazu genutzt, eine Rech</w:t>
      </w:r>
      <w:r w:rsidR="0035376A">
        <w:t xml:space="preserve">nung untereinander aufzuteilen oder </w:t>
      </w:r>
      <w:r w:rsidRPr="0035376A">
        <w:t>einem</w:t>
      </w:r>
      <w:r w:rsidR="008548F4">
        <w:t>*r</w:t>
      </w:r>
      <w:r w:rsidRPr="0035376A">
        <w:t xml:space="preserve"> Freund</w:t>
      </w:r>
      <w:r w:rsidR="008548F4">
        <w:t>*in</w:t>
      </w:r>
      <w:r w:rsidR="00420A98" w:rsidRPr="0035376A">
        <w:t xml:space="preserve"> ausgeliehene</w:t>
      </w:r>
      <w:r w:rsidR="008548F4">
        <w:t>s</w:t>
      </w:r>
      <w:r w:rsidR="00420A98" w:rsidRPr="0035376A">
        <w:t xml:space="preserve"> Bargeld zurückzuzahlen</w:t>
      </w:r>
      <w:r w:rsidR="0035376A" w:rsidRPr="0035376A">
        <w:t>.</w:t>
      </w:r>
    </w:p>
    <w:p w14:paraId="33899984" w14:textId="77777777" w:rsidR="00045673" w:rsidRDefault="00045673" w:rsidP="0097220C">
      <w:pPr>
        <w:pStyle w:val="Absatz0"/>
        <w:tabs>
          <w:tab w:val="left" w:pos="1515"/>
        </w:tabs>
        <w:rPr>
          <w:color w:val="000000"/>
          <w:szCs w:val="22"/>
        </w:rPr>
      </w:pPr>
    </w:p>
    <w:p w14:paraId="3145315B" w14:textId="05B6320C" w:rsidR="000A1992" w:rsidRDefault="00045673" w:rsidP="0097220C">
      <w:pPr>
        <w:pStyle w:val="Absatz0"/>
        <w:tabs>
          <w:tab w:val="left" w:pos="1515"/>
        </w:tabs>
        <w:rPr>
          <w:color w:val="000000"/>
          <w:szCs w:val="22"/>
        </w:rPr>
      </w:pPr>
      <w:r>
        <w:rPr>
          <w:color w:val="000000"/>
          <w:szCs w:val="22"/>
        </w:rPr>
        <w:t>Ziel der Praxishilfe ist es</w:t>
      </w:r>
      <w:r w:rsidR="00145571">
        <w:rPr>
          <w:color w:val="000000"/>
          <w:szCs w:val="22"/>
        </w:rPr>
        <w:t>,</w:t>
      </w:r>
      <w:r>
        <w:rPr>
          <w:color w:val="000000"/>
          <w:szCs w:val="22"/>
        </w:rPr>
        <w:t xml:space="preserve"> </w:t>
      </w:r>
      <w:r w:rsidR="00AB4D8E">
        <w:rPr>
          <w:color w:val="000000"/>
          <w:szCs w:val="22"/>
        </w:rPr>
        <w:t xml:space="preserve">den </w:t>
      </w:r>
      <w:r w:rsidR="000D79E0">
        <w:rPr>
          <w:color w:val="000000"/>
          <w:szCs w:val="22"/>
        </w:rPr>
        <w:t>Sozialarbeiter*innen (</w:t>
      </w:r>
      <w:r w:rsidR="00AB4D8E">
        <w:rPr>
          <w:color w:val="000000"/>
          <w:szCs w:val="22"/>
        </w:rPr>
        <w:t>SA</w:t>
      </w:r>
      <w:r w:rsidR="000D79E0">
        <w:rPr>
          <w:color w:val="000000"/>
          <w:szCs w:val="22"/>
        </w:rPr>
        <w:t>)</w:t>
      </w:r>
      <w:r w:rsidR="00AB4D8E">
        <w:rPr>
          <w:color w:val="000000"/>
          <w:szCs w:val="22"/>
        </w:rPr>
        <w:t xml:space="preserve"> und </w:t>
      </w:r>
      <w:r w:rsidR="000D79E0">
        <w:rPr>
          <w:color w:val="000000"/>
          <w:szCs w:val="22"/>
        </w:rPr>
        <w:t>Sachbearbeiter*innen (</w:t>
      </w:r>
      <w:r w:rsidR="00AB4D8E">
        <w:rPr>
          <w:color w:val="000000"/>
          <w:szCs w:val="22"/>
        </w:rPr>
        <w:t>SB</w:t>
      </w:r>
      <w:r w:rsidR="000D79E0">
        <w:rPr>
          <w:color w:val="000000"/>
          <w:szCs w:val="22"/>
        </w:rPr>
        <w:t>)</w:t>
      </w:r>
      <w:r w:rsidR="00AB4D8E">
        <w:rPr>
          <w:color w:val="000000"/>
          <w:szCs w:val="22"/>
        </w:rPr>
        <w:t xml:space="preserve"> die </w:t>
      </w:r>
      <w:r w:rsidR="00B53162">
        <w:rPr>
          <w:color w:val="000000"/>
          <w:szCs w:val="22"/>
        </w:rPr>
        <w:t xml:space="preserve">Rahmenbedingungen </w:t>
      </w:r>
      <w:r w:rsidR="00AB4D8E">
        <w:rPr>
          <w:color w:val="000000"/>
          <w:szCs w:val="22"/>
        </w:rPr>
        <w:t>aufzuzeigen</w:t>
      </w:r>
      <w:r w:rsidR="001F6BD0">
        <w:rPr>
          <w:color w:val="000000"/>
          <w:szCs w:val="22"/>
        </w:rPr>
        <w:t>, welche Beträge zu prüfen und welche Einnahmen anzurechnen sind und dabei auch ihren Ermessensspielraum zu definieren</w:t>
      </w:r>
      <w:r w:rsidR="004B44F0">
        <w:rPr>
          <w:color w:val="000000"/>
          <w:szCs w:val="22"/>
        </w:rPr>
        <w:t>.</w:t>
      </w:r>
      <w:r w:rsidR="001F6BD0">
        <w:rPr>
          <w:color w:val="000000"/>
          <w:szCs w:val="22"/>
        </w:rPr>
        <w:t xml:space="preserve"> Auf die Prüfung und Anrechnung von vereinzelten geringfügigen Zahlungseingängen kann verzichtet werden.</w:t>
      </w:r>
      <w:r w:rsidR="004B44F0">
        <w:rPr>
          <w:color w:val="000000"/>
          <w:szCs w:val="22"/>
        </w:rPr>
        <w:t xml:space="preserve"> </w:t>
      </w:r>
      <w:r w:rsidR="001F6BD0" w:rsidRPr="001F6BD0">
        <w:rPr>
          <w:color w:val="000000"/>
          <w:szCs w:val="22"/>
        </w:rPr>
        <w:t xml:space="preserve">Aus der Menge an Zahlungseingängen gilt es </w:t>
      </w:r>
      <w:r w:rsidR="001F6BD0">
        <w:rPr>
          <w:color w:val="000000"/>
          <w:szCs w:val="22"/>
        </w:rPr>
        <w:t>jedoch Einnahmen zu erkennen, die (ku</w:t>
      </w:r>
      <w:r w:rsidR="001F6BD0" w:rsidRPr="001F6BD0">
        <w:rPr>
          <w:color w:val="000000"/>
          <w:szCs w:val="22"/>
        </w:rPr>
        <w:t xml:space="preserve">muliert) den Anspruch auf WH substanziell reduzieren und diese anzurechnen. </w:t>
      </w:r>
    </w:p>
    <w:p w14:paraId="79A11921" w14:textId="77777777" w:rsidR="005A6150" w:rsidRDefault="005A6150">
      <w:pPr>
        <w:rPr>
          <w:rFonts w:cs="Times New Roman"/>
          <w:b/>
          <w:szCs w:val="24"/>
        </w:rPr>
      </w:pPr>
      <w:bookmarkStart w:id="4" w:name="_Toc127369490"/>
      <w:r>
        <w:br w:type="page"/>
      </w:r>
    </w:p>
    <w:p w14:paraId="0DA39971" w14:textId="13DF53DE" w:rsidR="002918FA" w:rsidRDefault="002918FA" w:rsidP="00E52781">
      <w:pPr>
        <w:pStyle w:val="berschrift1"/>
      </w:pPr>
      <w:r>
        <w:lastRenderedPageBreak/>
        <w:t xml:space="preserve">Grundsätze bei der Prüfung </w:t>
      </w:r>
      <w:r w:rsidR="001F6BD0">
        <w:t>von Zahlungseingängen</w:t>
      </w:r>
      <w:bookmarkEnd w:id="4"/>
    </w:p>
    <w:p w14:paraId="58424097" w14:textId="77777777" w:rsidR="00D249CC" w:rsidRDefault="009614FA" w:rsidP="002C4BDB">
      <w:pPr>
        <w:pStyle w:val="Absatz0"/>
      </w:pPr>
      <w:r>
        <w:rPr>
          <w:color w:val="000000"/>
          <w:szCs w:val="22"/>
        </w:rPr>
        <w:t xml:space="preserve">Die </w:t>
      </w:r>
      <w:r w:rsidR="00112B5E">
        <w:rPr>
          <w:color w:val="000000"/>
          <w:szCs w:val="22"/>
        </w:rPr>
        <w:t xml:space="preserve">KL müssen den SOD aufgrund ihrer Informations- und Mitwirkungspflichten </w:t>
      </w:r>
      <w:r w:rsidR="00112B5E">
        <w:t>(§ 18 SHG und § 28 SHV) alle Einnahmen melden</w:t>
      </w:r>
      <w:r w:rsidR="00C945FE">
        <w:t xml:space="preserve"> und ihren Zahlungsverkehr nachvollziehbar und plausibel erklären können</w:t>
      </w:r>
      <w:r w:rsidR="00112B5E">
        <w:t>.</w:t>
      </w:r>
    </w:p>
    <w:p w14:paraId="00B4D812" w14:textId="77777777" w:rsidR="008548F4" w:rsidRDefault="008548F4" w:rsidP="002C4BDB">
      <w:pPr>
        <w:pStyle w:val="Absatz0"/>
      </w:pPr>
    </w:p>
    <w:p w14:paraId="34D1DDA4" w14:textId="77777777" w:rsidR="007A05D6" w:rsidRDefault="002B5D85" w:rsidP="002C4BDB">
      <w:pPr>
        <w:pStyle w:val="Absatz0"/>
        <w:rPr>
          <w:color w:val="000000"/>
          <w:szCs w:val="22"/>
        </w:rPr>
      </w:pPr>
      <w:r>
        <w:t>Alle Zahlungseingänge werden</w:t>
      </w:r>
      <w:r w:rsidR="001F6BD0">
        <w:t xml:space="preserve"> per Augenschein</w:t>
      </w:r>
      <w:r>
        <w:t xml:space="preserve"> auf erkennbare Muster, Auffälligkeiten oder Häufungen überprüft. </w:t>
      </w:r>
      <w:r>
        <w:rPr>
          <w:color w:val="000000"/>
          <w:szCs w:val="22"/>
        </w:rPr>
        <w:t xml:space="preserve">Aus der Menge an </w:t>
      </w:r>
      <w:r w:rsidR="00AB0E33">
        <w:rPr>
          <w:color w:val="000000"/>
          <w:szCs w:val="22"/>
        </w:rPr>
        <w:t xml:space="preserve">grösseren und kleineren </w:t>
      </w:r>
      <w:r>
        <w:rPr>
          <w:color w:val="000000"/>
          <w:szCs w:val="22"/>
        </w:rPr>
        <w:t xml:space="preserve">Zahlungseingängen gilt es Einnahmen zu erkennen, </w:t>
      </w:r>
      <w:r w:rsidR="00AB0E33">
        <w:rPr>
          <w:color w:val="000000"/>
          <w:szCs w:val="22"/>
        </w:rPr>
        <w:t>bei denen es unangemessen wäre, auf eine Anrechnung</w:t>
      </w:r>
      <w:r>
        <w:rPr>
          <w:color w:val="000000"/>
          <w:szCs w:val="22"/>
        </w:rPr>
        <w:t xml:space="preserve"> </w:t>
      </w:r>
      <w:r w:rsidR="0067258A">
        <w:rPr>
          <w:color w:val="000000"/>
          <w:szCs w:val="22"/>
        </w:rPr>
        <w:t>in der Unterstützungsberechnung</w:t>
      </w:r>
      <w:r w:rsidR="00AB0E33">
        <w:rPr>
          <w:color w:val="000000"/>
          <w:szCs w:val="22"/>
        </w:rPr>
        <w:t xml:space="preserve"> zu verzichten</w:t>
      </w:r>
      <w:r w:rsidR="00440374">
        <w:rPr>
          <w:color w:val="000000"/>
          <w:szCs w:val="22"/>
        </w:rPr>
        <w:t>.</w:t>
      </w:r>
      <w:r w:rsidR="00112B5E">
        <w:rPr>
          <w:color w:val="000000"/>
          <w:szCs w:val="22"/>
        </w:rPr>
        <w:t xml:space="preserve"> </w:t>
      </w:r>
      <w:r w:rsidR="007B1D7E">
        <w:rPr>
          <w:color w:val="000000"/>
          <w:szCs w:val="22"/>
        </w:rPr>
        <w:t xml:space="preserve">Grössere Einnahmen werden immer genauer geprüft, während bei vereinzelten geringfügigen Zahlungseingängen auf eine genauere Überprüfung verzichtet werden kann. </w:t>
      </w:r>
    </w:p>
    <w:p w14:paraId="7230B1C5" w14:textId="77777777" w:rsidR="003717A7" w:rsidRDefault="003717A7" w:rsidP="002C4BDB">
      <w:pPr>
        <w:pStyle w:val="Absatz0"/>
      </w:pPr>
    </w:p>
    <w:p w14:paraId="5120CC10" w14:textId="77777777" w:rsidR="002C4BDB" w:rsidRDefault="00A73162" w:rsidP="003717A7">
      <w:pPr>
        <w:pStyle w:val="Absatz0"/>
        <w:tabs>
          <w:tab w:val="left" w:pos="1515"/>
        </w:tabs>
        <w:rPr>
          <w:color w:val="000000"/>
          <w:szCs w:val="22"/>
        </w:rPr>
      </w:pPr>
      <w:r w:rsidRPr="003717A7">
        <w:rPr>
          <w:color w:val="000000"/>
          <w:szCs w:val="22"/>
        </w:rPr>
        <w:t xml:space="preserve">Werden Einnahmen ordnungsgemäss und rechtzeitig deklariert, muss beurteilt werden, ob und in welchem Umfang diese in der laufenden Unterstützungsberechnung berücksichtigt werden müssen. Eine </w:t>
      </w:r>
      <w:r w:rsidR="007458D5" w:rsidRPr="003717A7">
        <w:rPr>
          <w:color w:val="000000"/>
          <w:szCs w:val="22"/>
        </w:rPr>
        <w:t xml:space="preserve">umfassende Beurteilung </w:t>
      </w:r>
      <w:r w:rsidRPr="003717A7">
        <w:rPr>
          <w:color w:val="000000"/>
          <w:szCs w:val="22"/>
        </w:rPr>
        <w:t>erfolgt anlässlich der jährlichen Überprüfung der Mittellosigkeit der KL. Stellt sich zu diesem</w:t>
      </w:r>
      <w:r w:rsidR="009614FA" w:rsidRPr="003717A7">
        <w:rPr>
          <w:color w:val="000000"/>
          <w:szCs w:val="22"/>
        </w:rPr>
        <w:t xml:space="preserve"> Zeitpunkt heraus, dass KL</w:t>
      </w:r>
      <w:r w:rsidRPr="003717A7">
        <w:rPr>
          <w:color w:val="000000"/>
          <w:szCs w:val="22"/>
        </w:rPr>
        <w:t xml:space="preserve"> nicht alle Einnahmen gemeldet und dadurch eine laufende Anrechnung verunmöglicht haben, ist eine Rückforderung zu prüfen.</w:t>
      </w:r>
      <w:r>
        <w:rPr>
          <w:color w:val="000000"/>
          <w:szCs w:val="22"/>
        </w:rPr>
        <w:t xml:space="preserve"> </w:t>
      </w:r>
    </w:p>
    <w:p w14:paraId="72415CD9" w14:textId="77777777" w:rsidR="001F6BD0" w:rsidRDefault="001F6BD0" w:rsidP="0049622A">
      <w:pPr>
        <w:pStyle w:val="berschrift2"/>
      </w:pPr>
      <w:bookmarkStart w:id="5" w:name="_Toc127369491"/>
      <w:r>
        <w:t>Überprüfung von Kleinbeträgen</w:t>
      </w:r>
      <w:bookmarkEnd w:id="5"/>
    </w:p>
    <w:p w14:paraId="54CF6C65" w14:textId="2211A3B2" w:rsidR="00274EA1" w:rsidRPr="005A6150" w:rsidRDefault="001F6BD0" w:rsidP="00607D09">
      <w:pPr>
        <w:pStyle w:val="Absatz0"/>
        <w:rPr>
          <w:szCs w:val="22"/>
        </w:rPr>
      </w:pPr>
      <w:r w:rsidRPr="0049622A">
        <w:rPr>
          <w:szCs w:val="22"/>
        </w:rPr>
        <w:t xml:space="preserve">Bei der Prüfung der Kontoauszüge und der weiteren finanzrelevanten Unterlagen liegt es im Ermessen der Fallführung, wie tiefgreifend die Prüfung von Kleinbeträgen vorgenommen wird. Auf die Prüfung von vereinzelten geringfügigen Zahlungseingängen kann ganz verzichtet werden. Folgender Orientierungsrahmen kann bei der Ausübung des Ermessens hilfreich sein: </w:t>
      </w:r>
    </w:p>
    <w:p w14:paraId="347E40D9" w14:textId="2BE07BC4" w:rsidR="00274EA1" w:rsidRPr="000246E3" w:rsidRDefault="00D42916" w:rsidP="00D42916">
      <w:pPr>
        <w:pStyle w:val="Absatz0"/>
        <w:numPr>
          <w:ilvl w:val="0"/>
          <w:numId w:val="37"/>
        </w:numPr>
      </w:pPr>
      <w:r>
        <w:rPr>
          <w:b/>
        </w:rPr>
        <w:t>Als v</w:t>
      </w:r>
      <w:r w:rsidR="00274EA1" w:rsidRPr="000246E3">
        <w:rPr>
          <w:b/>
        </w:rPr>
        <w:t>ereinzelte</w:t>
      </w:r>
      <w:r w:rsidR="00274EA1" w:rsidRPr="000246E3">
        <w:t xml:space="preserve"> </w:t>
      </w:r>
      <w:r w:rsidR="008E4621" w:rsidRPr="006F67A2">
        <w:rPr>
          <w:b/>
        </w:rPr>
        <w:t xml:space="preserve">geringfügige </w:t>
      </w:r>
      <w:r w:rsidR="000A1992">
        <w:t>Zahlungseingänge</w:t>
      </w:r>
      <w:r w:rsidR="00274EA1" w:rsidRPr="000246E3">
        <w:t xml:space="preserve"> </w:t>
      </w:r>
      <w:r w:rsidRPr="00D42916">
        <w:t xml:space="preserve">gelten in der Regel Beträge </w:t>
      </w:r>
      <w:r w:rsidR="00274EA1" w:rsidRPr="000246E3">
        <w:rPr>
          <w:b/>
        </w:rPr>
        <w:t>unter Fr. 20.00</w:t>
      </w:r>
      <w:r>
        <w:rPr>
          <w:b/>
        </w:rPr>
        <w:t xml:space="preserve">. </w:t>
      </w:r>
      <w:r w:rsidRPr="0049622A">
        <w:t>Diese</w:t>
      </w:r>
      <w:r w:rsidR="00274EA1" w:rsidRPr="00D42916">
        <w:t xml:space="preserve"> müs</w:t>
      </w:r>
      <w:r w:rsidR="00274EA1" w:rsidRPr="000246E3">
        <w:t xml:space="preserve">sen nicht weiter überprüft werden, auch wenn es </w:t>
      </w:r>
      <w:r w:rsidR="00901B0B" w:rsidRPr="000246E3">
        <w:t>sich um</w:t>
      </w:r>
      <w:r w:rsidR="00274EA1" w:rsidRPr="000246E3">
        <w:t xml:space="preserve"> eine anrechenbare Einnahme handeln könnte. </w:t>
      </w:r>
    </w:p>
    <w:p w14:paraId="6A8A9CB8" w14:textId="77777777" w:rsidR="00274EA1" w:rsidRDefault="00274EA1" w:rsidP="006B453F">
      <w:pPr>
        <w:pStyle w:val="Absatz0"/>
        <w:ind w:left="720"/>
      </w:pPr>
    </w:p>
    <w:p w14:paraId="62AB4184" w14:textId="77777777" w:rsidR="00274EA1" w:rsidRDefault="009D1974">
      <w:pPr>
        <w:pStyle w:val="Absatz0"/>
        <w:numPr>
          <w:ilvl w:val="0"/>
          <w:numId w:val="37"/>
        </w:numPr>
      </w:pPr>
      <w:r>
        <w:t xml:space="preserve">Bei Zahlungseingängen zwischen </w:t>
      </w:r>
      <w:r w:rsidRPr="003E55F4">
        <w:rPr>
          <w:b/>
        </w:rPr>
        <w:t>Fr. 20.00 – 50.00</w:t>
      </w:r>
      <w:r>
        <w:t xml:space="preserve"> </w:t>
      </w:r>
      <w:r w:rsidR="00D42916" w:rsidRPr="00D42916">
        <w:t>ist über die Tiefe der Prüfung zu entscheiden</w:t>
      </w:r>
      <w:r w:rsidR="002C4BDB">
        <w:t xml:space="preserve">. </w:t>
      </w:r>
      <w:r w:rsidR="00274EA1" w:rsidRPr="00D42916">
        <w:rPr>
          <w:b/>
        </w:rPr>
        <w:t>Plausible</w:t>
      </w:r>
      <w:r w:rsidR="00274EA1">
        <w:t xml:space="preserve"> summarische Erklärungen für mehrere</w:t>
      </w:r>
      <w:r w:rsidR="00D42916">
        <w:t xml:space="preserve"> (wiederkehrende)</w:t>
      </w:r>
      <w:r w:rsidR="00274EA1">
        <w:t xml:space="preserve"> Zahlungseingänge können als einmalige mündliche Erklärung akzeptiert und </w:t>
      </w:r>
      <w:r w:rsidR="00157F9C">
        <w:t xml:space="preserve">schriftlich </w:t>
      </w:r>
      <w:r w:rsidR="00E503CC">
        <w:t xml:space="preserve">direkt im Kontoauszug oder in den Aktennotizen </w:t>
      </w:r>
      <w:r w:rsidR="00157F9C">
        <w:t>begründet werden</w:t>
      </w:r>
      <w:r w:rsidR="00274EA1">
        <w:t xml:space="preserve"> (z.B. regelmässige Einkäufe in einer WG).</w:t>
      </w:r>
    </w:p>
    <w:p w14:paraId="5EFD5CC3" w14:textId="77777777" w:rsidR="00274EA1" w:rsidRDefault="00274EA1" w:rsidP="003E55F4">
      <w:pPr>
        <w:pStyle w:val="Absatz0"/>
        <w:ind w:left="720"/>
      </w:pPr>
      <w:r>
        <w:t xml:space="preserve"> </w:t>
      </w:r>
    </w:p>
    <w:p w14:paraId="38DC8FB0" w14:textId="77777777" w:rsidR="00D42916" w:rsidRPr="0049622A" w:rsidRDefault="00274EA1" w:rsidP="008676F8">
      <w:pPr>
        <w:pStyle w:val="Absatz0"/>
        <w:numPr>
          <w:ilvl w:val="0"/>
          <w:numId w:val="37"/>
        </w:numPr>
      </w:pPr>
      <w:r>
        <w:t xml:space="preserve">Zahlungseingänge </w:t>
      </w:r>
      <w:r w:rsidRPr="00D42916">
        <w:rPr>
          <w:b/>
        </w:rPr>
        <w:t>über Fr. 50.00</w:t>
      </w:r>
      <w:r>
        <w:t xml:space="preserve"> </w:t>
      </w:r>
      <w:r w:rsidR="007039EA">
        <w:t>gelten in der Regel nicht als Kleinbetrag</w:t>
      </w:r>
      <w:r w:rsidR="00D42916" w:rsidRPr="0049622A">
        <w:t xml:space="preserve"> und müssen entsprechend einzeln erklärt und allenfalls belegt werden. </w:t>
      </w:r>
    </w:p>
    <w:p w14:paraId="00812D88" w14:textId="77777777" w:rsidR="007A05D6" w:rsidRDefault="007A05D6" w:rsidP="003717A7">
      <w:pPr>
        <w:pStyle w:val="Absatz0"/>
      </w:pPr>
    </w:p>
    <w:p w14:paraId="76BC5EAB" w14:textId="77777777" w:rsidR="007039EA" w:rsidRPr="00515B68" w:rsidRDefault="007039EA" w:rsidP="007039EA">
      <w:pPr>
        <w:pStyle w:val="Absatz0"/>
        <w:rPr>
          <w:b/>
        </w:rPr>
      </w:pPr>
      <w:r>
        <w:t xml:space="preserve">Die </w:t>
      </w:r>
      <w:r>
        <w:rPr>
          <w:b/>
        </w:rPr>
        <w:t>Entscheidung</w:t>
      </w:r>
      <w:r>
        <w:t xml:space="preserve">, wie mit einem Zahlungseingang umgegangen wird, muss </w:t>
      </w:r>
      <w:r w:rsidRPr="00515B68">
        <w:rPr>
          <w:b/>
        </w:rPr>
        <w:t>nachvollziehbar in der Fallakte</w:t>
      </w:r>
      <w:r>
        <w:t xml:space="preserve"> (auf den Kontoauszügen und / oder in einer Aktennotiz) </w:t>
      </w:r>
      <w:r w:rsidRPr="00515B68">
        <w:rPr>
          <w:b/>
        </w:rPr>
        <w:t>dokumentiert</w:t>
      </w:r>
      <w:r>
        <w:rPr>
          <w:b/>
        </w:rPr>
        <w:t xml:space="preserve"> werden</w:t>
      </w:r>
      <w:r w:rsidRPr="00515B68">
        <w:rPr>
          <w:b/>
        </w:rPr>
        <w:t xml:space="preserve">. </w:t>
      </w:r>
    </w:p>
    <w:p w14:paraId="3388C307" w14:textId="77777777" w:rsidR="006B42D5" w:rsidRDefault="006B42D5" w:rsidP="007A05D6">
      <w:pPr>
        <w:pStyle w:val="Absatz0"/>
      </w:pPr>
    </w:p>
    <w:p w14:paraId="20AEC121" w14:textId="77777777" w:rsidR="007A05D6" w:rsidRDefault="007A05D6" w:rsidP="007A05D6">
      <w:pPr>
        <w:pStyle w:val="Absatz0"/>
      </w:pPr>
      <w:r>
        <w:t xml:space="preserve">Bei </w:t>
      </w:r>
      <w:r w:rsidRPr="003E55F4">
        <w:rPr>
          <w:b/>
        </w:rPr>
        <w:t>Verdachtsfällen</w:t>
      </w:r>
      <w:r>
        <w:t xml:space="preserve"> (siehe Kapitel </w:t>
      </w:r>
      <w:hyperlink w:anchor="_Verdachtsfälle" w:history="1">
        <w:r w:rsidR="00660AFA">
          <w:rPr>
            <w:rStyle w:val="Hyperlink"/>
          </w:rPr>
          <w:t>2.3</w:t>
        </w:r>
      </w:hyperlink>
      <w:r>
        <w:t xml:space="preserve">) wird jeder Zahlungseingang abgeklärt (auch Einzelbeträge unter Fr. 20.00.). Es werden zusätzliche Erklärungen und Belege eingefordert und je nach Ausgang der Abklärung wird der Betrag als Einnahme angerechnet. </w:t>
      </w:r>
    </w:p>
    <w:p w14:paraId="6B33E3CE" w14:textId="77777777" w:rsidR="00DD3B27" w:rsidRDefault="00DD3B27" w:rsidP="003E55F4">
      <w:pPr>
        <w:pStyle w:val="berschrift2"/>
      </w:pPr>
      <w:bookmarkStart w:id="6" w:name="_Toc127369492"/>
      <w:r>
        <w:t>Erkennen von Auffälligkeiten</w:t>
      </w:r>
      <w:bookmarkEnd w:id="6"/>
    </w:p>
    <w:p w14:paraId="40B7475A" w14:textId="77777777" w:rsidR="007039EA" w:rsidRPr="0049622A" w:rsidRDefault="007039EA" w:rsidP="0049622A">
      <w:pPr>
        <w:pStyle w:val="Absatz0"/>
      </w:pPr>
      <w:r w:rsidRPr="007039EA">
        <w:t xml:space="preserve">Die Fallführung hat Ermessen bei der Frage, welche </w:t>
      </w:r>
      <w:r w:rsidRPr="0049622A">
        <w:t xml:space="preserve">einzelnen </w:t>
      </w:r>
      <w:r>
        <w:t>Kleinbeträge</w:t>
      </w:r>
      <w:r w:rsidRPr="007039EA">
        <w:t xml:space="preserve"> </w:t>
      </w:r>
      <w:r w:rsidRPr="0049622A">
        <w:t>ge</w:t>
      </w:r>
      <w:r w:rsidRPr="007039EA">
        <w:t>prüft und welche Unterlagen dazu als Belege eingefordert werden.</w:t>
      </w:r>
      <w:r w:rsidRPr="0049622A" w:rsidDel="00D40074">
        <w:rPr>
          <w:szCs w:val="22"/>
        </w:rPr>
        <w:t xml:space="preserve"> </w:t>
      </w:r>
      <w:r w:rsidRPr="0049622A">
        <w:t xml:space="preserve">Alle Zahlungseingänge werden jedoch </w:t>
      </w:r>
      <w:r w:rsidRPr="0049622A">
        <w:rPr>
          <w:b/>
        </w:rPr>
        <w:t>per Augenschein</w:t>
      </w:r>
      <w:r w:rsidRPr="0049622A">
        <w:t xml:space="preserve"> auf Auffälligkeiten überprüft. </w:t>
      </w:r>
      <w:r w:rsidRPr="0049622A">
        <w:rPr>
          <w:szCs w:val="22"/>
        </w:rPr>
        <w:t>Aus der grossen Menge an Zahlungseingängen gilt es (zusammenhängende) Einnahmen zu erkennen, die den Anspruch auf WH substanziell reduzieren und diese anzurechnen.</w:t>
      </w:r>
      <w:r w:rsidRPr="0049622A">
        <w:t xml:space="preserve"> </w:t>
      </w:r>
    </w:p>
    <w:p w14:paraId="523928BA" w14:textId="77777777" w:rsidR="007039EA" w:rsidRPr="0049622A" w:rsidRDefault="007039EA" w:rsidP="007039EA">
      <w:pPr>
        <w:pStyle w:val="Absatz0"/>
        <w:ind w:left="360"/>
      </w:pPr>
    </w:p>
    <w:p w14:paraId="75DC4A06" w14:textId="77777777" w:rsidR="007039EA" w:rsidRDefault="007039EA" w:rsidP="007039EA">
      <w:pPr>
        <w:pStyle w:val="Absatz0"/>
        <w:rPr>
          <w:color w:val="000000"/>
          <w:szCs w:val="22"/>
        </w:rPr>
      </w:pPr>
      <w:r>
        <w:rPr>
          <w:color w:val="000000"/>
          <w:szCs w:val="22"/>
        </w:rPr>
        <w:lastRenderedPageBreak/>
        <w:t xml:space="preserve">Folgende Grundsätze helfen dabei, Auffälligkeiten zu erkennen, bei denen es weitere Abklärungen braucht. </w:t>
      </w:r>
    </w:p>
    <w:p w14:paraId="1F10BBF2" w14:textId="77777777" w:rsidR="00A538F4" w:rsidRDefault="00A538F4" w:rsidP="00607D09">
      <w:pPr>
        <w:pStyle w:val="Absatz0"/>
        <w:rPr>
          <w:color w:val="000000"/>
          <w:szCs w:val="22"/>
        </w:rPr>
      </w:pPr>
    </w:p>
    <w:p w14:paraId="6006FED1" w14:textId="77777777" w:rsidR="00286C76" w:rsidRDefault="002918FA" w:rsidP="003E55F4">
      <w:pPr>
        <w:pStyle w:val="Absatz0"/>
        <w:numPr>
          <w:ilvl w:val="0"/>
          <w:numId w:val="36"/>
        </w:numPr>
      </w:pPr>
      <w:r w:rsidRPr="006B453F">
        <w:rPr>
          <w:b/>
        </w:rPr>
        <w:t>Muster</w:t>
      </w:r>
      <w:r w:rsidRPr="007823A8">
        <w:t xml:space="preserve">: Grundsätzlich </w:t>
      </w:r>
      <w:r>
        <w:t>sind</w:t>
      </w:r>
      <w:r w:rsidRPr="007823A8">
        <w:t xml:space="preserve"> Zahlungseingänge auf Muster </w:t>
      </w:r>
      <w:r>
        <w:t>zu überprüfen</w:t>
      </w:r>
      <w:r w:rsidRPr="007823A8">
        <w:t xml:space="preserve">. Muster können Häufungen, Regelmässigkeiten in Bezug auf die Höhe, den Absender, das Datum etc. sowie Kombinationen davon sein. Muster müssen mit </w:t>
      </w:r>
      <w:r w:rsidR="008E4C7A">
        <w:t>den</w:t>
      </w:r>
      <w:r w:rsidRPr="007823A8">
        <w:t xml:space="preserve"> KL abgeklärt und die </w:t>
      </w:r>
      <w:r w:rsidRPr="00995DB8">
        <w:t xml:space="preserve">Erklärung </w:t>
      </w:r>
      <w:r w:rsidR="00154F03" w:rsidRPr="00995DB8">
        <w:t>muss</w:t>
      </w:r>
      <w:r w:rsidRPr="00995DB8">
        <w:t xml:space="preserve"> </w:t>
      </w:r>
      <w:r w:rsidR="003F1790">
        <w:t>in der Fallakte</w:t>
      </w:r>
      <w:r w:rsidR="008E4C7A">
        <w:t xml:space="preserve"> abgelegt werden</w:t>
      </w:r>
      <w:r w:rsidR="003F1790">
        <w:t>.</w:t>
      </w:r>
    </w:p>
    <w:p w14:paraId="076A71D8" w14:textId="77777777" w:rsidR="007039EA" w:rsidRDefault="007039EA" w:rsidP="0049622A">
      <w:pPr>
        <w:pStyle w:val="Absatz0"/>
        <w:ind w:left="720"/>
      </w:pPr>
    </w:p>
    <w:p w14:paraId="199E1DC0" w14:textId="77777777" w:rsidR="00A538F4" w:rsidRPr="0049622A" w:rsidRDefault="002918FA" w:rsidP="00A538F4">
      <w:pPr>
        <w:pStyle w:val="Absatz0"/>
        <w:numPr>
          <w:ilvl w:val="0"/>
          <w:numId w:val="36"/>
        </w:numPr>
        <w:rPr>
          <w:strike/>
        </w:rPr>
      </w:pPr>
      <w:r w:rsidRPr="004C4EA7">
        <w:rPr>
          <w:b/>
        </w:rPr>
        <w:t>Verhältnismässigkeit</w:t>
      </w:r>
      <w:r w:rsidRPr="007823A8">
        <w:t xml:space="preserve">: Die Zahlungseingänge </w:t>
      </w:r>
      <w:r>
        <w:t>sind, was den Betrag und die Häufigkeit betrifft,</w:t>
      </w:r>
      <w:r w:rsidR="00945F7E">
        <w:t xml:space="preserve"> </w:t>
      </w:r>
      <w:r w:rsidRPr="007823A8">
        <w:t xml:space="preserve">in einem </w:t>
      </w:r>
      <w:r w:rsidR="00B51BBE">
        <w:t>plausiblen</w:t>
      </w:r>
      <w:r w:rsidR="00B51BBE" w:rsidRPr="007823A8">
        <w:t xml:space="preserve"> </w:t>
      </w:r>
      <w:r w:rsidRPr="007823A8">
        <w:t xml:space="preserve">Verhältnis zum </w:t>
      </w:r>
      <w:r w:rsidR="008E4C7A">
        <w:t xml:space="preserve">zur </w:t>
      </w:r>
      <w:r w:rsidRPr="007823A8">
        <w:t>Verfügung stehenden Grundbedarf</w:t>
      </w:r>
      <w:r w:rsidR="00605D3B">
        <w:t xml:space="preserve"> und zu den Ausgaben.</w:t>
      </w:r>
    </w:p>
    <w:p w14:paraId="61E7FDA7" w14:textId="77777777" w:rsidR="007039EA" w:rsidRPr="00A538F4" w:rsidRDefault="007039EA" w:rsidP="0049622A">
      <w:pPr>
        <w:pStyle w:val="Absatz0"/>
        <w:rPr>
          <w:strike/>
        </w:rPr>
      </w:pPr>
    </w:p>
    <w:p w14:paraId="1BFAE4A2" w14:textId="77777777" w:rsidR="002F5BBD" w:rsidRPr="003717A7" w:rsidRDefault="00A538F4" w:rsidP="002918FA">
      <w:pPr>
        <w:pStyle w:val="Absatz0"/>
        <w:numPr>
          <w:ilvl w:val="0"/>
          <w:numId w:val="36"/>
        </w:numPr>
        <w:rPr>
          <w:strike/>
        </w:rPr>
      </w:pPr>
      <w:r w:rsidRPr="003717A7">
        <w:rPr>
          <w:b/>
        </w:rPr>
        <w:t>Plausibilitätsprüfung</w:t>
      </w:r>
      <w:r w:rsidRPr="003717A7">
        <w:t xml:space="preserve">: (Ein) Ziel der Überprüfung der Zahlungseingänge ist es, die Plausibilität des Zahlungsverkehrs zu prüfen. Zahlungseingänge müssen für die </w:t>
      </w:r>
      <w:r w:rsidR="007039EA" w:rsidRPr="003717A7">
        <w:t xml:space="preserve">Fallführung </w:t>
      </w:r>
      <w:r w:rsidRPr="003717A7">
        <w:t>nachvollziehbar erklärt werden. Erfolgt die Beteiligung am WG-Einkauf beispielsweise über TWINT,</w:t>
      </w:r>
      <w:r w:rsidR="00605D3B" w:rsidRPr="003717A7">
        <w:t xml:space="preserve"> </w:t>
      </w:r>
      <w:r w:rsidR="00B51BBE" w:rsidRPr="003717A7">
        <w:t xml:space="preserve">sind allenfalls auch die dazugehörigen Ausgaben auf dem Kontoauszug oder in der </w:t>
      </w:r>
      <w:r w:rsidR="007039EA" w:rsidRPr="003717A7">
        <w:t xml:space="preserve">App </w:t>
      </w:r>
      <w:r w:rsidR="00B51BBE" w:rsidRPr="003717A7">
        <w:t xml:space="preserve">ersichtlich. </w:t>
      </w:r>
      <w:r w:rsidRPr="003717A7">
        <w:t xml:space="preserve">Bei TWINT kann die Mitteilungsfunktion helfen, einen Zahlungseingang plausibel zu erklären. </w:t>
      </w:r>
    </w:p>
    <w:p w14:paraId="0321E316" w14:textId="77777777" w:rsidR="00AA159C" w:rsidRDefault="00607D09" w:rsidP="00607D09">
      <w:pPr>
        <w:pStyle w:val="berschrift2"/>
      </w:pPr>
      <w:bookmarkStart w:id="7" w:name="_Verdachtsfälle"/>
      <w:bookmarkStart w:id="8" w:name="_Toc127369493"/>
      <w:bookmarkEnd w:id="7"/>
      <w:r>
        <w:t>Verdachtsfälle</w:t>
      </w:r>
      <w:bookmarkEnd w:id="8"/>
    </w:p>
    <w:p w14:paraId="46117A5D" w14:textId="77777777" w:rsidR="00D063B7" w:rsidRDefault="00152397" w:rsidP="00D063B7">
      <w:pPr>
        <w:pStyle w:val="Absatz0"/>
      </w:pPr>
      <w:r>
        <w:t>Bei der Prüfung der Kontoauszüge</w:t>
      </w:r>
      <w:r w:rsidR="003F1790">
        <w:t xml:space="preserve"> und weiteren finanzrelevanten Unterlagen</w:t>
      </w:r>
      <w:r>
        <w:t xml:space="preserve"> können Zweifel an der Mittellosigkeit </w:t>
      </w:r>
      <w:r w:rsidR="003F1790">
        <w:t>der</w:t>
      </w:r>
      <w:r>
        <w:t xml:space="preserve"> KL aufkommen. </w:t>
      </w:r>
      <w:r w:rsidR="00D063B7">
        <w:t xml:space="preserve">Ein Verdachtsfall kann sich aufgrund verschiedener Faktoren ergeben: </w:t>
      </w:r>
    </w:p>
    <w:p w14:paraId="2790248B" w14:textId="77777777" w:rsidR="00D063B7" w:rsidRDefault="00D063B7" w:rsidP="00D063B7">
      <w:pPr>
        <w:pStyle w:val="Absatz0"/>
      </w:pPr>
    </w:p>
    <w:p w14:paraId="5FD6C269" w14:textId="77777777" w:rsidR="00D063B7" w:rsidRDefault="00D063B7" w:rsidP="00D063B7">
      <w:pPr>
        <w:pStyle w:val="Absatz0"/>
        <w:numPr>
          <w:ilvl w:val="0"/>
          <w:numId w:val="38"/>
        </w:numPr>
      </w:pPr>
      <w:r>
        <w:t xml:space="preserve">Regelmässigkeiten von Zahlungseingängen und –ausgängen, </w:t>
      </w:r>
      <w:r w:rsidR="00A04047">
        <w:t>welche die</w:t>
      </w:r>
      <w:r>
        <w:t xml:space="preserve"> KL nicht plausibel erklären können</w:t>
      </w:r>
      <w:r w:rsidR="005476AF">
        <w:t xml:space="preserve"> (Muster)</w:t>
      </w:r>
    </w:p>
    <w:p w14:paraId="4CED0EC9" w14:textId="77777777" w:rsidR="00D063B7" w:rsidRDefault="00D063B7" w:rsidP="00D063B7">
      <w:pPr>
        <w:pStyle w:val="Absatz0"/>
        <w:numPr>
          <w:ilvl w:val="0"/>
          <w:numId w:val="38"/>
        </w:numPr>
      </w:pPr>
      <w:r>
        <w:t>Zahlungseingänge und –ausgänge</w:t>
      </w:r>
      <w:r w:rsidR="00963A15">
        <w:t xml:space="preserve"> passen nicht zu den</w:t>
      </w:r>
      <w:r w:rsidR="00363ACB">
        <w:t xml:space="preserve"> </w:t>
      </w:r>
      <w:r>
        <w:t xml:space="preserve">bekannten Lebensumständen </w:t>
      </w:r>
      <w:r w:rsidR="003F1790">
        <w:t>der</w:t>
      </w:r>
      <w:r>
        <w:t xml:space="preserve"> KL</w:t>
      </w:r>
    </w:p>
    <w:p w14:paraId="3D5D0A4A" w14:textId="77777777" w:rsidR="00D063B7" w:rsidRDefault="00D063B7" w:rsidP="00D063B7">
      <w:pPr>
        <w:pStyle w:val="Absatz0"/>
        <w:numPr>
          <w:ilvl w:val="0"/>
          <w:numId w:val="38"/>
        </w:numPr>
      </w:pPr>
      <w:r>
        <w:t xml:space="preserve">Widersprüchliche Aussagen und Verhalten </w:t>
      </w:r>
      <w:r w:rsidR="003F1790">
        <w:t>der</w:t>
      </w:r>
      <w:r>
        <w:t xml:space="preserve"> KL</w:t>
      </w:r>
      <w:r w:rsidR="005476AF">
        <w:t xml:space="preserve"> (Plausibilität)</w:t>
      </w:r>
    </w:p>
    <w:p w14:paraId="3560877C" w14:textId="77777777" w:rsidR="00D063B7" w:rsidRDefault="00D063B7" w:rsidP="00D063B7">
      <w:pPr>
        <w:pStyle w:val="Absatz0"/>
        <w:numPr>
          <w:ilvl w:val="0"/>
          <w:numId w:val="38"/>
        </w:numPr>
      </w:pPr>
      <w:r>
        <w:t>Vorkommnisse in der Vergangenheit</w:t>
      </w:r>
    </w:p>
    <w:p w14:paraId="533A6847" w14:textId="77777777" w:rsidR="00D063B7" w:rsidRDefault="00D063B7" w:rsidP="00D063B7">
      <w:pPr>
        <w:pStyle w:val="Absatz0"/>
        <w:numPr>
          <w:ilvl w:val="0"/>
          <w:numId w:val="38"/>
        </w:numPr>
      </w:pPr>
      <w:r>
        <w:t xml:space="preserve">Kombinationen von verschiedenen Bewegungen (z.B. </w:t>
      </w:r>
      <w:r w:rsidR="003109A4">
        <w:t xml:space="preserve">sehr häufige </w:t>
      </w:r>
      <w:r w:rsidR="000D79E0">
        <w:t>kleine</w:t>
      </w:r>
      <w:r w:rsidR="003109A4">
        <w:t xml:space="preserve"> Zahlungseingänge können auf eine Verkaufstätigkeit hinweisen)</w:t>
      </w:r>
    </w:p>
    <w:p w14:paraId="02BF4988" w14:textId="77777777" w:rsidR="005476AF" w:rsidRDefault="005476AF" w:rsidP="00D063B7">
      <w:pPr>
        <w:pStyle w:val="Absatz0"/>
        <w:numPr>
          <w:ilvl w:val="0"/>
          <w:numId w:val="38"/>
        </w:numPr>
      </w:pPr>
      <w:r>
        <w:t>Höhe und Anzahl der Zahlungseingänge</w:t>
      </w:r>
    </w:p>
    <w:p w14:paraId="7F74A2CB" w14:textId="77777777" w:rsidR="00D063B7" w:rsidRDefault="00D063B7" w:rsidP="00D063B7">
      <w:pPr>
        <w:pStyle w:val="Absatz0"/>
      </w:pPr>
    </w:p>
    <w:p w14:paraId="38965563" w14:textId="77777777" w:rsidR="008D4777" w:rsidRPr="00607D09" w:rsidRDefault="00D063B7" w:rsidP="00607D09">
      <w:pPr>
        <w:pStyle w:val="Absatz0"/>
      </w:pPr>
      <w:r>
        <w:t xml:space="preserve">Im </w:t>
      </w:r>
      <w:r w:rsidRPr="00515B68">
        <w:rPr>
          <w:b/>
        </w:rPr>
        <w:t xml:space="preserve">Verdachtsfall </w:t>
      </w:r>
      <w:r>
        <w:t xml:space="preserve">werden alle Zahlungseingänge abgeklärt und auch für </w:t>
      </w:r>
      <w:r w:rsidR="00515B68">
        <w:t>Einzelbeträge</w:t>
      </w:r>
      <w:r>
        <w:t xml:space="preserve"> unter Fr. 20.00 Erklärungen und Belege e</w:t>
      </w:r>
      <w:r w:rsidR="006702A4">
        <w:t>ingefordert</w:t>
      </w:r>
      <w:r w:rsidR="004C0A72">
        <w:t xml:space="preserve"> und ggf. als Einnahme angerechnet.</w:t>
      </w:r>
    </w:p>
    <w:p w14:paraId="7A56894F" w14:textId="77777777" w:rsidR="00AA159C" w:rsidRDefault="00152397" w:rsidP="00286C76">
      <w:pPr>
        <w:pStyle w:val="berschrift1"/>
      </w:pPr>
      <w:bookmarkStart w:id="9" w:name="_Anrechenbare_bzw._nicht"/>
      <w:bookmarkStart w:id="10" w:name="_Toc127369494"/>
      <w:bookmarkEnd w:id="9"/>
      <w:r>
        <w:t>Anrechenbar</w:t>
      </w:r>
      <w:r w:rsidR="00B6622B">
        <w:t>e bzw. nicht anrechenbare Einnahmen</w:t>
      </w:r>
      <w:bookmarkEnd w:id="10"/>
    </w:p>
    <w:p w14:paraId="64DE8D70" w14:textId="77777777" w:rsidR="007039EA" w:rsidRPr="003717A7" w:rsidRDefault="001D0187" w:rsidP="003717A7">
      <w:pPr>
        <w:pStyle w:val="Absatz0"/>
        <w:tabs>
          <w:tab w:val="left" w:pos="1515"/>
        </w:tabs>
        <w:rPr>
          <w:color w:val="000000"/>
          <w:szCs w:val="22"/>
        </w:rPr>
      </w:pPr>
      <w:r w:rsidRPr="009A2478">
        <w:rPr>
          <w:color w:val="000000"/>
          <w:szCs w:val="22"/>
        </w:rPr>
        <w:t xml:space="preserve">Bei jedem Zahlungseingang auf dem Konto handelt es sich </w:t>
      </w:r>
      <w:r>
        <w:rPr>
          <w:color w:val="000000"/>
          <w:szCs w:val="22"/>
        </w:rPr>
        <w:t xml:space="preserve">grundsätzlich </w:t>
      </w:r>
      <w:r w:rsidRPr="009A2478">
        <w:rPr>
          <w:color w:val="000000"/>
          <w:szCs w:val="22"/>
        </w:rPr>
        <w:t>um</w:t>
      </w:r>
      <w:r w:rsidR="007039EA">
        <w:rPr>
          <w:color w:val="000000"/>
          <w:szCs w:val="22"/>
        </w:rPr>
        <w:t xml:space="preserve"> eine</w:t>
      </w:r>
      <w:r w:rsidRPr="009A2478">
        <w:rPr>
          <w:color w:val="000000"/>
          <w:szCs w:val="22"/>
        </w:rPr>
        <w:t xml:space="preserve"> Einnahme. Dabei unterscheiden </w:t>
      </w:r>
      <w:r>
        <w:rPr>
          <w:color w:val="000000"/>
          <w:szCs w:val="22"/>
        </w:rPr>
        <w:t xml:space="preserve">die SOD </w:t>
      </w:r>
      <w:r w:rsidRPr="009A2478">
        <w:rPr>
          <w:color w:val="000000"/>
          <w:szCs w:val="22"/>
        </w:rPr>
        <w:t>zwischen anrech</w:t>
      </w:r>
      <w:r>
        <w:rPr>
          <w:color w:val="000000"/>
          <w:szCs w:val="22"/>
        </w:rPr>
        <w:t>e</w:t>
      </w:r>
      <w:r w:rsidRPr="009A2478">
        <w:rPr>
          <w:color w:val="000000"/>
          <w:szCs w:val="22"/>
        </w:rPr>
        <w:t>nbaren</w:t>
      </w:r>
      <w:r>
        <w:rPr>
          <w:color w:val="000000"/>
          <w:szCs w:val="22"/>
        </w:rPr>
        <w:t>,</w:t>
      </w:r>
      <w:r w:rsidR="00DB1813">
        <w:rPr>
          <w:color w:val="000000"/>
          <w:szCs w:val="22"/>
        </w:rPr>
        <w:t xml:space="preserve"> </w:t>
      </w:r>
      <w:r w:rsidRPr="009A2478">
        <w:rPr>
          <w:color w:val="000000"/>
          <w:szCs w:val="22"/>
        </w:rPr>
        <w:t>nicht anrechenbaren Einnahmen</w:t>
      </w:r>
      <w:r w:rsidR="00DB1813">
        <w:rPr>
          <w:color w:val="000000"/>
          <w:szCs w:val="22"/>
        </w:rPr>
        <w:t xml:space="preserve"> </w:t>
      </w:r>
      <w:r>
        <w:rPr>
          <w:color w:val="000000"/>
          <w:szCs w:val="22"/>
        </w:rPr>
        <w:t xml:space="preserve">und Ermessensfällen. </w:t>
      </w:r>
    </w:p>
    <w:p w14:paraId="48E4F7B3" w14:textId="77777777" w:rsidR="00B6622B" w:rsidRDefault="00B6622B" w:rsidP="0049622A">
      <w:pPr>
        <w:pStyle w:val="berschrift2"/>
        <w:tabs>
          <w:tab w:val="clear" w:pos="576"/>
        </w:tabs>
        <w:ind w:left="709" w:hanging="709"/>
      </w:pPr>
      <w:bookmarkStart w:id="11" w:name="_Toc127369495"/>
      <w:bookmarkStart w:id="12" w:name="_Toc127369496"/>
      <w:bookmarkStart w:id="13" w:name="_Nicht_anrechenbare_Zahlungseingänge"/>
      <w:bookmarkStart w:id="14" w:name="_Toc127369497"/>
      <w:bookmarkEnd w:id="11"/>
      <w:bookmarkEnd w:id="12"/>
      <w:bookmarkEnd w:id="13"/>
      <w:r>
        <w:t>Anrechenbare Einnahmen</w:t>
      </w:r>
      <w:bookmarkEnd w:id="14"/>
    </w:p>
    <w:p w14:paraId="5FF59423" w14:textId="066AD5EB" w:rsidR="00F56FED" w:rsidRDefault="00F56FED" w:rsidP="00B6622B">
      <w:pPr>
        <w:pStyle w:val="Absatz0"/>
      </w:pPr>
      <w:r>
        <w:t xml:space="preserve">Folgende Einnahmen sind grundsätzlich anrechenbar: </w:t>
      </w:r>
    </w:p>
    <w:p w14:paraId="2A81C97B" w14:textId="77777777" w:rsidR="00B6622B" w:rsidRPr="003870A6" w:rsidRDefault="00B6622B" w:rsidP="00B6622B">
      <w:pPr>
        <w:pStyle w:val="Absatz0"/>
        <w:numPr>
          <w:ilvl w:val="0"/>
          <w:numId w:val="26"/>
        </w:numPr>
        <w:ind w:left="360"/>
        <w:rPr>
          <w:b/>
        </w:rPr>
      </w:pPr>
      <w:r w:rsidRPr="003870A6">
        <w:rPr>
          <w:b/>
        </w:rPr>
        <w:t>Trinkgelder</w:t>
      </w:r>
    </w:p>
    <w:p w14:paraId="3D6699CF" w14:textId="3EA6FB02" w:rsidR="003717A7" w:rsidRDefault="00B6622B" w:rsidP="005A6150">
      <w:pPr>
        <w:pStyle w:val="Absatz0"/>
        <w:ind w:left="360"/>
      </w:pPr>
      <w:r w:rsidRPr="004E68F8">
        <w:t xml:space="preserve">Trinkgelder </w:t>
      </w:r>
      <w:r w:rsidR="009B63BE">
        <w:t xml:space="preserve">werden </w:t>
      </w:r>
      <w:r w:rsidRPr="004E68F8">
        <w:t>selten in der Lohnabrechnung aufgeführt.</w:t>
      </w:r>
      <w:r w:rsidR="009B63BE">
        <w:t xml:space="preserve"> Die</w:t>
      </w:r>
      <w:r w:rsidRPr="004E68F8">
        <w:t xml:space="preserve"> </w:t>
      </w:r>
      <w:r>
        <w:t>KL</w:t>
      </w:r>
      <w:r w:rsidRPr="004E68F8">
        <w:t xml:space="preserve"> </w:t>
      </w:r>
      <w:r w:rsidR="009B63BE">
        <w:t xml:space="preserve">sind daher </w:t>
      </w:r>
      <w:r w:rsidRPr="004E68F8">
        <w:t>darauf hin</w:t>
      </w:r>
      <w:r w:rsidR="009B63BE">
        <w:t>zuweisen</w:t>
      </w:r>
      <w:r w:rsidRPr="004E68F8">
        <w:t xml:space="preserve">, dass sie über das erhaltene Trinkgeld Buch führen und die Summe </w:t>
      </w:r>
      <w:r w:rsidR="009B63BE">
        <w:t xml:space="preserve">den SOD </w:t>
      </w:r>
      <w:r w:rsidRPr="004E68F8">
        <w:t xml:space="preserve">jeweils zusammen mit der Lohnabrechnung </w:t>
      </w:r>
      <w:r w:rsidR="00682AE9">
        <w:t xml:space="preserve">monatlich </w:t>
      </w:r>
      <w:r w:rsidRPr="004E68F8">
        <w:t>mitteilen</w:t>
      </w:r>
      <w:r w:rsidR="009B63BE">
        <w:t xml:space="preserve"> müssen</w:t>
      </w:r>
      <w:r w:rsidRPr="004E68F8">
        <w:t xml:space="preserve">. Geben </w:t>
      </w:r>
      <w:r>
        <w:t>KL</w:t>
      </w:r>
      <w:r w:rsidRPr="004E68F8">
        <w:t xml:space="preserve"> ihre Trinkgelder nicht an, </w:t>
      </w:r>
      <w:r w:rsidR="009B63BE">
        <w:t>sind</w:t>
      </w:r>
      <w:r w:rsidRPr="004E68F8">
        <w:t xml:space="preserve"> sie mittels Auflage dazu </w:t>
      </w:r>
      <w:r w:rsidR="009B63BE">
        <w:t xml:space="preserve">zu </w:t>
      </w:r>
      <w:r w:rsidRPr="004E68F8">
        <w:t>verpflichte</w:t>
      </w:r>
      <w:r w:rsidR="009B63BE">
        <w:t>n</w:t>
      </w:r>
      <w:r>
        <w:t>.</w:t>
      </w:r>
    </w:p>
    <w:p w14:paraId="24276282" w14:textId="77777777" w:rsidR="00B6622B" w:rsidRDefault="00B6622B" w:rsidP="00B6622B">
      <w:pPr>
        <w:pStyle w:val="Absatz0"/>
        <w:ind w:left="360"/>
      </w:pPr>
    </w:p>
    <w:p w14:paraId="15FAD392" w14:textId="77777777" w:rsidR="00B6622B" w:rsidRPr="004E68F8" w:rsidRDefault="00B6622B" w:rsidP="00B6622B">
      <w:pPr>
        <w:pStyle w:val="Absatz0"/>
        <w:numPr>
          <w:ilvl w:val="0"/>
          <w:numId w:val="26"/>
        </w:numPr>
        <w:ind w:left="360"/>
      </w:pPr>
      <w:r>
        <w:rPr>
          <w:b/>
        </w:rPr>
        <w:t>Einnahmen aus Handelstätigkeit über Onlinebörsen</w:t>
      </w:r>
    </w:p>
    <w:p w14:paraId="5293404F" w14:textId="77777777" w:rsidR="00B6622B" w:rsidRDefault="00B6622B" w:rsidP="00B6622B">
      <w:pPr>
        <w:pStyle w:val="Absatz0"/>
        <w:ind w:left="360"/>
      </w:pPr>
      <w:r w:rsidRPr="004E68F8">
        <w:t>Wenn eine Person Artikel kauft</w:t>
      </w:r>
      <w:r>
        <w:t>,</w:t>
      </w:r>
      <w:r w:rsidRPr="004E68F8">
        <w:t xml:space="preserve"> um sie anschliessend auf einer Onlineplattform </w:t>
      </w:r>
      <w:r w:rsidR="00660AFA">
        <w:t>mit Gewinn</w:t>
      </w:r>
      <w:r w:rsidR="00660AFA" w:rsidRPr="004E68F8">
        <w:t xml:space="preserve"> </w:t>
      </w:r>
      <w:r w:rsidRPr="004E68F8">
        <w:t>zu verkaufen</w:t>
      </w:r>
      <w:r>
        <w:t>,</w:t>
      </w:r>
      <w:r w:rsidRPr="004E68F8">
        <w:t xml:space="preserve"> betreibt sie eine Handelstätigkeit. </w:t>
      </w:r>
      <w:r>
        <w:t>Solche</w:t>
      </w:r>
      <w:r w:rsidRPr="004E68F8">
        <w:t xml:space="preserve"> </w:t>
      </w:r>
      <w:r>
        <w:t xml:space="preserve">Einnahmen </w:t>
      </w:r>
      <w:r w:rsidR="009B63BE">
        <w:t xml:space="preserve">sind </w:t>
      </w:r>
      <w:r>
        <w:t>an</w:t>
      </w:r>
      <w:r w:rsidR="009B63BE">
        <w:t>zu</w:t>
      </w:r>
      <w:r>
        <w:t>rechne</w:t>
      </w:r>
      <w:r w:rsidR="009B63BE">
        <w:t>n</w:t>
      </w:r>
      <w:r w:rsidRPr="004E68F8">
        <w:t xml:space="preserve">. </w:t>
      </w:r>
      <w:r>
        <w:t xml:space="preserve">Ggf. muss abgeklärt werden, woher das Geld für die Handelstätigkeit kommt. </w:t>
      </w:r>
    </w:p>
    <w:p w14:paraId="76170058" w14:textId="77777777" w:rsidR="00B6622B" w:rsidRPr="004E68F8" w:rsidRDefault="00B6622B" w:rsidP="00B6622B">
      <w:pPr>
        <w:pStyle w:val="Absatz0"/>
        <w:ind w:left="360"/>
      </w:pPr>
    </w:p>
    <w:p w14:paraId="6B753484" w14:textId="77777777" w:rsidR="00B6622B" w:rsidRDefault="00B6622B" w:rsidP="00B6622B">
      <w:pPr>
        <w:pStyle w:val="Absatz0"/>
        <w:numPr>
          <w:ilvl w:val="0"/>
          <w:numId w:val="26"/>
        </w:numPr>
        <w:ind w:left="360"/>
      </w:pPr>
      <w:r w:rsidRPr="00DB1813">
        <w:rPr>
          <w:b/>
        </w:rPr>
        <w:t>Erträge/ Gewinne aus Aktienhandel (inkl. Dividendenzahlungen und Zinsen auf Ob</w:t>
      </w:r>
      <w:r>
        <w:rPr>
          <w:b/>
        </w:rPr>
        <w:t>ligationen)</w:t>
      </w:r>
      <w:r w:rsidRPr="00AE7B1F">
        <w:rPr>
          <w:b/>
        </w:rPr>
        <w:t xml:space="preserve">, </w:t>
      </w:r>
      <w:r>
        <w:rPr>
          <w:b/>
        </w:rPr>
        <w:t xml:space="preserve">Handel mit Kryptos und NFT </w:t>
      </w:r>
      <w:r>
        <w:t xml:space="preserve">  </w:t>
      </w:r>
    </w:p>
    <w:p w14:paraId="0A6C923C" w14:textId="77777777" w:rsidR="00B6622B" w:rsidRPr="006813C9" w:rsidRDefault="00B6622B" w:rsidP="00B6622B">
      <w:pPr>
        <w:pStyle w:val="Absatz0"/>
        <w:ind w:left="360"/>
        <w:rPr>
          <w:b/>
        </w:rPr>
      </w:pPr>
      <w:r>
        <w:t xml:space="preserve">Ggf. muss </w:t>
      </w:r>
      <w:r w:rsidR="003717A7">
        <w:t>abgeklärt und geprüft</w:t>
      </w:r>
      <w:r>
        <w:t xml:space="preserve"> werden, woher das Geld für den Handel kommt</w:t>
      </w:r>
      <w:r w:rsidR="003717A7">
        <w:t>, resp. wie der Handel finanziert werden kann</w:t>
      </w:r>
      <w:r w:rsidRPr="00450F3D">
        <w:t>. Stammt es nicht aus dem G</w:t>
      </w:r>
      <w:r w:rsidR="00963A15">
        <w:t xml:space="preserve">rundbedarf (GBL) </w:t>
      </w:r>
      <w:r w:rsidRPr="00450F3D">
        <w:t>oder dem gewährten Vermögensfreibetrag, muss der gesamte Betrag als Einnahme angerechnet werden.</w:t>
      </w:r>
      <w:r>
        <w:t xml:space="preserve"> </w:t>
      </w:r>
    </w:p>
    <w:p w14:paraId="0232B907" w14:textId="77777777" w:rsidR="00B6622B" w:rsidRDefault="00B6622B" w:rsidP="00B6622B">
      <w:pPr>
        <w:pStyle w:val="Absatz0"/>
      </w:pPr>
    </w:p>
    <w:p w14:paraId="6EF101FB" w14:textId="77777777" w:rsidR="00B6622B" w:rsidRPr="00FD352E" w:rsidRDefault="00B6622B" w:rsidP="00B6622B">
      <w:pPr>
        <w:pStyle w:val="Absatz0"/>
        <w:numPr>
          <w:ilvl w:val="0"/>
          <w:numId w:val="26"/>
        </w:numPr>
        <w:ind w:left="360"/>
      </w:pPr>
      <w:r w:rsidRPr="00DB1813">
        <w:rPr>
          <w:b/>
        </w:rPr>
        <w:t>Gewinne</w:t>
      </w:r>
      <w:r w:rsidRPr="00FD352E">
        <w:rPr>
          <w:b/>
        </w:rPr>
        <w:t xml:space="preserve"> aus Casino, Lotterie und Online-Wetten </w:t>
      </w:r>
    </w:p>
    <w:p w14:paraId="2EE5DC1E" w14:textId="77777777" w:rsidR="00B6622B" w:rsidRDefault="009B63BE" w:rsidP="00B6622B">
      <w:pPr>
        <w:pStyle w:val="Absatz0"/>
        <w:ind w:left="360"/>
      </w:pPr>
      <w:r>
        <w:t xml:space="preserve">Solche Gewinne sind anzurechnen. </w:t>
      </w:r>
      <w:r w:rsidR="00B6622B" w:rsidRPr="00142AF3">
        <w:t xml:space="preserve">Davon abgezogen </w:t>
      </w:r>
      <w:r>
        <w:t>we</w:t>
      </w:r>
      <w:r w:rsidR="00DB1813">
        <w:t>rden kann</w:t>
      </w:r>
      <w:r>
        <w:t xml:space="preserve"> </w:t>
      </w:r>
      <w:r w:rsidR="00963A15">
        <w:t xml:space="preserve">der für den </w:t>
      </w:r>
      <w:r w:rsidR="00B6622B" w:rsidRPr="00142AF3">
        <w:t>erzielten Gewinn eingesetzte Betrag, sofern</w:t>
      </w:r>
      <w:r>
        <w:t xml:space="preserve"> </w:t>
      </w:r>
      <w:r w:rsidR="003F1790">
        <w:t>die</w:t>
      </w:r>
      <w:r w:rsidR="00B6622B" w:rsidRPr="00142AF3">
        <w:t xml:space="preserve"> </w:t>
      </w:r>
      <w:r w:rsidR="00B6622B">
        <w:t>KL</w:t>
      </w:r>
      <w:r w:rsidR="00B6622B" w:rsidRPr="00142AF3">
        <w:t xml:space="preserve"> diesen plausibel belegen k</w:t>
      </w:r>
      <w:r w:rsidR="003F1790">
        <w:t>önnen</w:t>
      </w:r>
      <w:r w:rsidR="00B6622B">
        <w:t xml:space="preserve"> und er </w:t>
      </w:r>
      <w:r w:rsidR="00B6622B" w:rsidRPr="00450F3D">
        <w:t xml:space="preserve">nachweislich aus dem GBL oder dem </w:t>
      </w:r>
      <w:r w:rsidR="00DB1813">
        <w:t>bei Unterstützungsbeginn belassenen</w:t>
      </w:r>
      <w:r w:rsidR="00B6622B" w:rsidRPr="00450F3D">
        <w:t xml:space="preserve"> Vermögensfreibetrag stammt</w:t>
      </w:r>
      <w:r w:rsidR="00B6622B" w:rsidRPr="00142AF3">
        <w:t xml:space="preserve"> (z.B. durch Kontoabhebung gleichentags).</w:t>
      </w:r>
      <w:r w:rsidR="00B6622B">
        <w:t xml:space="preserve"> Ggf. muss geprüft werden, wie </w:t>
      </w:r>
      <w:r w:rsidR="00682AE9">
        <w:t>der</w:t>
      </w:r>
      <w:r w:rsidR="00B6622B">
        <w:t xml:space="preserve"> regelmässige Spiel</w:t>
      </w:r>
      <w:r w:rsidR="00682AE9">
        <w:t>einsatz</w:t>
      </w:r>
      <w:r w:rsidR="00B6622B">
        <w:t xml:space="preserve"> finanziert </w:t>
      </w:r>
      <w:r w:rsidR="00682AE9">
        <w:t>wurde/wird</w:t>
      </w:r>
      <w:r w:rsidR="00B6622B">
        <w:t xml:space="preserve">. </w:t>
      </w:r>
    </w:p>
    <w:p w14:paraId="433A44E3" w14:textId="77777777" w:rsidR="00B6622B" w:rsidRPr="00142AF3" w:rsidRDefault="00B6622B" w:rsidP="00B6622B">
      <w:pPr>
        <w:pStyle w:val="Absatz0"/>
        <w:ind w:left="360"/>
        <w:rPr>
          <w:b/>
        </w:rPr>
      </w:pPr>
    </w:p>
    <w:p w14:paraId="2D719813" w14:textId="77777777" w:rsidR="00B6622B" w:rsidRDefault="00B6622B" w:rsidP="00B6622B">
      <w:pPr>
        <w:pStyle w:val="Absatz0"/>
        <w:numPr>
          <w:ilvl w:val="0"/>
          <w:numId w:val="26"/>
        </w:numPr>
        <w:ind w:left="360"/>
        <w:rPr>
          <w:b/>
        </w:rPr>
      </w:pPr>
      <w:r>
        <w:rPr>
          <w:b/>
        </w:rPr>
        <w:t xml:space="preserve">Gewinnausschüttungen </w:t>
      </w:r>
    </w:p>
    <w:p w14:paraId="79E3E20C" w14:textId="77777777" w:rsidR="00B6622B" w:rsidRPr="0008034C" w:rsidRDefault="00B6622B" w:rsidP="00B6622B">
      <w:pPr>
        <w:pStyle w:val="Absatz0"/>
        <w:ind w:left="360"/>
      </w:pPr>
      <w:r w:rsidRPr="0008034C">
        <w:t>z.B. von Versicherungen</w:t>
      </w:r>
    </w:p>
    <w:p w14:paraId="3663DBB3" w14:textId="77777777" w:rsidR="00F8403B" w:rsidRDefault="00F8403B" w:rsidP="00B16D73">
      <w:pPr>
        <w:pStyle w:val="Absatz0"/>
      </w:pPr>
    </w:p>
    <w:p w14:paraId="2FF026E3" w14:textId="77777777" w:rsidR="00B6622B" w:rsidRDefault="00B6622B" w:rsidP="00B6622B">
      <w:pPr>
        <w:pStyle w:val="Absatz0"/>
        <w:numPr>
          <w:ilvl w:val="0"/>
          <w:numId w:val="26"/>
        </w:numPr>
        <w:ind w:left="360"/>
        <w:rPr>
          <w:b/>
        </w:rPr>
      </w:pPr>
      <w:r>
        <w:rPr>
          <w:b/>
        </w:rPr>
        <w:t>Einmalzulage AZL (</w:t>
      </w:r>
      <w:r w:rsidR="00F8403B">
        <w:rPr>
          <w:b/>
        </w:rPr>
        <w:t xml:space="preserve">ehemals </w:t>
      </w:r>
      <w:r>
        <w:rPr>
          <w:b/>
        </w:rPr>
        <w:t>Wintermantelzulage)</w:t>
      </w:r>
    </w:p>
    <w:p w14:paraId="2B10A988" w14:textId="2F83A466" w:rsidR="00DB1813" w:rsidRDefault="00B6622B" w:rsidP="003717A7">
      <w:pPr>
        <w:pStyle w:val="Absatz0"/>
        <w:ind w:left="360"/>
      </w:pPr>
      <w:r>
        <w:t>Einmal jährlich entscheidet der Stadtrat über die Ausricht</w:t>
      </w:r>
      <w:r w:rsidR="00F8403B">
        <w:t xml:space="preserve">ung einer Einmalzulage, welche </w:t>
      </w:r>
      <w:r w:rsidR="00F92058">
        <w:t xml:space="preserve">durch das AZL </w:t>
      </w:r>
      <w:r w:rsidR="00F8403B">
        <w:t>an</w:t>
      </w:r>
      <w:r>
        <w:t xml:space="preserve"> Rentner*innen mit Zusatzleistungen zu AHV/IV ausgerichtet wird.</w:t>
      </w:r>
      <w:r w:rsidR="00F8403B">
        <w:t xml:space="preserve"> Diese Zulage ist aufgrund ihrer Regelmässigkeit anzurechnen.</w:t>
      </w:r>
    </w:p>
    <w:p w14:paraId="5548E6B4" w14:textId="795AEE04" w:rsidR="004873F8" w:rsidRDefault="004873F8" w:rsidP="004873F8">
      <w:pPr>
        <w:pStyle w:val="Absatz0"/>
      </w:pPr>
    </w:p>
    <w:p w14:paraId="3069FD60" w14:textId="677FB058" w:rsidR="004873F8" w:rsidRPr="00A90160" w:rsidRDefault="004873F8" w:rsidP="004873F8">
      <w:pPr>
        <w:pStyle w:val="Absatz0"/>
      </w:pPr>
      <w:r>
        <w:t xml:space="preserve">Bei </w:t>
      </w:r>
      <w:r w:rsidRPr="004C0A72">
        <w:rPr>
          <w:b/>
        </w:rPr>
        <w:t>vereinzelten geringfügigen Einnahmen</w:t>
      </w:r>
      <w:r>
        <w:t xml:space="preserve"> liegt es im Ermessen der Fallführung, auf eine Anrechnung zu verzichten. Eine summarische Begründung in der Fallakte (in den Aktennotizen und / oder im Kontoauszug) genügt. </w:t>
      </w:r>
    </w:p>
    <w:p w14:paraId="3944A2CB" w14:textId="77777777" w:rsidR="002F7DC9" w:rsidRDefault="002F7DC9" w:rsidP="002F7DC9">
      <w:pPr>
        <w:pStyle w:val="berschrift2"/>
      </w:pPr>
      <w:bookmarkStart w:id="15" w:name="_Toc127369498"/>
      <w:r>
        <w:t xml:space="preserve">Nicht anrechenbare </w:t>
      </w:r>
      <w:r w:rsidR="008F5425">
        <w:t>Einnahmen</w:t>
      </w:r>
      <w:bookmarkEnd w:id="15"/>
    </w:p>
    <w:p w14:paraId="19261E2A" w14:textId="77777777" w:rsidR="00A859BB" w:rsidRDefault="002F7DC9" w:rsidP="00E503CC">
      <w:pPr>
        <w:pStyle w:val="Absatz0"/>
        <w:rPr>
          <w:color w:val="000000"/>
          <w:szCs w:val="22"/>
        </w:rPr>
      </w:pPr>
      <w:r>
        <w:t xml:space="preserve">Zahlungseingänge </w:t>
      </w:r>
      <w:r w:rsidR="00A12B90">
        <w:t xml:space="preserve">sind </w:t>
      </w:r>
      <w:r>
        <w:t>nicht</w:t>
      </w:r>
      <w:r w:rsidR="00A12B90">
        <w:t xml:space="preserve"> als Einnahme</w:t>
      </w:r>
      <w:r>
        <w:t xml:space="preserve"> </w:t>
      </w:r>
      <w:r w:rsidR="00A12B90">
        <w:t xml:space="preserve">anzurechnen, wenn sie auf einer reinen </w:t>
      </w:r>
      <w:r w:rsidR="00A66F45" w:rsidRPr="00A12B90">
        <w:rPr>
          <w:i/>
        </w:rPr>
        <w:t>Vermögensverschiebung</w:t>
      </w:r>
      <w:r w:rsidR="00A66F45">
        <w:t xml:space="preserve"> </w:t>
      </w:r>
      <w:r w:rsidR="00A12B90">
        <w:t xml:space="preserve">beruhen. </w:t>
      </w:r>
      <w:r w:rsidR="00A66F45">
        <w:t xml:space="preserve">Die Erklärungen müssen </w:t>
      </w:r>
      <w:r w:rsidR="00B16D73">
        <w:t>in der Fallakte</w:t>
      </w:r>
      <w:r w:rsidR="00A859BB">
        <w:t xml:space="preserve"> </w:t>
      </w:r>
      <w:r w:rsidR="00A66F45">
        <w:t>dokumentiert werden.</w:t>
      </w:r>
      <w:r w:rsidR="00B16D73">
        <w:t xml:space="preserve"> </w:t>
      </w:r>
      <w:r w:rsidR="00A12B90">
        <w:rPr>
          <w:color w:val="000000"/>
          <w:szCs w:val="22"/>
        </w:rPr>
        <w:t xml:space="preserve">Nur </w:t>
      </w:r>
      <w:r w:rsidR="008F5425">
        <w:rPr>
          <w:color w:val="000000"/>
          <w:szCs w:val="22"/>
        </w:rPr>
        <w:t xml:space="preserve">wenn der Geldfluss zu einer </w:t>
      </w:r>
      <w:r w:rsidR="001B373E">
        <w:rPr>
          <w:i/>
          <w:color w:val="000000"/>
          <w:szCs w:val="22"/>
        </w:rPr>
        <w:t>Erhöhung</w:t>
      </w:r>
      <w:r w:rsidR="001B373E" w:rsidRPr="003E55F4">
        <w:rPr>
          <w:i/>
          <w:color w:val="000000"/>
          <w:szCs w:val="22"/>
        </w:rPr>
        <w:t xml:space="preserve"> </w:t>
      </w:r>
      <w:r w:rsidR="008F5425" w:rsidRPr="003E55F4">
        <w:rPr>
          <w:i/>
          <w:color w:val="000000"/>
          <w:szCs w:val="22"/>
        </w:rPr>
        <w:t>des Vermögens</w:t>
      </w:r>
      <w:r w:rsidR="008F5425">
        <w:rPr>
          <w:color w:val="000000"/>
          <w:szCs w:val="22"/>
        </w:rPr>
        <w:t xml:space="preserve"> führt</w:t>
      </w:r>
      <w:r w:rsidR="00A12B90">
        <w:rPr>
          <w:color w:val="000000"/>
          <w:szCs w:val="22"/>
        </w:rPr>
        <w:t xml:space="preserve">, </w:t>
      </w:r>
      <w:r w:rsidR="008F5425">
        <w:rPr>
          <w:color w:val="000000"/>
          <w:szCs w:val="22"/>
        </w:rPr>
        <w:t>handelt es sich um anrechenbare Einnahme</w:t>
      </w:r>
      <w:r w:rsidR="00DC5B15">
        <w:rPr>
          <w:color w:val="000000"/>
          <w:szCs w:val="22"/>
        </w:rPr>
        <w:t>n</w:t>
      </w:r>
      <w:r w:rsidR="008F5425">
        <w:rPr>
          <w:color w:val="000000"/>
          <w:szCs w:val="22"/>
        </w:rPr>
        <w:t>.</w:t>
      </w:r>
      <w:r w:rsidR="006C5CFC">
        <w:rPr>
          <w:color w:val="000000"/>
          <w:szCs w:val="22"/>
        </w:rPr>
        <w:t xml:space="preserve"> </w:t>
      </w:r>
    </w:p>
    <w:p w14:paraId="665FF19F" w14:textId="77777777" w:rsidR="00BC75A0" w:rsidRDefault="00BC75A0" w:rsidP="00E503CC">
      <w:pPr>
        <w:pStyle w:val="Absatz0"/>
        <w:rPr>
          <w:b/>
        </w:rPr>
      </w:pPr>
    </w:p>
    <w:p w14:paraId="09C53BBA" w14:textId="77777777" w:rsidR="008F5425" w:rsidRDefault="0049622A" w:rsidP="003717A7">
      <w:pPr>
        <w:pStyle w:val="Absatz0"/>
        <w:rPr>
          <w:b/>
        </w:rPr>
      </w:pPr>
      <w:r>
        <w:rPr>
          <w:b/>
        </w:rPr>
        <w:t>Zusätzlich n</w:t>
      </w:r>
      <w:r w:rsidR="00BC75A0">
        <w:rPr>
          <w:b/>
        </w:rPr>
        <w:t xml:space="preserve">icht anrechenbar sind beispielsweise folgende Einnahmen: </w:t>
      </w:r>
    </w:p>
    <w:p w14:paraId="6E9115AD" w14:textId="77777777" w:rsidR="002F7DC9" w:rsidRDefault="002F7DC9" w:rsidP="002F7DC9">
      <w:pPr>
        <w:pStyle w:val="Absatz0"/>
        <w:numPr>
          <w:ilvl w:val="0"/>
          <w:numId w:val="26"/>
        </w:numPr>
        <w:rPr>
          <w:b/>
        </w:rPr>
      </w:pPr>
      <w:r>
        <w:rPr>
          <w:b/>
        </w:rPr>
        <w:t>Rückerstattungen bei Warenrückgabe</w:t>
      </w:r>
    </w:p>
    <w:p w14:paraId="4EF97626" w14:textId="77777777" w:rsidR="0041384A" w:rsidRPr="003E55F4" w:rsidRDefault="00A66F45" w:rsidP="003E55F4">
      <w:pPr>
        <w:pStyle w:val="Absatz0"/>
        <w:ind w:left="720"/>
      </w:pPr>
      <w:r>
        <w:t>(Teil-) Rückerstattung des Verkaufspreises</w:t>
      </w:r>
      <w:r w:rsidR="003A6D24">
        <w:t xml:space="preserve"> wenn das gekaufte Kleidungsstück zurückgegeben </w:t>
      </w:r>
      <w:r w:rsidR="003A6D24" w:rsidRPr="003717A7">
        <w:t>wird</w:t>
      </w:r>
      <w:r w:rsidR="009B6A7E" w:rsidRPr="003717A7">
        <w:t xml:space="preserve"> und Kauf und Rückerstattung nachvollziehbar sind.</w:t>
      </w:r>
    </w:p>
    <w:p w14:paraId="533663A6" w14:textId="77777777" w:rsidR="002F7DC9" w:rsidRDefault="002F7DC9" w:rsidP="002F7DC9">
      <w:pPr>
        <w:pStyle w:val="Absatz0"/>
        <w:ind w:left="720"/>
        <w:rPr>
          <w:b/>
        </w:rPr>
      </w:pPr>
    </w:p>
    <w:p w14:paraId="6899BAF5" w14:textId="77777777" w:rsidR="002F7DC9" w:rsidRPr="00342C19" w:rsidRDefault="002F7DC9" w:rsidP="002F7DC9">
      <w:pPr>
        <w:pStyle w:val="Absatz0"/>
        <w:numPr>
          <w:ilvl w:val="0"/>
          <w:numId w:val="26"/>
        </w:numPr>
        <w:tabs>
          <w:tab w:val="left" w:pos="902"/>
        </w:tabs>
      </w:pPr>
      <w:r>
        <w:rPr>
          <w:b/>
        </w:rPr>
        <w:t>Anteilsmässige Rückzahlungen vorgängig getätigter Ausgaben</w:t>
      </w:r>
    </w:p>
    <w:p w14:paraId="6CA6392B" w14:textId="77777777" w:rsidR="002F7DC9" w:rsidRPr="004734BF" w:rsidRDefault="002F7DC9" w:rsidP="002F7DC9">
      <w:pPr>
        <w:pStyle w:val="Absatz0"/>
        <w:tabs>
          <w:tab w:val="left" w:pos="902"/>
        </w:tabs>
        <w:ind w:left="720"/>
      </w:pPr>
      <w:r w:rsidRPr="00342C19">
        <w:t xml:space="preserve">KL </w:t>
      </w:r>
      <w:r w:rsidR="003A6D24">
        <w:t xml:space="preserve">übernehmen </w:t>
      </w:r>
      <w:r w:rsidR="00A66F45">
        <w:t xml:space="preserve">beispielsweise </w:t>
      </w:r>
      <w:r w:rsidR="003A6D24">
        <w:t xml:space="preserve">die </w:t>
      </w:r>
      <w:r w:rsidRPr="00342C19">
        <w:t>gesamte Rechnun</w:t>
      </w:r>
      <w:r w:rsidR="003A6D24">
        <w:t>g für den WG-Einkauf und bekommen</w:t>
      </w:r>
      <w:r w:rsidRPr="00342C19">
        <w:t xml:space="preserve"> danach den jeweiligen Anteil der Mitbewohner</w:t>
      </w:r>
      <w:r>
        <w:t>*innen</w:t>
      </w:r>
      <w:r w:rsidRPr="00342C19">
        <w:t xml:space="preserve"> überwiesen</w:t>
      </w:r>
      <w:r w:rsidR="00A66F45">
        <w:t xml:space="preserve">. </w:t>
      </w:r>
    </w:p>
    <w:p w14:paraId="3FEC239A" w14:textId="77777777" w:rsidR="002F7DC9" w:rsidRDefault="002F7DC9" w:rsidP="002F7DC9">
      <w:pPr>
        <w:pStyle w:val="Absatz0"/>
      </w:pPr>
    </w:p>
    <w:p w14:paraId="611EA3E2" w14:textId="77777777" w:rsidR="002F7DC9" w:rsidRPr="00974774" w:rsidRDefault="002F7DC9" w:rsidP="002F7DC9">
      <w:pPr>
        <w:pStyle w:val="Absatz0"/>
        <w:numPr>
          <w:ilvl w:val="0"/>
          <w:numId w:val="26"/>
        </w:numPr>
        <w:tabs>
          <w:tab w:val="left" w:pos="902"/>
        </w:tabs>
        <w:rPr>
          <w:b/>
        </w:rPr>
      </w:pPr>
      <w:r w:rsidRPr="00974774">
        <w:rPr>
          <w:b/>
        </w:rPr>
        <w:t>Cash</w:t>
      </w:r>
      <w:r>
        <w:rPr>
          <w:b/>
        </w:rPr>
        <w:t xml:space="preserve"> B</w:t>
      </w:r>
      <w:r w:rsidRPr="00974774">
        <w:rPr>
          <w:b/>
        </w:rPr>
        <w:t>ack auf das Kreditkartenkonto</w:t>
      </w:r>
    </w:p>
    <w:p w14:paraId="6F82063E" w14:textId="77777777" w:rsidR="002F7DC9" w:rsidRDefault="003A6D24" w:rsidP="002F7DC9">
      <w:pPr>
        <w:pStyle w:val="Absatz0"/>
        <w:tabs>
          <w:tab w:val="left" w:pos="902"/>
        </w:tabs>
        <w:ind w:left="720"/>
      </w:pPr>
      <w:r>
        <w:t>Hier handelt es sich um eine prozentuale Gutschrift auf das Kartenkonto einer Kreditkarte mit Cash-back System - i</w:t>
      </w:r>
      <w:r w:rsidR="002F7DC9" w:rsidRPr="00342C19">
        <w:t xml:space="preserve">n gewisser Weise </w:t>
      </w:r>
      <w:r>
        <w:t xml:space="preserve">also </w:t>
      </w:r>
      <w:r w:rsidR="002F7DC9" w:rsidRPr="00342C19">
        <w:t xml:space="preserve">um ein Rabattsystem, </w:t>
      </w:r>
      <w:r w:rsidR="00A66F45" w:rsidRPr="00342C19">
        <w:t>analog z.B. Cumulusgutscheine</w:t>
      </w:r>
      <w:r w:rsidR="00A66F45">
        <w:t>n</w:t>
      </w:r>
      <w:r w:rsidR="00A66F45" w:rsidRPr="00342C19">
        <w:t>.</w:t>
      </w:r>
    </w:p>
    <w:p w14:paraId="6A365D00" w14:textId="77777777" w:rsidR="002F7DC9" w:rsidRPr="00342C19" w:rsidRDefault="002F7DC9" w:rsidP="002F7DC9">
      <w:pPr>
        <w:pStyle w:val="Absatz0"/>
        <w:tabs>
          <w:tab w:val="left" w:pos="902"/>
        </w:tabs>
      </w:pPr>
    </w:p>
    <w:p w14:paraId="429AB92B" w14:textId="77777777" w:rsidR="002F7DC9" w:rsidRPr="00974774" w:rsidRDefault="002F7DC9" w:rsidP="002F7DC9">
      <w:pPr>
        <w:pStyle w:val="Absatz0"/>
        <w:numPr>
          <w:ilvl w:val="0"/>
          <w:numId w:val="26"/>
        </w:numPr>
        <w:tabs>
          <w:tab w:val="left" w:pos="902"/>
        </w:tabs>
        <w:rPr>
          <w:b/>
        </w:rPr>
      </w:pPr>
      <w:r>
        <w:rPr>
          <w:b/>
        </w:rPr>
        <w:t>Spesenentschädigungen</w:t>
      </w:r>
    </w:p>
    <w:p w14:paraId="44BE7D3D" w14:textId="77777777" w:rsidR="002F7DC9" w:rsidRDefault="002F7DC9" w:rsidP="003E55F4">
      <w:pPr>
        <w:pStyle w:val="Absatz0"/>
        <w:tabs>
          <w:tab w:val="left" w:pos="902"/>
        </w:tabs>
        <w:ind w:left="720"/>
        <w:rPr>
          <w:rStyle w:val="Hyperlink"/>
        </w:rPr>
      </w:pPr>
      <w:r w:rsidRPr="00342C19">
        <w:t xml:space="preserve">Siehe </w:t>
      </w:r>
      <w:hyperlink r:id="rId12" w:history="1">
        <w:r w:rsidRPr="00342C19">
          <w:rPr>
            <w:rStyle w:val="Hyperlink"/>
          </w:rPr>
          <w:t>HAW_Erwerbsunkosten und Spesen</w:t>
        </w:r>
      </w:hyperlink>
      <w:r w:rsidR="008F5425">
        <w:rPr>
          <w:rStyle w:val="Hyperlink"/>
        </w:rPr>
        <w:br/>
      </w:r>
    </w:p>
    <w:p w14:paraId="5AD76619" w14:textId="77777777" w:rsidR="008F5425" w:rsidRDefault="008F5425" w:rsidP="008F5425">
      <w:pPr>
        <w:pStyle w:val="Absatz0"/>
        <w:numPr>
          <w:ilvl w:val="0"/>
          <w:numId w:val="26"/>
        </w:numPr>
        <w:rPr>
          <w:b/>
        </w:rPr>
      </w:pPr>
      <w:r>
        <w:rPr>
          <w:b/>
        </w:rPr>
        <w:t>Wochenbettbeiträge</w:t>
      </w:r>
      <w:r w:rsidR="00826237">
        <w:rPr>
          <w:b/>
        </w:rPr>
        <w:t xml:space="preserve"> des Gesundheits- und Umweltdepartement</w:t>
      </w:r>
      <w:r>
        <w:rPr>
          <w:b/>
        </w:rPr>
        <w:t xml:space="preserve"> </w:t>
      </w:r>
      <w:r w:rsidR="00826237">
        <w:rPr>
          <w:b/>
        </w:rPr>
        <w:t>(</w:t>
      </w:r>
      <w:r>
        <w:rPr>
          <w:b/>
        </w:rPr>
        <w:t>GUD</w:t>
      </w:r>
      <w:r w:rsidR="00826237">
        <w:rPr>
          <w:b/>
        </w:rPr>
        <w:t>)</w:t>
      </w:r>
    </w:p>
    <w:p w14:paraId="1474BE3A" w14:textId="77777777" w:rsidR="008F5425" w:rsidRDefault="008F5425" w:rsidP="008F5425">
      <w:pPr>
        <w:pStyle w:val="Absatz0"/>
        <w:ind w:left="720"/>
      </w:pPr>
      <w:r w:rsidRPr="00142AF3">
        <w:t xml:space="preserve">Zur Geburt eines Kindes wird ein sogenannter Wochenbettbeitrag </w:t>
      </w:r>
      <w:r>
        <w:t xml:space="preserve">(Fr. 200.00) </w:t>
      </w:r>
      <w:r w:rsidRPr="00142AF3">
        <w:t xml:space="preserve">erteilt. Berechtigt sind Mütter, die in der Stadt Zürich </w:t>
      </w:r>
      <w:r>
        <w:t>w</w:t>
      </w:r>
      <w:r w:rsidRPr="00142AF3">
        <w:t xml:space="preserve">ohnhaft sind und Anspruch auf Prämienverbilligung haben. </w:t>
      </w:r>
    </w:p>
    <w:p w14:paraId="5DB2752F" w14:textId="77777777" w:rsidR="008F5425" w:rsidRDefault="008F5425" w:rsidP="008F5425">
      <w:pPr>
        <w:pStyle w:val="Absatz0"/>
        <w:numPr>
          <w:ilvl w:val="0"/>
          <w:numId w:val="26"/>
        </w:numPr>
        <w:rPr>
          <w:b/>
        </w:rPr>
      </w:pPr>
      <w:r w:rsidRPr="003870A6">
        <w:rPr>
          <w:b/>
        </w:rPr>
        <w:lastRenderedPageBreak/>
        <w:t xml:space="preserve">Einnahmen aus Verkäufen </w:t>
      </w:r>
      <w:r>
        <w:rPr>
          <w:b/>
        </w:rPr>
        <w:t xml:space="preserve">von privaten Gegenständen </w:t>
      </w:r>
    </w:p>
    <w:p w14:paraId="22467C2B" w14:textId="77777777" w:rsidR="00451B27" w:rsidRDefault="008F5425" w:rsidP="003717A7">
      <w:pPr>
        <w:pStyle w:val="Absatz0"/>
        <w:ind w:left="720"/>
      </w:pPr>
      <w:r w:rsidRPr="00142AF3">
        <w:t xml:space="preserve">Sofern es sich </w:t>
      </w:r>
      <w:r w:rsidR="005245B7">
        <w:t>um den Verkauf</w:t>
      </w:r>
      <w:r w:rsidRPr="00142AF3">
        <w:t xml:space="preserve"> eigener, </w:t>
      </w:r>
      <w:r>
        <w:t>nicht mehr gebrauchter</w:t>
      </w:r>
      <w:r w:rsidRPr="00142AF3">
        <w:t xml:space="preserve"> </w:t>
      </w:r>
      <w:r>
        <w:t>Alltagsgegenstände</w:t>
      </w:r>
      <w:r w:rsidRPr="00142AF3">
        <w:t xml:space="preserve"> (z.B. Babykleider) </w:t>
      </w:r>
      <w:r>
        <w:t xml:space="preserve">und keine Handelstätigkeit </w:t>
      </w:r>
      <w:r w:rsidRPr="00142AF3">
        <w:t>handelt. Ausgenommen sind Verkäufe von Geg</w:t>
      </w:r>
      <w:r>
        <w:t>enständen mit erheblichem Wert</w:t>
      </w:r>
      <w:r w:rsidR="00826237">
        <w:t xml:space="preserve"> (z.B. teure Uhr, Kunstwerk, Musikinstrument). </w:t>
      </w:r>
      <w:r w:rsidR="00826237" w:rsidRPr="00B16D73">
        <w:t>Der den (ev. bereits gewährten) Vermögensfreibetrag übersteigende Wert wird als Einnahme angerechnet.</w:t>
      </w:r>
      <w:r>
        <w:t xml:space="preserve"> </w:t>
      </w:r>
      <w:bookmarkStart w:id="16" w:name="_Nicht_anrechenbare_Einnahmen_1"/>
      <w:bookmarkStart w:id="17" w:name="_Anrechenbare_Einnahmen"/>
      <w:bookmarkEnd w:id="16"/>
      <w:bookmarkEnd w:id="17"/>
    </w:p>
    <w:p w14:paraId="05164D46" w14:textId="77777777" w:rsidR="00AD1A7D" w:rsidRDefault="003717A7" w:rsidP="0025457A">
      <w:pPr>
        <w:pStyle w:val="berschrift2"/>
      </w:pPr>
      <w:bookmarkStart w:id="18" w:name="_Ermessensfälle"/>
      <w:bookmarkStart w:id="19" w:name="_Toc127369499"/>
      <w:bookmarkEnd w:id="18"/>
      <w:r>
        <w:t>Erme</w:t>
      </w:r>
      <w:r w:rsidR="00A40763">
        <w:t>ssensfälle</w:t>
      </w:r>
      <w:bookmarkEnd w:id="19"/>
    </w:p>
    <w:p w14:paraId="439F2D21" w14:textId="77777777" w:rsidR="00AD1A7D" w:rsidRDefault="00844196" w:rsidP="00AD1A7D">
      <w:pPr>
        <w:pStyle w:val="Absatz0"/>
      </w:pPr>
      <w:r>
        <w:t>Bei folgenden Zahlungseingängen liegt es im Ermessen der</w:t>
      </w:r>
      <w:r w:rsidR="003A6D24">
        <w:t xml:space="preserve"> </w:t>
      </w:r>
      <w:r w:rsidR="004E0E9B">
        <w:t>Fallführung</w:t>
      </w:r>
      <w:r>
        <w:t xml:space="preserve">, ob sie als Einnahme angerechnet werden. </w:t>
      </w:r>
      <w:r w:rsidR="00D96588">
        <w:t xml:space="preserve">Voraussetzung dafür ist, dass die Gutschrift rechtzeitig (i.d.R. innerhalb von 30 Tagen nach Eingang) den SOD gemeldet wurde. </w:t>
      </w:r>
      <w:r w:rsidR="00AD1A7D" w:rsidRPr="007823A8">
        <w:t xml:space="preserve">Es ist </w:t>
      </w:r>
      <w:r w:rsidR="00F92058">
        <w:t>darauf zu achten</w:t>
      </w:r>
      <w:r w:rsidR="00AD1A7D" w:rsidRPr="007823A8">
        <w:t>, dass</w:t>
      </w:r>
      <w:r w:rsidR="0006470D">
        <w:t xml:space="preserve"> </w:t>
      </w:r>
      <w:r w:rsidR="00C41F8C">
        <w:t>KL</w:t>
      </w:r>
      <w:r w:rsidR="00AD1A7D" w:rsidRPr="007823A8">
        <w:t xml:space="preserve"> </w:t>
      </w:r>
      <w:r w:rsidR="0006470D">
        <w:t xml:space="preserve">durch die Nichtanrechnung von Einnahmen </w:t>
      </w:r>
      <w:r w:rsidR="00F92058">
        <w:t>gegenüber</w:t>
      </w:r>
      <w:r w:rsidR="0006470D">
        <w:t xml:space="preserve"> anderen Personen in bescheidenen Verhältnissen </w:t>
      </w:r>
      <w:r w:rsidR="00F92058">
        <w:t xml:space="preserve">nicht </w:t>
      </w:r>
      <w:r w:rsidR="0006470D">
        <w:t xml:space="preserve">bessergestellt werden. </w:t>
      </w:r>
      <w:r w:rsidR="004414B0">
        <w:t>Die</w:t>
      </w:r>
      <w:r w:rsidR="003A6D24">
        <w:t xml:space="preserve"> Entscheidung</w:t>
      </w:r>
      <w:r w:rsidR="004414B0">
        <w:t xml:space="preserve"> </w:t>
      </w:r>
      <w:r w:rsidR="00AD1A7D" w:rsidRPr="007823A8">
        <w:t xml:space="preserve">ist </w:t>
      </w:r>
      <w:r w:rsidR="003A6D24">
        <w:t>in der Fallakte</w:t>
      </w:r>
      <w:r w:rsidR="00DB756A">
        <w:t xml:space="preserve"> </w:t>
      </w:r>
      <w:r w:rsidR="00AD1A7D" w:rsidRPr="007823A8">
        <w:t>zu dokumentieren.</w:t>
      </w:r>
      <w:r w:rsidR="00AD1A7D" w:rsidRPr="00252B1C">
        <w:t xml:space="preserve"> </w:t>
      </w:r>
    </w:p>
    <w:p w14:paraId="4C931564" w14:textId="77777777" w:rsidR="007823A8" w:rsidRDefault="007823A8" w:rsidP="00AD1A7D">
      <w:pPr>
        <w:pStyle w:val="Absatz0"/>
      </w:pPr>
    </w:p>
    <w:p w14:paraId="41A88554" w14:textId="77777777" w:rsidR="007823A8" w:rsidRDefault="007823A8" w:rsidP="007823A8">
      <w:pPr>
        <w:pStyle w:val="Absatz0"/>
        <w:numPr>
          <w:ilvl w:val="0"/>
          <w:numId w:val="26"/>
        </w:numPr>
        <w:rPr>
          <w:b/>
        </w:rPr>
      </w:pPr>
      <w:r>
        <w:rPr>
          <w:b/>
        </w:rPr>
        <w:t>Geschenke (von Privatpersonen, Arbeitgebern, Genossenschaften, etc.)</w:t>
      </w:r>
    </w:p>
    <w:p w14:paraId="790FC5D9" w14:textId="77777777" w:rsidR="007823A8" w:rsidRPr="007823A8" w:rsidRDefault="007823A8" w:rsidP="007823A8">
      <w:pPr>
        <w:pStyle w:val="Absatz0"/>
        <w:ind w:left="720"/>
      </w:pPr>
      <w:r w:rsidRPr="007823A8">
        <w:t>Geschenke</w:t>
      </w:r>
      <w:r w:rsidR="00225862">
        <w:t>, die</w:t>
      </w:r>
      <w:r w:rsidR="005D0647">
        <w:t>,</w:t>
      </w:r>
      <w:r w:rsidR="00225862">
        <w:t xml:space="preserve"> </w:t>
      </w:r>
      <w:r w:rsidR="005D0647">
        <w:t xml:space="preserve">ausdrücklich oder erkennbar, </w:t>
      </w:r>
      <w:r w:rsidR="00225862">
        <w:t>zusätzlich zur Sozialhilfe entrichtet werden</w:t>
      </w:r>
      <w:r w:rsidR="00957AD1">
        <w:t>,</w:t>
      </w:r>
      <w:r w:rsidRPr="007823A8">
        <w:t xml:space="preserve"> sind i</w:t>
      </w:r>
      <w:r w:rsidR="00225862">
        <w:t>m bescheidenen Umfang zulässig</w:t>
      </w:r>
      <w:r w:rsidR="009614FA">
        <w:t>.</w:t>
      </w:r>
    </w:p>
    <w:p w14:paraId="6D2609F8" w14:textId="77777777" w:rsidR="007823A8" w:rsidRDefault="007823A8" w:rsidP="007823A8">
      <w:pPr>
        <w:pStyle w:val="Absatz0"/>
        <w:ind w:left="708"/>
      </w:pPr>
      <w:r w:rsidRPr="007823A8">
        <w:t xml:space="preserve">Als </w:t>
      </w:r>
      <w:r w:rsidR="0059143F">
        <w:t>bescheidener Umfang</w:t>
      </w:r>
      <w:r w:rsidR="0059143F" w:rsidRPr="007823A8">
        <w:t xml:space="preserve"> </w:t>
      </w:r>
      <w:r w:rsidRPr="007823A8">
        <w:t xml:space="preserve">gilt </w:t>
      </w:r>
      <w:r w:rsidR="0059143F">
        <w:t xml:space="preserve">in der </w:t>
      </w:r>
      <w:r w:rsidR="0059143F" w:rsidRPr="003717A7">
        <w:t xml:space="preserve">Regel </w:t>
      </w:r>
      <w:r w:rsidRPr="003717A7">
        <w:t xml:space="preserve">ein Betrag von </w:t>
      </w:r>
      <w:r w:rsidR="0059143F" w:rsidRPr="003717A7">
        <w:t xml:space="preserve">jährlich bis zu </w:t>
      </w:r>
      <w:r w:rsidRPr="003717A7">
        <w:t xml:space="preserve">Fr. </w:t>
      </w:r>
      <w:r w:rsidR="0059143F" w:rsidRPr="003717A7">
        <w:t>250</w:t>
      </w:r>
      <w:r w:rsidRPr="003717A7">
        <w:t xml:space="preserve">.00 / </w:t>
      </w:r>
      <w:r w:rsidR="0059143F" w:rsidRPr="003717A7">
        <w:t xml:space="preserve">pro </w:t>
      </w:r>
      <w:r w:rsidRPr="003717A7">
        <w:t>Person</w:t>
      </w:r>
      <w:r w:rsidR="0059143F" w:rsidRPr="003717A7">
        <w:t xml:space="preserve"> in der Unterstützungseinheit</w:t>
      </w:r>
      <w:r w:rsidRPr="003717A7">
        <w:t xml:space="preserve">. </w:t>
      </w:r>
      <w:r w:rsidR="00957AD1" w:rsidRPr="003717A7">
        <w:t>D</w:t>
      </w:r>
      <w:r w:rsidR="00957AD1">
        <w:t>ies g</w:t>
      </w:r>
      <w:r w:rsidRPr="007823A8">
        <w:t>ilt sowohl für Geld- als auch materielle Geschenke</w:t>
      </w:r>
      <w:r>
        <w:t>.</w:t>
      </w:r>
    </w:p>
    <w:p w14:paraId="67595DE9" w14:textId="77777777" w:rsidR="007823A8" w:rsidRDefault="007823A8" w:rsidP="007823A8">
      <w:pPr>
        <w:pStyle w:val="Absatz0"/>
        <w:ind w:left="708"/>
      </w:pPr>
    </w:p>
    <w:p w14:paraId="6A74A65C" w14:textId="77777777" w:rsidR="007823A8" w:rsidRPr="007823A8" w:rsidRDefault="007823A8" w:rsidP="007823A8">
      <w:pPr>
        <w:pStyle w:val="Absatz0"/>
        <w:numPr>
          <w:ilvl w:val="0"/>
          <w:numId w:val="26"/>
        </w:numPr>
      </w:pPr>
      <w:r w:rsidRPr="007823A8">
        <w:rPr>
          <w:b/>
        </w:rPr>
        <w:t>Einmalige zweckgebundene Zuwendungen</w:t>
      </w:r>
    </w:p>
    <w:p w14:paraId="181EF4C9" w14:textId="77777777" w:rsidR="007823A8" w:rsidRDefault="007823A8" w:rsidP="007823A8">
      <w:pPr>
        <w:pStyle w:val="Absatz0"/>
        <w:ind w:left="720"/>
        <w:rPr>
          <w:i/>
        </w:rPr>
      </w:pPr>
      <w:r w:rsidRPr="007823A8">
        <w:t>Einma</w:t>
      </w:r>
      <w:r w:rsidR="00AF574E">
        <w:t>lige, zweckgebundene Leistungen in bescheidenem Umfang</w:t>
      </w:r>
      <w:r w:rsidR="003717A7">
        <w:t>, welche</w:t>
      </w:r>
      <w:r w:rsidR="00D439CA">
        <w:t xml:space="preserve"> ausdrücklich</w:t>
      </w:r>
      <w:r w:rsidR="003717A7">
        <w:t xml:space="preserve"> oder erkennbar</w:t>
      </w:r>
      <w:r w:rsidR="00D439CA">
        <w:t xml:space="preserve"> zusätzlich zu den Sozialhilfeleistungen erbracht werden, werden nicht angerechnet (z.B. Flugticket, Laptop)</w:t>
      </w:r>
      <w:r w:rsidRPr="007823A8">
        <w:t>.</w:t>
      </w:r>
      <w:r w:rsidR="00AF574E">
        <w:t xml:space="preserve"> Diese sind im Vorfeld zu deklarieren und mit der Fallführung zu besprechen. </w:t>
      </w:r>
      <w:r w:rsidRPr="007823A8">
        <w:t xml:space="preserve">Eine Anrechnung </w:t>
      </w:r>
      <w:r w:rsidR="00AF574E">
        <w:t>erfolgt,</w:t>
      </w:r>
      <w:r w:rsidRPr="007823A8">
        <w:t xml:space="preserve"> wenn eine Zuwendung zur Finanzierung von Luxus geleistet wird und eine Nichtanrechnung stossend wäre</w:t>
      </w:r>
      <w:r w:rsidR="009B6A7E">
        <w:rPr>
          <w:i/>
        </w:rPr>
        <w:t xml:space="preserve">. </w:t>
      </w:r>
      <w:r w:rsidR="003717A7" w:rsidRPr="003717A7">
        <w:t xml:space="preserve">Dabei ist </w:t>
      </w:r>
      <w:r w:rsidR="009B6A7E" w:rsidRPr="003717A7">
        <w:t xml:space="preserve">immer das Gesamtbild </w:t>
      </w:r>
      <w:r w:rsidR="003717A7" w:rsidRPr="003717A7">
        <w:t xml:space="preserve">zu </w:t>
      </w:r>
      <w:r w:rsidR="009B6A7E" w:rsidRPr="003717A7">
        <w:t>betrachten</w:t>
      </w:r>
      <w:r w:rsidR="003717A7" w:rsidRPr="003717A7">
        <w:t>.</w:t>
      </w:r>
    </w:p>
    <w:p w14:paraId="76A182EE" w14:textId="77777777" w:rsidR="00236372" w:rsidRDefault="00236372" w:rsidP="00236372">
      <w:pPr>
        <w:pStyle w:val="Absatz0"/>
      </w:pPr>
    </w:p>
    <w:p w14:paraId="2D28E258" w14:textId="77777777" w:rsidR="00236372" w:rsidRDefault="00236372" w:rsidP="00236372">
      <w:pPr>
        <w:pStyle w:val="Absatz0"/>
        <w:numPr>
          <w:ilvl w:val="0"/>
          <w:numId w:val="26"/>
        </w:numPr>
        <w:rPr>
          <w:b/>
        </w:rPr>
      </w:pPr>
      <w:r>
        <w:rPr>
          <w:b/>
        </w:rPr>
        <w:t>Eigene Bareinzahlungen</w:t>
      </w:r>
    </w:p>
    <w:p w14:paraId="14800371" w14:textId="77777777" w:rsidR="007823A8" w:rsidRDefault="006E7641" w:rsidP="003717A7">
      <w:pPr>
        <w:pStyle w:val="Absatz0"/>
        <w:ind w:left="720"/>
      </w:pPr>
      <w:r>
        <w:t>Sofern diese aus klar ersichtlichen Querüberweisungen, d.h. nachweislich aus der bezogenen Unterstützung, aus bereits deklarierten Vermögenswerten (z.B. Kontoübertrag) oder bereits angerechneten Einnahmen (z.B. Lohn, Unterhaltsbeiträge) stammen</w:t>
      </w:r>
      <w:r w:rsidR="0059143F">
        <w:t xml:space="preserve">, </w:t>
      </w:r>
      <w:r w:rsidR="009614FA">
        <w:t xml:space="preserve">müssen sie nicht angerechnet werden. </w:t>
      </w:r>
      <w:r>
        <w:t xml:space="preserve">In allen anderen Fällen muss geprüft werden, woher das Geld für die Bareinzahlung stammt und der Betrag </w:t>
      </w:r>
      <w:r w:rsidR="0059143F">
        <w:t xml:space="preserve">muss </w:t>
      </w:r>
      <w:r>
        <w:t>allenfalls angerechnet werden</w:t>
      </w:r>
      <w:r w:rsidR="00236372">
        <w:t>.</w:t>
      </w:r>
      <w:r w:rsidR="00F223E9">
        <w:br/>
      </w:r>
    </w:p>
    <w:p w14:paraId="0E10C5BE" w14:textId="77777777" w:rsidR="00BF1A2F" w:rsidRPr="001E2019" w:rsidRDefault="00D85E72" w:rsidP="00BF1A2F">
      <w:pPr>
        <w:pStyle w:val="Absatz0"/>
        <w:numPr>
          <w:ilvl w:val="0"/>
          <w:numId w:val="26"/>
        </w:numPr>
      </w:pPr>
      <w:r w:rsidRPr="001E2019">
        <w:rPr>
          <w:b/>
        </w:rPr>
        <w:t>Erwerbseinkommen</w:t>
      </w:r>
      <w:r w:rsidR="002E5841" w:rsidRPr="001E2019">
        <w:rPr>
          <w:b/>
        </w:rPr>
        <w:t xml:space="preserve"> </w:t>
      </w:r>
      <w:r w:rsidR="007823A8" w:rsidRPr="001E2019">
        <w:rPr>
          <w:b/>
        </w:rPr>
        <w:t xml:space="preserve">von </w:t>
      </w:r>
      <w:r w:rsidR="002971FC" w:rsidRPr="001E2019">
        <w:rPr>
          <w:b/>
        </w:rPr>
        <w:t xml:space="preserve">Jugendlichen </w:t>
      </w:r>
      <w:r w:rsidRPr="001E2019">
        <w:rPr>
          <w:b/>
        </w:rPr>
        <w:t xml:space="preserve">(ausserhalb von </w:t>
      </w:r>
      <w:r w:rsidR="00F4429F" w:rsidRPr="001E2019">
        <w:rPr>
          <w:b/>
        </w:rPr>
        <w:t xml:space="preserve">Ausbildungs- </w:t>
      </w:r>
      <w:r w:rsidRPr="001E2019">
        <w:rPr>
          <w:b/>
        </w:rPr>
        <w:t>und Praktikums</w:t>
      </w:r>
      <w:r w:rsidR="002971FC" w:rsidRPr="001E2019">
        <w:rPr>
          <w:b/>
        </w:rPr>
        <w:t>lohn</w:t>
      </w:r>
      <w:r w:rsidR="001E2019" w:rsidRPr="001E2019">
        <w:rPr>
          <w:b/>
        </w:rPr>
        <w:t>)</w:t>
      </w:r>
    </w:p>
    <w:p w14:paraId="347ECCA3" w14:textId="77777777" w:rsidR="00F223E9" w:rsidRPr="001E2019" w:rsidRDefault="00F223E9" w:rsidP="00BB17B5">
      <w:pPr>
        <w:pStyle w:val="Absatz0"/>
        <w:ind w:left="720"/>
      </w:pPr>
      <w:r w:rsidRPr="001E2019">
        <w:t>Das Engagement und die Eigenleistung von Jugendlichen sind grundsätzlich zu unterstützen. Die Jugendlichen lernen dadurch, Verantwortung zu übernehmen und aktiv zur Verbesserung ihrer Situation beizutragen. Zudem können sie (erste) Arbeitserfahrungen sammeln. Es sollte daher honoriert werden, wenn Jugendliche neben der Schule, einer Ausbildung oder einem Praktikum zusätzlich arbeiten.</w:t>
      </w:r>
    </w:p>
    <w:p w14:paraId="7F7D4F0B" w14:textId="77777777" w:rsidR="00F223E9" w:rsidRPr="001E2019" w:rsidRDefault="00F223E9" w:rsidP="00BB17B5">
      <w:pPr>
        <w:pStyle w:val="Absatz0"/>
        <w:ind w:left="720"/>
      </w:pPr>
    </w:p>
    <w:p w14:paraId="054E644B" w14:textId="77777777" w:rsidR="0083472E" w:rsidRPr="001E2019" w:rsidRDefault="00F223E9" w:rsidP="0083472E">
      <w:pPr>
        <w:pStyle w:val="Absatz0"/>
        <w:ind w:left="720"/>
      </w:pPr>
      <w:r w:rsidRPr="001E2019">
        <w:t>Grundsätzlich kann unterschieden werden zwischen</w:t>
      </w:r>
      <w:r w:rsidR="0083472E">
        <w:t xml:space="preserve">: </w:t>
      </w:r>
    </w:p>
    <w:p w14:paraId="2B6A3823" w14:textId="77777777" w:rsidR="0083472E" w:rsidRDefault="00F223E9" w:rsidP="0083472E">
      <w:pPr>
        <w:pStyle w:val="Absatz0"/>
        <w:numPr>
          <w:ilvl w:val="0"/>
          <w:numId w:val="47"/>
        </w:numPr>
      </w:pPr>
      <w:r w:rsidRPr="0083472E">
        <w:rPr>
          <w:b/>
        </w:rPr>
        <w:t>gelegentlicher Arbeitseinsatz</w:t>
      </w:r>
      <w:r w:rsidRPr="001E2019">
        <w:t xml:space="preserve"> (z.B. Mithilfe bei der Reinigung des Schulhauses oder auf wenige Wochen befristete Aushilfsarbeit in den Ferien): bis zu einem Freibetrag von Fr. 750.00/Jahr kann auf eine Anrechnung des erzielten Lohnes verzichtet werden.</w:t>
      </w:r>
    </w:p>
    <w:p w14:paraId="24F8549C" w14:textId="77777777" w:rsidR="0083472E" w:rsidRDefault="0083472E" w:rsidP="0083472E">
      <w:pPr>
        <w:pStyle w:val="Absatz0"/>
        <w:ind w:left="1634"/>
      </w:pPr>
    </w:p>
    <w:p w14:paraId="65D2997F" w14:textId="77777777" w:rsidR="00F223E9" w:rsidRPr="001E2019" w:rsidRDefault="0083472E" w:rsidP="0083472E">
      <w:pPr>
        <w:pStyle w:val="Absatz0"/>
        <w:numPr>
          <w:ilvl w:val="0"/>
          <w:numId w:val="47"/>
        </w:numPr>
      </w:pPr>
      <w:r w:rsidRPr="0083472E">
        <w:rPr>
          <w:b/>
        </w:rPr>
        <w:t>l</w:t>
      </w:r>
      <w:r w:rsidR="00F223E9" w:rsidRPr="0083472E">
        <w:rPr>
          <w:b/>
        </w:rPr>
        <w:t>ängerfristige oder regelmässig wiederkehrende Einsätze</w:t>
      </w:r>
      <w:r w:rsidR="00F223E9" w:rsidRPr="001E2019">
        <w:t xml:space="preserve"> (z.B. </w:t>
      </w:r>
      <w:r w:rsidR="001E2019">
        <w:t>Wochenendjob in einem Supermarkt</w:t>
      </w:r>
      <w:r w:rsidR="00F223E9" w:rsidRPr="001E2019">
        <w:t xml:space="preserve">): Der Lohn wird unter Berücksichtigung eines </w:t>
      </w:r>
      <w:r w:rsidR="00F223E9" w:rsidRPr="001E2019">
        <w:lastRenderedPageBreak/>
        <w:t>Einkommensfreibetrages (EFB) regulär angerechnet; die Berechnung des EFB richtet sich nach Kap. 2.1 der HAW EFB.</w:t>
      </w:r>
      <w:r w:rsidR="00F223E9" w:rsidRPr="001E2019">
        <w:br/>
      </w:r>
    </w:p>
    <w:p w14:paraId="5B577926" w14:textId="77777777" w:rsidR="00BF1A2F" w:rsidRDefault="00F223E9" w:rsidP="00BF1A2F">
      <w:pPr>
        <w:pStyle w:val="Absatz0"/>
        <w:ind w:left="708"/>
      </w:pPr>
      <w:r w:rsidRPr="001E2019">
        <w:t>Um welche Art von Arbeitsverhältnis es sich handelt, liegt im Ermessen der zuständigen Fallführung. Der Freibetrag von Fr. 750.00 / Jahr und der EFB sind kumulierbar, sofern entsprechende Leistungen erbracht werden.</w:t>
      </w:r>
      <w:r>
        <w:br/>
      </w:r>
    </w:p>
    <w:p w14:paraId="45CF82BE" w14:textId="77777777" w:rsidR="00CA6EB9" w:rsidRPr="00342C19" w:rsidRDefault="003109A4" w:rsidP="003717A7">
      <w:pPr>
        <w:pStyle w:val="Absatz0"/>
        <w:numPr>
          <w:ilvl w:val="0"/>
          <w:numId w:val="26"/>
        </w:numPr>
      </w:pPr>
      <w:r w:rsidRPr="00A90160">
        <w:rPr>
          <w:b/>
        </w:rPr>
        <w:t>Zinserträge</w:t>
      </w:r>
      <w:r w:rsidR="008E4621">
        <w:br/>
      </w:r>
      <w:r w:rsidR="009614FA">
        <w:t>Zinserträge von Bank- oder Postkonti, Zinsen von Mietdepots oder Genossenschaftsanteilen müssen nicht angerechnet werden</w:t>
      </w:r>
      <w:r w:rsidR="008E4621">
        <w:t>,</w:t>
      </w:r>
      <w:r w:rsidR="009614FA">
        <w:t xml:space="preserve"> solange es sich um einen geringfügigen Betrag handelt</w:t>
      </w:r>
      <w:r w:rsidR="006F67A2">
        <w:t xml:space="preserve"> (vgl. Kapitel 2).</w:t>
      </w:r>
    </w:p>
    <w:p w14:paraId="44D787FE" w14:textId="77777777" w:rsidR="008529D6" w:rsidRPr="00DA24B5" w:rsidRDefault="008529D6" w:rsidP="005B5880">
      <w:pPr>
        <w:pStyle w:val="berschrift1"/>
      </w:pPr>
      <w:bookmarkStart w:id="20" w:name="_Spezialfall:_Umgang_mit"/>
      <w:bookmarkStart w:id="21" w:name="_Toc127369500"/>
      <w:bookmarkEnd w:id="20"/>
      <w:r>
        <w:t xml:space="preserve">Spezialfall: </w:t>
      </w:r>
      <w:r w:rsidR="00DA24B5">
        <w:t>Zahlungseingänge aus Ansprüchen für eine Zeit vor Unterstützungsbeginn</w:t>
      </w:r>
      <w:bookmarkEnd w:id="21"/>
    </w:p>
    <w:p w14:paraId="1B88F45E" w14:textId="77777777" w:rsidR="00C11654" w:rsidRDefault="00C11654" w:rsidP="00C11654">
      <w:pPr>
        <w:pStyle w:val="Absatz0"/>
      </w:pPr>
      <w:r>
        <w:t xml:space="preserve">Erhalten </w:t>
      </w:r>
      <w:r w:rsidR="00403BF1">
        <w:t>KL</w:t>
      </w:r>
      <w:r>
        <w:t xml:space="preserve"> Zahlungseingänge, welche eine Zeit vor Unterstützungsbeginn betreffen oder aus einer Zeit vor Unterstützungsbeginn stammen und entsprechend nicht periodengerecht mit der bezogenen </w:t>
      </w:r>
      <w:r w:rsidR="00403BF1">
        <w:t xml:space="preserve">WH </w:t>
      </w:r>
      <w:r>
        <w:t xml:space="preserve">verrechnet werden können, </w:t>
      </w:r>
      <w:r w:rsidR="00403BF1">
        <w:t xml:space="preserve">darf </w:t>
      </w:r>
      <w:r>
        <w:t xml:space="preserve">damit </w:t>
      </w:r>
      <w:r w:rsidR="00403BF1">
        <w:t>der</w:t>
      </w:r>
      <w:r>
        <w:t xml:space="preserve"> bei Unterstützungsbeginn noch nicht ausgeschöpfte Vermögensfreibetrag nachträglich noch </w:t>
      </w:r>
      <w:r w:rsidR="00403BF1">
        <w:t xml:space="preserve">gewährt bzw. </w:t>
      </w:r>
      <w:r>
        <w:t>aufgefüllt werden</w:t>
      </w:r>
      <w:r w:rsidR="00403BF1">
        <w:t>. Voraussetzung dafür ist, dass</w:t>
      </w:r>
      <w:r>
        <w:t xml:space="preserve"> die Gutschrift rechtzeitig (i.d.R. innerhalb von 30 Tagen nach </w:t>
      </w:r>
      <w:r w:rsidR="00682AE9">
        <w:t>E</w:t>
      </w:r>
      <w:r>
        <w:t xml:space="preserve">ingang) den SOD gemeldet </w:t>
      </w:r>
      <w:r w:rsidR="00403BF1">
        <w:t>wurde</w:t>
      </w:r>
      <w:r>
        <w:t xml:space="preserve">. Als Einnahme angerechnet wird in diesem Fall lediglich der den Vermögensfreibetrag übersteigende Betrag. </w:t>
      </w:r>
    </w:p>
    <w:p w14:paraId="70136C7F" w14:textId="77777777" w:rsidR="00C11654" w:rsidRDefault="00C11654" w:rsidP="00C11654">
      <w:pPr>
        <w:pStyle w:val="Absatz0"/>
      </w:pPr>
    </w:p>
    <w:p w14:paraId="343646BD" w14:textId="77777777" w:rsidR="00C11654" w:rsidRDefault="00C11654" w:rsidP="00C11654">
      <w:pPr>
        <w:pStyle w:val="Absatz0"/>
      </w:pPr>
      <w:r>
        <w:t>Dazu gehören beispielsweise:</w:t>
      </w:r>
    </w:p>
    <w:p w14:paraId="21448B37" w14:textId="77777777" w:rsidR="00C11654" w:rsidRDefault="00C11654" w:rsidP="00C11654">
      <w:pPr>
        <w:pStyle w:val="Absatz0"/>
        <w:numPr>
          <w:ilvl w:val="0"/>
          <w:numId w:val="40"/>
        </w:numPr>
      </w:pPr>
      <w:r>
        <w:t>Depotauszahlungen (z.B. Kindertagesstätte oder Mietkaution, sofern diese nicht für ein neues Vertragsverhältnis benötigt werden)</w:t>
      </w:r>
    </w:p>
    <w:p w14:paraId="5D9D8C8E" w14:textId="77777777" w:rsidR="00C11654" w:rsidRDefault="00C11654" w:rsidP="00C11654">
      <w:pPr>
        <w:pStyle w:val="Absatz0"/>
        <w:numPr>
          <w:ilvl w:val="0"/>
          <w:numId w:val="40"/>
        </w:numPr>
      </w:pPr>
      <w:r>
        <w:t>Auszahlungen Sozialversicherungsleistungen für eine Zeitperiode vor Unterstützungsbeginn (z.B. Familienzulagen, Arbeitslosenentschädigung)</w:t>
      </w:r>
    </w:p>
    <w:p w14:paraId="0025F9AF" w14:textId="77777777" w:rsidR="00C11654" w:rsidRDefault="00C11654" w:rsidP="00C11654">
      <w:pPr>
        <w:pStyle w:val="Absatz0"/>
        <w:numPr>
          <w:ilvl w:val="0"/>
          <w:numId w:val="40"/>
        </w:numPr>
      </w:pPr>
      <w:r>
        <w:t>Nachträglicher Eingang von Lohnzahlungen für eine Zeitperiode vor Unterstützungsbeginn</w:t>
      </w:r>
    </w:p>
    <w:p w14:paraId="4BE856BC" w14:textId="77777777" w:rsidR="00C11654" w:rsidRDefault="00C11654" w:rsidP="00C11654">
      <w:pPr>
        <w:pStyle w:val="Absatz0"/>
        <w:numPr>
          <w:ilvl w:val="0"/>
          <w:numId w:val="40"/>
        </w:numPr>
      </w:pPr>
      <w:r>
        <w:t>Rückerstattungen aus überschüssigen Akontozahlungen (z.B. Steuern, Nebenkosten)</w:t>
      </w:r>
    </w:p>
    <w:p w14:paraId="2B5451ED" w14:textId="77777777" w:rsidR="00C11654" w:rsidRDefault="00C11654" w:rsidP="00C11654">
      <w:pPr>
        <w:pStyle w:val="Absatz0"/>
      </w:pPr>
    </w:p>
    <w:p w14:paraId="5CD7BAFA" w14:textId="77777777" w:rsidR="00C11654" w:rsidRDefault="00C11654" w:rsidP="00C11654">
      <w:pPr>
        <w:pStyle w:val="Absatz0"/>
        <w:rPr>
          <w:highlight w:val="yellow"/>
        </w:rPr>
      </w:pPr>
      <w:r>
        <w:t xml:space="preserve">Sofern sich </w:t>
      </w:r>
      <w:r w:rsidR="00403BF1">
        <w:t>KL</w:t>
      </w:r>
      <w:r>
        <w:t xml:space="preserve"> aufgrund der nicht rechtzeitig eingegangenen Zahlung nachweislich verschulden mussten, kann ausnahmsweise anstelle der Auffüllung des Vermögensfreibetrages und/oder der Einrechnung als Einnahme auch eine Schuldenrückzahlung akzeptiert werden. </w:t>
      </w:r>
      <w:r w:rsidR="00682AE9">
        <w:t xml:space="preserve">Diese </w:t>
      </w:r>
      <w:r w:rsidR="009614FA">
        <w:t>müssen durch die</w:t>
      </w:r>
      <w:r w:rsidR="00682AE9">
        <w:t xml:space="preserve"> KL belegt werden. </w:t>
      </w:r>
      <w:r w:rsidR="00D04D21">
        <w:t xml:space="preserve">Die Entscheidungskompetenz liegt bei der Stellenleitung. </w:t>
      </w:r>
    </w:p>
    <w:p w14:paraId="5B2CE668" w14:textId="77777777" w:rsidR="002918FA" w:rsidRPr="00A933CD" w:rsidRDefault="002918FA" w:rsidP="00C11654">
      <w:pPr>
        <w:pStyle w:val="Absatz0"/>
        <w:rPr>
          <w:highlight w:val="yellow"/>
        </w:rPr>
      </w:pPr>
    </w:p>
    <w:sectPr w:rsidR="002918FA" w:rsidRPr="00A933CD" w:rsidSect="003415A9">
      <w:type w:val="continuous"/>
      <w:pgSz w:w="11906" w:h="16838" w:code="9"/>
      <w:pgMar w:top="1985" w:right="1134" w:bottom="567"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FF2F8" w14:textId="77777777" w:rsidR="00AA4CC4" w:rsidRDefault="00AA4CC4">
      <w:r>
        <w:separator/>
      </w:r>
    </w:p>
    <w:p w14:paraId="4ED8D608" w14:textId="77777777" w:rsidR="00AA4CC4" w:rsidRDefault="00AA4CC4"/>
  </w:endnote>
  <w:endnote w:type="continuationSeparator" w:id="0">
    <w:p w14:paraId="2C63DD68" w14:textId="77777777" w:rsidR="00AA4CC4" w:rsidRDefault="00AA4CC4">
      <w:r>
        <w:continuationSeparator/>
      </w:r>
    </w:p>
    <w:p w14:paraId="0E31A8BD" w14:textId="77777777" w:rsidR="00AA4CC4" w:rsidRDefault="00AA4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4414B0" w14:paraId="1C18ADAC" w14:textId="77777777">
      <w:trPr>
        <w:trHeight w:val="284"/>
      </w:trPr>
      <w:tc>
        <w:tcPr>
          <w:tcW w:w="5063" w:type="dxa"/>
        </w:tcPr>
        <w:p w14:paraId="4636B6AF" w14:textId="77777777" w:rsidR="004414B0" w:rsidRDefault="00E64EAB">
          <w:pPr>
            <w:pStyle w:val="Fuzeile"/>
            <w:tabs>
              <w:tab w:val="clear" w:pos="4536"/>
              <w:tab w:val="clear" w:pos="9072"/>
              <w:tab w:val="right" w:pos="8504"/>
            </w:tabs>
            <w:rPr>
              <w:sz w:val="17"/>
            </w:rPr>
          </w:pPr>
          <w:r>
            <w:rPr>
              <w:sz w:val="17"/>
            </w:rPr>
            <w:t>PRA Umgang mit Einnahmen in der Wirtschaftlichen Hilfe</w:t>
          </w:r>
        </w:p>
      </w:tc>
      <w:tc>
        <w:tcPr>
          <w:tcW w:w="1430" w:type="dxa"/>
        </w:tcPr>
        <w:p w14:paraId="3C0B401A" w14:textId="77777777" w:rsidR="004414B0" w:rsidRDefault="004414B0">
          <w:pPr>
            <w:pStyle w:val="Fuzeile"/>
            <w:tabs>
              <w:tab w:val="clear" w:pos="4536"/>
              <w:tab w:val="clear" w:pos="9072"/>
              <w:tab w:val="right" w:pos="8504"/>
            </w:tabs>
            <w:jc w:val="center"/>
            <w:rPr>
              <w:sz w:val="17"/>
            </w:rPr>
          </w:pPr>
        </w:p>
      </w:tc>
      <w:tc>
        <w:tcPr>
          <w:tcW w:w="2640" w:type="dxa"/>
        </w:tcPr>
        <w:p w14:paraId="16A6E7D6" w14:textId="77777777" w:rsidR="004414B0" w:rsidRDefault="004414B0">
          <w:pPr>
            <w:pStyle w:val="Fuzeile"/>
            <w:tabs>
              <w:tab w:val="clear" w:pos="4536"/>
              <w:tab w:val="clear" w:pos="9072"/>
              <w:tab w:val="right" w:pos="8504"/>
            </w:tabs>
            <w:jc w:val="center"/>
            <w:rPr>
              <w:sz w:val="17"/>
              <w:lang w:val="de-DE"/>
            </w:rPr>
          </w:pPr>
        </w:p>
      </w:tc>
    </w:tr>
  </w:tbl>
  <w:p w14:paraId="79CB6A69" w14:textId="77777777" w:rsidR="004414B0" w:rsidRDefault="004414B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4414B0" w14:paraId="3122D26E" w14:textId="77777777">
      <w:trPr>
        <w:trHeight w:val="284"/>
      </w:trPr>
      <w:tc>
        <w:tcPr>
          <w:tcW w:w="5063" w:type="dxa"/>
        </w:tcPr>
        <w:p w14:paraId="691D43E9" w14:textId="77777777" w:rsidR="004414B0" w:rsidRDefault="004414B0" w:rsidP="00515B68">
          <w:pPr>
            <w:pStyle w:val="Fuzeile"/>
            <w:tabs>
              <w:tab w:val="clear" w:pos="4536"/>
              <w:tab w:val="clear" w:pos="9072"/>
              <w:tab w:val="right" w:pos="8504"/>
            </w:tabs>
            <w:rPr>
              <w:sz w:val="17"/>
            </w:rPr>
          </w:pPr>
          <w:r>
            <w:rPr>
              <w:sz w:val="17"/>
            </w:rPr>
            <w:t>PRA Umgang mit Einnahmen in der W</w:t>
          </w:r>
          <w:r w:rsidR="00515B68">
            <w:rPr>
              <w:sz w:val="17"/>
            </w:rPr>
            <w:t xml:space="preserve">irtschaftlichen Hilfe </w:t>
          </w:r>
        </w:p>
      </w:tc>
      <w:tc>
        <w:tcPr>
          <w:tcW w:w="1430" w:type="dxa"/>
        </w:tcPr>
        <w:p w14:paraId="22C32860" w14:textId="77777777" w:rsidR="004414B0" w:rsidRDefault="004414B0">
          <w:pPr>
            <w:pStyle w:val="Fuzeile"/>
            <w:tabs>
              <w:tab w:val="clear" w:pos="4536"/>
              <w:tab w:val="clear" w:pos="9072"/>
              <w:tab w:val="right" w:pos="8504"/>
            </w:tabs>
            <w:jc w:val="center"/>
            <w:rPr>
              <w:sz w:val="17"/>
            </w:rPr>
          </w:pPr>
          <w:r>
            <w:rPr>
              <w:sz w:val="17"/>
            </w:rPr>
            <w:t xml:space="preserve">Version 1.0 </w:t>
          </w:r>
        </w:p>
      </w:tc>
      <w:tc>
        <w:tcPr>
          <w:tcW w:w="2640" w:type="dxa"/>
        </w:tcPr>
        <w:p w14:paraId="33F09F7A" w14:textId="77777777" w:rsidR="004414B0" w:rsidRDefault="004414B0" w:rsidP="00CB5A55">
          <w:pPr>
            <w:pStyle w:val="Fuzeile"/>
            <w:tabs>
              <w:tab w:val="clear" w:pos="4536"/>
              <w:tab w:val="clear" w:pos="9072"/>
              <w:tab w:val="right" w:pos="8504"/>
            </w:tabs>
            <w:jc w:val="right"/>
            <w:rPr>
              <w:sz w:val="17"/>
              <w:lang w:val="de-DE"/>
            </w:rPr>
          </w:pPr>
          <w:r>
            <w:rPr>
              <w:sz w:val="17"/>
              <w:lang w:val="de-DE"/>
            </w:rPr>
            <w:t xml:space="preserve">Verfasser: Fachstab WH </w:t>
          </w:r>
        </w:p>
      </w:tc>
    </w:tr>
    <w:tr w:rsidR="004414B0" w14:paraId="433D5666" w14:textId="77777777" w:rsidTr="001B2659">
      <w:trPr>
        <w:trHeight w:val="284"/>
      </w:trPr>
      <w:tc>
        <w:tcPr>
          <w:tcW w:w="9133" w:type="dxa"/>
          <w:gridSpan w:val="3"/>
        </w:tcPr>
        <w:p w14:paraId="1FEF87E6" w14:textId="77777777" w:rsidR="004414B0" w:rsidRDefault="004414B0" w:rsidP="001B45BE">
          <w:pPr>
            <w:pStyle w:val="Fuzeile"/>
            <w:tabs>
              <w:tab w:val="clear" w:pos="4536"/>
              <w:tab w:val="clear" w:pos="9072"/>
              <w:tab w:val="right" w:pos="8504"/>
            </w:tabs>
            <w:rPr>
              <w:sz w:val="17"/>
              <w:lang w:val="de-DE"/>
            </w:rPr>
          </w:pPr>
          <w:r>
            <w:rPr>
              <w:sz w:val="17"/>
              <w:lang w:val="de-DE"/>
            </w:rPr>
            <w:t>© Das Copyright liegt bei den Sozialen Diensten. Eine Weiterverwendung ist nur mit dem Zusatz «Soziale Dienste Stadt Zürich» erlaubt.</w:t>
          </w:r>
        </w:p>
      </w:tc>
    </w:tr>
  </w:tbl>
  <w:p w14:paraId="23286AB6" w14:textId="77777777" w:rsidR="004414B0" w:rsidRDefault="004414B0"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FEEDA" w14:textId="77777777" w:rsidR="00AA4CC4" w:rsidRDefault="00AA4CC4">
      <w:r>
        <w:separator/>
      </w:r>
    </w:p>
    <w:p w14:paraId="082B0F45" w14:textId="77777777" w:rsidR="00AA4CC4" w:rsidRDefault="00AA4CC4"/>
  </w:footnote>
  <w:footnote w:type="continuationSeparator" w:id="0">
    <w:p w14:paraId="41E3FA6B" w14:textId="77777777" w:rsidR="00AA4CC4" w:rsidRDefault="00AA4CC4">
      <w:r>
        <w:continuationSeparator/>
      </w:r>
    </w:p>
    <w:p w14:paraId="620AC199" w14:textId="77777777" w:rsidR="00AA4CC4" w:rsidRDefault="00AA4CC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4414B0" w14:paraId="6B5B3C09" w14:textId="77777777">
      <w:tc>
        <w:tcPr>
          <w:tcW w:w="7257" w:type="dxa"/>
          <w:gridSpan w:val="2"/>
        </w:tcPr>
        <w:p w14:paraId="377D33E5" w14:textId="77777777" w:rsidR="004414B0" w:rsidRDefault="004414B0">
          <w:pPr>
            <w:pStyle w:val="Kopfzeile"/>
            <w:tabs>
              <w:tab w:val="clear" w:pos="4536"/>
              <w:tab w:val="clear" w:pos="9072"/>
            </w:tabs>
            <w:rPr>
              <w:szCs w:val="22"/>
            </w:rPr>
          </w:pPr>
          <w:r>
            <w:rPr>
              <w:noProof/>
              <w:szCs w:val="22"/>
              <w:lang w:eastAsia="de-CH"/>
            </w:rPr>
            <w:drawing>
              <wp:inline distT="0" distB="0" distL="0" distR="0" wp14:anchorId="5A7612A2" wp14:editId="7EB5C211">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593CA3B8" w14:textId="77777777" w:rsidR="004414B0" w:rsidRDefault="004414B0">
          <w:pPr>
            <w:pStyle w:val="Kopfzeile"/>
            <w:tabs>
              <w:tab w:val="clear" w:pos="4536"/>
              <w:tab w:val="clear" w:pos="9072"/>
            </w:tabs>
            <w:rPr>
              <w:szCs w:val="22"/>
            </w:rPr>
          </w:pPr>
        </w:p>
      </w:tc>
      <w:tc>
        <w:tcPr>
          <w:tcW w:w="2495" w:type="dxa"/>
        </w:tcPr>
        <w:p w14:paraId="0661A748" w14:textId="77777777" w:rsidR="004414B0" w:rsidRDefault="004414B0">
          <w:pPr>
            <w:pStyle w:val="Kopfzeile"/>
            <w:tabs>
              <w:tab w:val="clear" w:pos="4536"/>
              <w:tab w:val="clear" w:pos="9072"/>
            </w:tabs>
            <w:rPr>
              <w:sz w:val="17"/>
              <w:szCs w:val="17"/>
            </w:rPr>
          </w:pPr>
        </w:p>
      </w:tc>
    </w:tr>
    <w:tr w:rsidR="004414B0" w14:paraId="12719B28" w14:textId="77777777">
      <w:trPr>
        <w:trHeight w:val="210"/>
      </w:trPr>
      <w:tc>
        <w:tcPr>
          <w:tcW w:w="680" w:type="dxa"/>
        </w:tcPr>
        <w:p w14:paraId="261B1F08" w14:textId="77777777" w:rsidR="004414B0" w:rsidRDefault="004414B0">
          <w:pPr>
            <w:pStyle w:val="Kopfzeile"/>
          </w:pPr>
        </w:p>
      </w:tc>
      <w:tc>
        <w:tcPr>
          <w:tcW w:w="9072" w:type="dxa"/>
          <w:gridSpan w:val="2"/>
        </w:tcPr>
        <w:p w14:paraId="79822FD3" w14:textId="559B9B92" w:rsidR="004414B0" w:rsidRDefault="004414B0">
          <w:pPr>
            <w:pStyle w:val="Kopfzeile"/>
          </w:pPr>
          <w:r>
            <w:fldChar w:fldCharType="begin"/>
          </w:r>
          <w:r>
            <w:instrText xml:space="preserve"> PAGE   \* MERGEFORMAT </w:instrText>
          </w:r>
          <w:r>
            <w:fldChar w:fldCharType="separate"/>
          </w:r>
          <w:r w:rsidR="00A21587">
            <w:rPr>
              <w:noProof/>
            </w:rPr>
            <w:t>4</w:t>
          </w:r>
          <w:r>
            <w:fldChar w:fldCharType="end"/>
          </w:r>
          <w:r>
            <w:t>/</w:t>
          </w:r>
          <w:fldSimple w:instr=" NUMPAGES   \* MERGEFORMAT ">
            <w:r w:rsidR="00A21587">
              <w:rPr>
                <w:noProof/>
              </w:rPr>
              <w:t>6</w:t>
            </w:r>
          </w:fldSimple>
        </w:p>
      </w:tc>
    </w:tr>
  </w:tbl>
  <w:p w14:paraId="2B59F76B" w14:textId="77777777" w:rsidR="004414B0" w:rsidRDefault="004414B0">
    <w:pPr>
      <w:pStyle w:val="Kopfzeile"/>
      <w:tabs>
        <w:tab w:val="clear" w:pos="4536"/>
        <w:tab w:val="clear" w:pos="9072"/>
      </w:tabs>
      <w:rPr>
        <w:sz w:val="2"/>
      </w:rPr>
    </w:pPr>
  </w:p>
  <w:p w14:paraId="35758BF4" w14:textId="77777777" w:rsidR="004414B0" w:rsidRDefault="004414B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4414B0" w14:paraId="5061BFEB" w14:textId="77777777">
      <w:tc>
        <w:tcPr>
          <w:tcW w:w="7257" w:type="dxa"/>
        </w:tcPr>
        <w:p w14:paraId="1A59C5E1" w14:textId="77777777" w:rsidR="004414B0" w:rsidRDefault="004414B0">
          <w:pPr>
            <w:pStyle w:val="Kopfzeile"/>
            <w:tabs>
              <w:tab w:val="clear" w:pos="4536"/>
              <w:tab w:val="clear" w:pos="9072"/>
            </w:tabs>
            <w:rPr>
              <w:szCs w:val="22"/>
            </w:rPr>
          </w:pPr>
          <w:r>
            <w:rPr>
              <w:noProof/>
              <w:szCs w:val="22"/>
              <w:lang w:eastAsia="de-CH"/>
            </w:rPr>
            <w:drawing>
              <wp:inline distT="0" distB="0" distL="0" distR="0" wp14:anchorId="1DE2F1A0" wp14:editId="265C4CE3">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0108F9BF" w14:textId="77777777" w:rsidR="004414B0" w:rsidRDefault="004414B0">
          <w:pPr>
            <w:pStyle w:val="Kopfzeile"/>
            <w:tabs>
              <w:tab w:val="clear" w:pos="4536"/>
              <w:tab w:val="clear" w:pos="9072"/>
            </w:tabs>
            <w:rPr>
              <w:sz w:val="17"/>
              <w:szCs w:val="17"/>
            </w:rPr>
          </w:pPr>
        </w:p>
      </w:tc>
    </w:tr>
    <w:tr w:rsidR="004414B0" w14:paraId="078061A4" w14:textId="77777777">
      <w:tc>
        <w:tcPr>
          <w:tcW w:w="7257" w:type="dxa"/>
        </w:tcPr>
        <w:p w14:paraId="510C88AA" w14:textId="77777777" w:rsidR="004414B0" w:rsidRDefault="004414B0">
          <w:pPr>
            <w:pStyle w:val="Kopfzeile"/>
            <w:tabs>
              <w:tab w:val="clear" w:pos="4536"/>
              <w:tab w:val="clear" w:pos="9072"/>
            </w:tabs>
            <w:rPr>
              <w:szCs w:val="22"/>
            </w:rPr>
          </w:pPr>
        </w:p>
      </w:tc>
      <w:tc>
        <w:tcPr>
          <w:tcW w:w="2495" w:type="dxa"/>
        </w:tcPr>
        <w:p w14:paraId="68E3D572" w14:textId="77777777" w:rsidR="004414B0" w:rsidRDefault="004414B0">
          <w:pPr>
            <w:pStyle w:val="Kopfzeile"/>
            <w:tabs>
              <w:tab w:val="clear" w:pos="4536"/>
              <w:tab w:val="clear" w:pos="9072"/>
            </w:tabs>
            <w:rPr>
              <w:noProof/>
              <w:sz w:val="17"/>
              <w:szCs w:val="17"/>
              <w:lang w:val="de-DE"/>
            </w:rPr>
          </w:pPr>
        </w:p>
      </w:tc>
    </w:tr>
  </w:tbl>
  <w:p w14:paraId="632E8148" w14:textId="77777777" w:rsidR="004414B0" w:rsidRDefault="004414B0">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050342C"/>
    <w:multiLevelType w:val="hybridMultilevel"/>
    <w:tmpl w:val="E230E3B2"/>
    <w:lvl w:ilvl="0" w:tplc="9750638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8639AA"/>
    <w:multiLevelType w:val="hybridMultilevel"/>
    <w:tmpl w:val="D1486A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2216EC"/>
    <w:multiLevelType w:val="multilevel"/>
    <w:tmpl w:val="3DDC8F12"/>
    <w:lvl w:ilvl="0">
      <w:start w:val="1"/>
      <w:numFmt w:val="decimal"/>
      <w:pStyle w:val="berschrift1"/>
      <w:lvlText w:val="%1"/>
      <w:lvlJc w:val="left"/>
      <w:pPr>
        <w:tabs>
          <w:tab w:val="num" w:pos="1000"/>
        </w:tabs>
        <w:ind w:left="1000"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0C7A68CB"/>
    <w:multiLevelType w:val="hybridMultilevel"/>
    <w:tmpl w:val="5F76CC18"/>
    <w:lvl w:ilvl="0" w:tplc="A05A13FE">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20475A"/>
    <w:multiLevelType w:val="hybridMultilevel"/>
    <w:tmpl w:val="215C42B0"/>
    <w:lvl w:ilvl="0" w:tplc="3BA239A0">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710DDA"/>
    <w:multiLevelType w:val="hybridMultilevel"/>
    <w:tmpl w:val="5504DC62"/>
    <w:lvl w:ilvl="0" w:tplc="5FBAF46C">
      <w:start w:val="1"/>
      <w:numFmt w:val="decimal"/>
      <w:lvlText w:val="%1."/>
      <w:lvlJc w:val="left"/>
      <w:pPr>
        <w:ind w:left="791" w:hanging="360"/>
      </w:pPr>
      <w:rPr>
        <w:rFonts w:hint="default"/>
      </w:rPr>
    </w:lvl>
    <w:lvl w:ilvl="1" w:tplc="08070019" w:tentative="1">
      <w:start w:val="1"/>
      <w:numFmt w:val="lowerLetter"/>
      <w:lvlText w:val="%2."/>
      <w:lvlJc w:val="left"/>
      <w:pPr>
        <w:ind w:left="1511" w:hanging="360"/>
      </w:pPr>
    </w:lvl>
    <w:lvl w:ilvl="2" w:tplc="0807001B" w:tentative="1">
      <w:start w:val="1"/>
      <w:numFmt w:val="lowerRoman"/>
      <w:lvlText w:val="%3."/>
      <w:lvlJc w:val="right"/>
      <w:pPr>
        <w:ind w:left="2231" w:hanging="180"/>
      </w:pPr>
    </w:lvl>
    <w:lvl w:ilvl="3" w:tplc="0807000F" w:tentative="1">
      <w:start w:val="1"/>
      <w:numFmt w:val="decimal"/>
      <w:lvlText w:val="%4."/>
      <w:lvlJc w:val="left"/>
      <w:pPr>
        <w:ind w:left="2951" w:hanging="360"/>
      </w:pPr>
    </w:lvl>
    <w:lvl w:ilvl="4" w:tplc="08070019" w:tentative="1">
      <w:start w:val="1"/>
      <w:numFmt w:val="lowerLetter"/>
      <w:lvlText w:val="%5."/>
      <w:lvlJc w:val="left"/>
      <w:pPr>
        <w:ind w:left="3671" w:hanging="360"/>
      </w:pPr>
    </w:lvl>
    <w:lvl w:ilvl="5" w:tplc="0807001B" w:tentative="1">
      <w:start w:val="1"/>
      <w:numFmt w:val="lowerRoman"/>
      <w:lvlText w:val="%6."/>
      <w:lvlJc w:val="right"/>
      <w:pPr>
        <w:ind w:left="4391" w:hanging="180"/>
      </w:pPr>
    </w:lvl>
    <w:lvl w:ilvl="6" w:tplc="0807000F" w:tentative="1">
      <w:start w:val="1"/>
      <w:numFmt w:val="decimal"/>
      <w:lvlText w:val="%7."/>
      <w:lvlJc w:val="left"/>
      <w:pPr>
        <w:ind w:left="5111" w:hanging="360"/>
      </w:pPr>
    </w:lvl>
    <w:lvl w:ilvl="7" w:tplc="08070019" w:tentative="1">
      <w:start w:val="1"/>
      <w:numFmt w:val="lowerLetter"/>
      <w:lvlText w:val="%8."/>
      <w:lvlJc w:val="left"/>
      <w:pPr>
        <w:ind w:left="5831" w:hanging="360"/>
      </w:pPr>
    </w:lvl>
    <w:lvl w:ilvl="8" w:tplc="0807001B" w:tentative="1">
      <w:start w:val="1"/>
      <w:numFmt w:val="lowerRoman"/>
      <w:lvlText w:val="%9."/>
      <w:lvlJc w:val="right"/>
      <w:pPr>
        <w:ind w:left="6551" w:hanging="180"/>
      </w:pPr>
    </w:lvl>
  </w:abstractNum>
  <w:abstractNum w:abstractNumId="9"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4A3600"/>
    <w:multiLevelType w:val="hybridMultilevel"/>
    <w:tmpl w:val="6776B6BC"/>
    <w:lvl w:ilvl="0" w:tplc="7FAC871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C837AEA"/>
    <w:multiLevelType w:val="hybridMultilevel"/>
    <w:tmpl w:val="50C86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1C65C66"/>
    <w:multiLevelType w:val="hybridMultilevel"/>
    <w:tmpl w:val="63C887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C36496B"/>
    <w:multiLevelType w:val="hybridMultilevel"/>
    <w:tmpl w:val="77F43F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0C3DDE"/>
    <w:multiLevelType w:val="hybridMultilevel"/>
    <w:tmpl w:val="C4BC0954"/>
    <w:lvl w:ilvl="0" w:tplc="0807000F">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D576669"/>
    <w:multiLevelType w:val="hybridMultilevel"/>
    <w:tmpl w:val="E5407C60"/>
    <w:lvl w:ilvl="0" w:tplc="82EAED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08F715A"/>
    <w:multiLevelType w:val="hybridMultilevel"/>
    <w:tmpl w:val="5F42F1DC"/>
    <w:lvl w:ilvl="0" w:tplc="A7A62914">
      <w:start w:val="1"/>
      <w:numFmt w:val="lowerLetter"/>
      <w:lvlText w:val="%1)"/>
      <w:lvlJc w:val="left"/>
      <w:pPr>
        <w:ind w:left="1410" w:hanging="69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8" w15:restartNumberingAfterBreak="0">
    <w:nsid w:val="449373D8"/>
    <w:multiLevelType w:val="hybridMultilevel"/>
    <w:tmpl w:val="5E66E534"/>
    <w:lvl w:ilvl="0" w:tplc="67F8FD06">
      <w:start w:val="3"/>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15:restartNumberingAfterBreak="0">
    <w:nsid w:val="453004E2"/>
    <w:multiLevelType w:val="hybridMultilevel"/>
    <w:tmpl w:val="D028411E"/>
    <w:lvl w:ilvl="0" w:tplc="0807000F">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5907018"/>
    <w:multiLevelType w:val="hybridMultilevel"/>
    <w:tmpl w:val="FB36CED0"/>
    <w:lvl w:ilvl="0" w:tplc="0A9E8D8E">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84425F4"/>
    <w:multiLevelType w:val="hybridMultilevel"/>
    <w:tmpl w:val="D05C03C6"/>
    <w:lvl w:ilvl="0" w:tplc="1E88C8D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BD869FE"/>
    <w:multiLevelType w:val="hybridMultilevel"/>
    <w:tmpl w:val="E918D9AE"/>
    <w:lvl w:ilvl="0" w:tplc="2FB6B2F4">
      <w:start w:val="1"/>
      <w:numFmt w:val="decimal"/>
      <w:lvlText w:val="%1."/>
      <w:lvlJc w:val="left"/>
      <w:pPr>
        <w:ind w:left="1080" w:hanging="360"/>
      </w:pPr>
      <w:rPr>
        <w:rFonts w:cs="Arial" w:hint="default"/>
        <w:b w:val="0"/>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782F33"/>
    <w:multiLevelType w:val="hybridMultilevel"/>
    <w:tmpl w:val="23EED4AE"/>
    <w:lvl w:ilvl="0" w:tplc="0807000F">
      <w:start w:val="1"/>
      <w:numFmt w:val="decimal"/>
      <w:lvlText w:val="%1."/>
      <w:lvlJc w:val="left"/>
      <w:pPr>
        <w:ind w:left="720" w:hanging="360"/>
      </w:pPr>
      <w:rPr>
        <w:rFonts w:hint="default"/>
      </w:rPr>
    </w:lvl>
    <w:lvl w:ilvl="1" w:tplc="AEA22320">
      <w:start w:val="1"/>
      <w:numFmt w:val="bullet"/>
      <w:lvlText w:val="-"/>
      <w:lvlJc w:val="left"/>
      <w:pPr>
        <w:ind w:left="1440" w:hanging="360"/>
      </w:pPr>
      <w:rPr>
        <w:rFonts w:ascii="Arial" w:eastAsia="Times New Roman" w:hAnsi="Arial" w:cs="Aria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04F392C"/>
    <w:multiLevelType w:val="hybridMultilevel"/>
    <w:tmpl w:val="039A83DE"/>
    <w:lvl w:ilvl="0" w:tplc="0807000F">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4440DD6"/>
    <w:multiLevelType w:val="hybridMultilevel"/>
    <w:tmpl w:val="96469FE8"/>
    <w:lvl w:ilvl="0" w:tplc="0807000F">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894704A"/>
    <w:multiLevelType w:val="multilevel"/>
    <w:tmpl w:val="50D0CB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15:restartNumberingAfterBreak="0">
    <w:nsid w:val="58B56A3F"/>
    <w:multiLevelType w:val="hybridMultilevel"/>
    <w:tmpl w:val="833C20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8FB4DEA"/>
    <w:multiLevelType w:val="hybridMultilevel"/>
    <w:tmpl w:val="ADCE3D22"/>
    <w:lvl w:ilvl="0" w:tplc="08070001">
      <w:start w:val="1"/>
      <w:numFmt w:val="bullet"/>
      <w:lvlText w:val=""/>
      <w:lvlJc w:val="left"/>
      <w:pPr>
        <w:ind w:left="360" w:hanging="360"/>
      </w:pPr>
      <w:rPr>
        <w:rFonts w:ascii="Symbol" w:hAnsi="Symbol" w:hint="default"/>
      </w:rPr>
    </w:lvl>
    <w:lvl w:ilvl="1" w:tplc="D05A8B8E">
      <w:numFmt w:val="bullet"/>
      <w:lvlText w:val=""/>
      <w:lvlJc w:val="left"/>
      <w:pPr>
        <w:ind w:left="1080" w:hanging="360"/>
      </w:pPr>
      <w:rPr>
        <w:rFonts w:ascii="Wingdings" w:eastAsia="Times New Roman" w:hAnsi="Wingdings"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FDD64BD"/>
    <w:multiLevelType w:val="hybridMultilevel"/>
    <w:tmpl w:val="0CC41024"/>
    <w:lvl w:ilvl="0" w:tplc="4720204A">
      <w:start w:val="2"/>
      <w:numFmt w:val="bullet"/>
      <w:lvlText w:val=""/>
      <w:lvlJc w:val="left"/>
      <w:pPr>
        <w:ind w:left="1080" w:hanging="360"/>
      </w:pPr>
      <w:rPr>
        <w:rFonts w:ascii="Wingdings" w:eastAsia="Calibri" w:hAnsi="Wingdings" w:cs="Arial" w:hint="default"/>
        <w:color w:val="0070C0"/>
      </w:rPr>
    </w:lvl>
    <w:lvl w:ilvl="1" w:tplc="08070003">
      <w:start w:val="1"/>
      <w:numFmt w:val="bullet"/>
      <w:lvlText w:val="o"/>
      <w:lvlJc w:val="left"/>
      <w:pPr>
        <w:ind w:left="1800" w:hanging="360"/>
      </w:pPr>
      <w:rPr>
        <w:rFonts w:ascii="Courier New" w:hAnsi="Courier New" w:cs="Courier New" w:hint="default"/>
      </w:rPr>
    </w:lvl>
    <w:lvl w:ilvl="2" w:tplc="08070005">
      <w:start w:val="1"/>
      <w:numFmt w:val="bullet"/>
      <w:lvlText w:val=""/>
      <w:lvlJc w:val="left"/>
      <w:pPr>
        <w:ind w:left="2520" w:hanging="360"/>
      </w:pPr>
      <w:rPr>
        <w:rFonts w:ascii="Wingdings" w:hAnsi="Wingdings" w:hint="default"/>
      </w:rPr>
    </w:lvl>
    <w:lvl w:ilvl="3" w:tplc="08070001">
      <w:start w:val="1"/>
      <w:numFmt w:val="bullet"/>
      <w:lvlText w:val=""/>
      <w:lvlJc w:val="left"/>
      <w:pPr>
        <w:ind w:left="3240" w:hanging="360"/>
      </w:pPr>
      <w:rPr>
        <w:rFonts w:ascii="Symbol" w:hAnsi="Symbol" w:hint="default"/>
      </w:rPr>
    </w:lvl>
    <w:lvl w:ilvl="4" w:tplc="08070003">
      <w:start w:val="1"/>
      <w:numFmt w:val="bullet"/>
      <w:lvlText w:val="o"/>
      <w:lvlJc w:val="left"/>
      <w:pPr>
        <w:ind w:left="3960" w:hanging="360"/>
      </w:pPr>
      <w:rPr>
        <w:rFonts w:ascii="Courier New" w:hAnsi="Courier New" w:cs="Courier New" w:hint="default"/>
      </w:rPr>
    </w:lvl>
    <w:lvl w:ilvl="5" w:tplc="08070005">
      <w:start w:val="1"/>
      <w:numFmt w:val="bullet"/>
      <w:lvlText w:val=""/>
      <w:lvlJc w:val="left"/>
      <w:pPr>
        <w:ind w:left="4680" w:hanging="360"/>
      </w:pPr>
      <w:rPr>
        <w:rFonts w:ascii="Wingdings" w:hAnsi="Wingdings" w:hint="default"/>
      </w:rPr>
    </w:lvl>
    <w:lvl w:ilvl="6" w:tplc="08070001">
      <w:start w:val="1"/>
      <w:numFmt w:val="bullet"/>
      <w:lvlText w:val=""/>
      <w:lvlJc w:val="left"/>
      <w:pPr>
        <w:ind w:left="5400" w:hanging="360"/>
      </w:pPr>
      <w:rPr>
        <w:rFonts w:ascii="Symbol" w:hAnsi="Symbol" w:hint="default"/>
      </w:rPr>
    </w:lvl>
    <w:lvl w:ilvl="7" w:tplc="08070003">
      <w:start w:val="1"/>
      <w:numFmt w:val="bullet"/>
      <w:lvlText w:val="o"/>
      <w:lvlJc w:val="left"/>
      <w:pPr>
        <w:ind w:left="6120" w:hanging="360"/>
      </w:pPr>
      <w:rPr>
        <w:rFonts w:ascii="Courier New" w:hAnsi="Courier New" w:cs="Courier New" w:hint="default"/>
      </w:rPr>
    </w:lvl>
    <w:lvl w:ilvl="8" w:tplc="08070005">
      <w:start w:val="1"/>
      <w:numFmt w:val="bullet"/>
      <w:lvlText w:val=""/>
      <w:lvlJc w:val="left"/>
      <w:pPr>
        <w:ind w:left="6840" w:hanging="360"/>
      </w:pPr>
      <w:rPr>
        <w:rFonts w:ascii="Wingdings" w:hAnsi="Wingdings" w:hint="default"/>
      </w:rPr>
    </w:lvl>
  </w:abstractNum>
  <w:abstractNum w:abstractNumId="31" w15:restartNumberingAfterBreak="0">
    <w:nsid w:val="62A52A3C"/>
    <w:multiLevelType w:val="hybridMultilevel"/>
    <w:tmpl w:val="F462D70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2" w15:restartNumberingAfterBreak="0">
    <w:nsid w:val="67D35372"/>
    <w:multiLevelType w:val="hybridMultilevel"/>
    <w:tmpl w:val="B9267618"/>
    <w:lvl w:ilvl="0" w:tplc="A47E17F6">
      <w:start w:val="7"/>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98146BD"/>
    <w:multiLevelType w:val="hybridMultilevel"/>
    <w:tmpl w:val="6A3C12B2"/>
    <w:lvl w:ilvl="0" w:tplc="895C057A">
      <w:start w:val="1"/>
      <w:numFmt w:val="decimal"/>
      <w:lvlText w:val="%1."/>
      <w:lvlJc w:val="left"/>
      <w:pPr>
        <w:ind w:left="720" w:hanging="360"/>
      </w:pPr>
      <w:rPr>
        <w:rFonts w:cs="Arial"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A115C91"/>
    <w:multiLevelType w:val="hybridMultilevel"/>
    <w:tmpl w:val="F202B9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03B4BF2"/>
    <w:multiLevelType w:val="hybridMultilevel"/>
    <w:tmpl w:val="9F8AFD82"/>
    <w:lvl w:ilvl="0" w:tplc="FBBCE42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1EA7747"/>
    <w:multiLevelType w:val="hybridMultilevel"/>
    <w:tmpl w:val="41ACBFBA"/>
    <w:lvl w:ilvl="0" w:tplc="B8D663BA">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30A1CE1"/>
    <w:multiLevelType w:val="hybridMultilevel"/>
    <w:tmpl w:val="E9F896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3747D8D"/>
    <w:multiLevelType w:val="multilevel"/>
    <w:tmpl w:val="13BA414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4BD36CF"/>
    <w:multiLevelType w:val="hybridMultilevel"/>
    <w:tmpl w:val="972AA0BE"/>
    <w:lvl w:ilvl="0" w:tplc="08070005">
      <w:start w:val="1"/>
      <w:numFmt w:val="bullet"/>
      <w:lvlText w:val=""/>
      <w:lvlJc w:val="left"/>
      <w:pPr>
        <w:ind w:left="1634" w:hanging="360"/>
      </w:pPr>
      <w:rPr>
        <w:rFonts w:ascii="Wingdings" w:hAnsi="Wingdings" w:hint="default"/>
      </w:rPr>
    </w:lvl>
    <w:lvl w:ilvl="1" w:tplc="08070003" w:tentative="1">
      <w:start w:val="1"/>
      <w:numFmt w:val="bullet"/>
      <w:lvlText w:val="o"/>
      <w:lvlJc w:val="left"/>
      <w:pPr>
        <w:ind w:left="2354" w:hanging="360"/>
      </w:pPr>
      <w:rPr>
        <w:rFonts w:ascii="Courier New" w:hAnsi="Courier New" w:cs="Courier New" w:hint="default"/>
      </w:rPr>
    </w:lvl>
    <w:lvl w:ilvl="2" w:tplc="08070005" w:tentative="1">
      <w:start w:val="1"/>
      <w:numFmt w:val="bullet"/>
      <w:lvlText w:val=""/>
      <w:lvlJc w:val="left"/>
      <w:pPr>
        <w:ind w:left="3074" w:hanging="360"/>
      </w:pPr>
      <w:rPr>
        <w:rFonts w:ascii="Wingdings" w:hAnsi="Wingdings" w:hint="default"/>
      </w:rPr>
    </w:lvl>
    <w:lvl w:ilvl="3" w:tplc="08070001" w:tentative="1">
      <w:start w:val="1"/>
      <w:numFmt w:val="bullet"/>
      <w:lvlText w:val=""/>
      <w:lvlJc w:val="left"/>
      <w:pPr>
        <w:ind w:left="3794" w:hanging="360"/>
      </w:pPr>
      <w:rPr>
        <w:rFonts w:ascii="Symbol" w:hAnsi="Symbol" w:hint="default"/>
      </w:rPr>
    </w:lvl>
    <w:lvl w:ilvl="4" w:tplc="08070003" w:tentative="1">
      <w:start w:val="1"/>
      <w:numFmt w:val="bullet"/>
      <w:lvlText w:val="o"/>
      <w:lvlJc w:val="left"/>
      <w:pPr>
        <w:ind w:left="4514" w:hanging="360"/>
      </w:pPr>
      <w:rPr>
        <w:rFonts w:ascii="Courier New" w:hAnsi="Courier New" w:cs="Courier New" w:hint="default"/>
      </w:rPr>
    </w:lvl>
    <w:lvl w:ilvl="5" w:tplc="08070005" w:tentative="1">
      <w:start w:val="1"/>
      <w:numFmt w:val="bullet"/>
      <w:lvlText w:val=""/>
      <w:lvlJc w:val="left"/>
      <w:pPr>
        <w:ind w:left="5234" w:hanging="360"/>
      </w:pPr>
      <w:rPr>
        <w:rFonts w:ascii="Wingdings" w:hAnsi="Wingdings" w:hint="default"/>
      </w:rPr>
    </w:lvl>
    <w:lvl w:ilvl="6" w:tplc="08070001" w:tentative="1">
      <w:start w:val="1"/>
      <w:numFmt w:val="bullet"/>
      <w:lvlText w:val=""/>
      <w:lvlJc w:val="left"/>
      <w:pPr>
        <w:ind w:left="5954" w:hanging="360"/>
      </w:pPr>
      <w:rPr>
        <w:rFonts w:ascii="Symbol" w:hAnsi="Symbol" w:hint="default"/>
      </w:rPr>
    </w:lvl>
    <w:lvl w:ilvl="7" w:tplc="08070003" w:tentative="1">
      <w:start w:val="1"/>
      <w:numFmt w:val="bullet"/>
      <w:lvlText w:val="o"/>
      <w:lvlJc w:val="left"/>
      <w:pPr>
        <w:ind w:left="6674" w:hanging="360"/>
      </w:pPr>
      <w:rPr>
        <w:rFonts w:ascii="Courier New" w:hAnsi="Courier New" w:cs="Courier New" w:hint="default"/>
      </w:rPr>
    </w:lvl>
    <w:lvl w:ilvl="8" w:tplc="08070005" w:tentative="1">
      <w:start w:val="1"/>
      <w:numFmt w:val="bullet"/>
      <w:lvlText w:val=""/>
      <w:lvlJc w:val="left"/>
      <w:pPr>
        <w:ind w:left="7394" w:hanging="360"/>
      </w:pPr>
      <w:rPr>
        <w:rFonts w:ascii="Wingdings" w:hAnsi="Wingdings" w:hint="default"/>
      </w:rPr>
    </w:lvl>
  </w:abstractNum>
  <w:abstractNum w:abstractNumId="40"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1" w15:restartNumberingAfterBreak="0">
    <w:nsid w:val="79173D18"/>
    <w:multiLevelType w:val="hybridMultilevel"/>
    <w:tmpl w:val="1D720E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9F74FFE"/>
    <w:multiLevelType w:val="multilevel"/>
    <w:tmpl w:val="EE0C01C8"/>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A5D1D9F"/>
    <w:multiLevelType w:val="hybridMultilevel"/>
    <w:tmpl w:val="3FF876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23"/>
  </w:num>
  <w:num w:numId="5">
    <w:abstractNumId w:val="40"/>
  </w:num>
  <w:num w:numId="6">
    <w:abstractNumId w:val="9"/>
  </w:num>
  <w:num w:numId="7">
    <w:abstractNumId w:val="4"/>
  </w:num>
  <w:num w:numId="8">
    <w:abstractNumId w:val="1"/>
  </w:num>
  <w:num w:numId="9">
    <w:abstractNumId w:val="0"/>
  </w:num>
  <w:num w:numId="10">
    <w:abstractNumId w:val="3"/>
  </w:num>
  <w:num w:numId="11">
    <w:abstractNumId w:val="29"/>
  </w:num>
  <w:num w:numId="12">
    <w:abstractNumId w:val="6"/>
  </w:num>
  <w:num w:numId="13">
    <w:abstractNumId w:val="14"/>
  </w:num>
  <w:num w:numId="14">
    <w:abstractNumId w:val="24"/>
  </w:num>
  <w:num w:numId="15">
    <w:abstractNumId w:val="35"/>
  </w:num>
  <w:num w:numId="16">
    <w:abstractNumId w:val="17"/>
  </w:num>
  <w:num w:numId="17">
    <w:abstractNumId w:val="16"/>
  </w:num>
  <w:num w:numId="18">
    <w:abstractNumId w:val="11"/>
  </w:num>
  <w:num w:numId="19">
    <w:abstractNumId w:val="33"/>
  </w:num>
  <w:num w:numId="20">
    <w:abstractNumId w:val="22"/>
  </w:num>
  <w:num w:numId="21">
    <w:abstractNumId w:val="38"/>
  </w:num>
  <w:num w:numId="22">
    <w:abstractNumId w:val="37"/>
  </w:num>
  <w:num w:numId="23">
    <w:abstractNumId w:val="15"/>
  </w:num>
  <w:num w:numId="24">
    <w:abstractNumId w:val="42"/>
  </w:num>
  <w:num w:numId="25">
    <w:abstractNumId w:val="26"/>
  </w:num>
  <w:num w:numId="26">
    <w:abstractNumId w:val="13"/>
  </w:num>
  <w:num w:numId="27">
    <w:abstractNumId w:val="25"/>
  </w:num>
  <w:num w:numId="28">
    <w:abstractNumId w:val="8"/>
  </w:num>
  <w:num w:numId="29">
    <w:abstractNumId w:val="4"/>
  </w:num>
  <w:num w:numId="30">
    <w:abstractNumId w:val="5"/>
  </w:num>
  <w:num w:numId="31">
    <w:abstractNumId w:val="19"/>
  </w:num>
  <w:num w:numId="32">
    <w:abstractNumId w:val="18"/>
  </w:num>
  <w:num w:numId="33">
    <w:abstractNumId w:val="21"/>
  </w:num>
  <w:num w:numId="34">
    <w:abstractNumId w:val="30"/>
  </w:num>
  <w:num w:numId="35">
    <w:abstractNumId w:val="28"/>
  </w:num>
  <w:num w:numId="36">
    <w:abstractNumId w:val="34"/>
  </w:num>
  <w:num w:numId="37">
    <w:abstractNumId w:val="41"/>
  </w:num>
  <w:num w:numId="38">
    <w:abstractNumId w:val="36"/>
  </w:num>
  <w:num w:numId="39">
    <w:abstractNumId w:val="31"/>
  </w:num>
  <w:num w:numId="40">
    <w:abstractNumId w:val="13"/>
  </w:num>
  <w:num w:numId="41">
    <w:abstractNumId w:val="12"/>
  </w:num>
  <w:num w:numId="42">
    <w:abstractNumId w:val="27"/>
  </w:num>
  <w:num w:numId="43">
    <w:abstractNumId w:val="43"/>
  </w:num>
  <w:num w:numId="44">
    <w:abstractNumId w:val="20"/>
  </w:num>
  <w:num w:numId="45">
    <w:abstractNumId w:val="2"/>
  </w:num>
  <w:num w:numId="46">
    <w:abstractNumId w:val="4"/>
  </w:num>
  <w:num w:numId="47">
    <w:abstractNumId w:val="39"/>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17908EB-E49F-45E5-A020-B0CC26BCE316}"/>
    <w:docVar w:name="dgnword-eventsink" w:val="384561376"/>
    <w:docVar w:name="dgnword-lastRevisionsView" w:val="0"/>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535C70"/>
    <w:rsid w:val="00005E8E"/>
    <w:rsid w:val="00006B88"/>
    <w:rsid w:val="000246E3"/>
    <w:rsid w:val="00035213"/>
    <w:rsid w:val="00036F8C"/>
    <w:rsid w:val="00042BC4"/>
    <w:rsid w:val="00045673"/>
    <w:rsid w:val="000507DC"/>
    <w:rsid w:val="000527AB"/>
    <w:rsid w:val="0006470D"/>
    <w:rsid w:val="0006572F"/>
    <w:rsid w:val="00073A59"/>
    <w:rsid w:val="00075399"/>
    <w:rsid w:val="0008034C"/>
    <w:rsid w:val="00083BA6"/>
    <w:rsid w:val="000847C8"/>
    <w:rsid w:val="00085BA5"/>
    <w:rsid w:val="000A1992"/>
    <w:rsid w:val="000B0382"/>
    <w:rsid w:val="000B0388"/>
    <w:rsid w:val="000C3D95"/>
    <w:rsid w:val="000D635E"/>
    <w:rsid w:val="000D79E0"/>
    <w:rsid w:val="000F04C9"/>
    <w:rsid w:val="000F09D7"/>
    <w:rsid w:val="000F0C09"/>
    <w:rsid w:val="000F3202"/>
    <w:rsid w:val="000F4520"/>
    <w:rsid w:val="00102471"/>
    <w:rsid w:val="001101AF"/>
    <w:rsid w:val="00112B5E"/>
    <w:rsid w:val="00115F13"/>
    <w:rsid w:val="00122213"/>
    <w:rsid w:val="00123B93"/>
    <w:rsid w:val="001259CF"/>
    <w:rsid w:val="00142AF3"/>
    <w:rsid w:val="001435A6"/>
    <w:rsid w:val="00145571"/>
    <w:rsid w:val="00146D53"/>
    <w:rsid w:val="00147C4D"/>
    <w:rsid w:val="00152397"/>
    <w:rsid w:val="00154F03"/>
    <w:rsid w:val="00157A04"/>
    <w:rsid w:val="00157F9C"/>
    <w:rsid w:val="00167491"/>
    <w:rsid w:val="001759AB"/>
    <w:rsid w:val="001927EA"/>
    <w:rsid w:val="00195DB7"/>
    <w:rsid w:val="001A0239"/>
    <w:rsid w:val="001A07DA"/>
    <w:rsid w:val="001A33D5"/>
    <w:rsid w:val="001A476D"/>
    <w:rsid w:val="001B2659"/>
    <w:rsid w:val="001B373E"/>
    <w:rsid w:val="001B45BE"/>
    <w:rsid w:val="001B4618"/>
    <w:rsid w:val="001C083B"/>
    <w:rsid w:val="001C7397"/>
    <w:rsid w:val="001D0187"/>
    <w:rsid w:val="001D1872"/>
    <w:rsid w:val="001E2019"/>
    <w:rsid w:val="001F1AF8"/>
    <w:rsid w:val="001F6BD0"/>
    <w:rsid w:val="002123E4"/>
    <w:rsid w:val="002129A1"/>
    <w:rsid w:val="002137C7"/>
    <w:rsid w:val="00221F0D"/>
    <w:rsid w:val="002225C0"/>
    <w:rsid w:val="00225862"/>
    <w:rsid w:val="00226F16"/>
    <w:rsid w:val="00230E5D"/>
    <w:rsid w:val="00233DCE"/>
    <w:rsid w:val="00236372"/>
    <w:rsid w:val="00236EC8"/>
    <w:rsid w:val="00240725"/>
    <w:rsid w:val="002512ED"/>
    <w:rsid w:val="002521DD"/>
    <w:rsid w:val="00252423"/>
    <w:rsid w:val="00252B1C"/>
    <w:rsid w:val="0025457A"/>
    <w:rsid w:val="0027281A"/>
    <w:rsid w:val="00274DA5"/>
    <w:rsid w:val="00274EA1"/>
    <w:rsid w:val="00277D7E"/>
    <w:rsid w:val="0028302D"/>
    <w:rsid w:val="00286C76"/>
    <w:rsid w:val="002918FA"/>
    <w:rsid w:val="002971FC"/>
    <w:rsid w:val="002A09EC"/>
    <w:rsid w:val="002B252B"/>
    <w:rsid w:val="002B3E72"/>
    <w:rsid w:val="002B5D85"/>
    <w:rsid w:val="002C0D14"/>
    <w:rsid w:val="002C4BDB"/>
    <w:rsid w:val="002C6193"/>
    <w:rsid w:val="002C7FC3"/>
    <w:rsid w:val="002D0BC3"/>
    <w:rsid w:val="002D2669"/>
    <w:rsid w:val="002E059B"/>
    <w:rsid w:val="002E5841"/>
    <w:rsid w:val="002F5BBD"/>
    <w:rsid w:val="002F7DC9"/>
    <w:rsid w:val="003009AC"/>
    <w:rsid w:val="003109A4"/>
    <w:rsid w:val="00312D96"/>
    <w:rsid w:val="0031511E"/>
    <w:rsid w:val="00321A59"/>
    <w:rsid w:val="00321DCC"/>
    <w:rsid w:val="003369EC"/>
    <w:rsid w:val="003415A9"/>
    <w:rsid w:val="00342C19"/>
    <w:rsid w:val="00343668"/>
    <w:rsid w:val="00346378"/>
    <w:rsid w:val="00347E42"/>
    <w:rsid w:val="0035376A"/>
    <w:rsid w:val="00360FE2"/>
    <w:rsid w:val="00363ACB"/>
    <w:rsid w:val="003717A7"/>
    <w:rsid w:val="00375FC2"/>
    <w:rsid w:val="00382CBA"/>
    <w:rsid w:val="00385731"/>
    <w:rsid w:val="003870A6"/>
    <w:rsid w:val="00390B73"/>
    <w:rsid w:val="00391E15"/>
    <w:rsid w:val="00392FC1"/>
    <w:rsid w:val="003A659D"/>
    <w:rsid w:val="003A6D24"/>
    <w:rsid w:val="003B12AC"/>
    <w:rsid w:val="003B319A"/>
    <w:rsid w:val="003B5C54"/>
    <w:rsid w:val="003B66A0"/>
    <w:rsid w:val="003C7301"/>
    <w:rsid w:val="003D18E3"/>
    <w:rsid w:val="003D1CCF"/>
    <w:rsid w:val="003D69A1"/>
    <w:rsid w:val="003E1636"/>
    <w:rsid w:val="003E3E24"/>
    <w:rsid w:val="003E55F4"/>
    <w:rsid w:val="003E58D6"/>
    <w:rsid w:val="003E5FC8"/>
    <w:rsid w:val="003F1790"/>
    <w:rsid w:val="00400E2F"/>
    <w:rsid w:val="00403BF1"/>
    <w:rsid w:val="004120A5"/>
    <w:rsid w:val="0041384A"/>
    <w:rsid w:val="00414388"/>
    <w:rsid w:val="004157D3"/>
    <w:rsid w:val="00420A98"/>
    <w:rsid w:val="00423C69"/>
    <w:rsid w:val="004240F2"/>
    <w:rsid w:val="00427180"/>
    <w:rsid w:val="004402B6"/>
    <w:rsid w:val="00440374"/>
    <w:rsid w:val="004414B0"/>
    <w:rsid w:val="00443B8A"/>
    <w:rsid w:val="004445F1"/>
    <w:rsid w:val="00447875"/>
    <w:rsid w:val="00450F3D"/>
    <w:rsid w:val="00451B27"/>
    <w:rsid w:val="00454B3B"/>
    <w:rsid w:val="004554B9"/>
    <w:rsid w:val="00455797"/>
    <w:rsid w:val="00455DAC"/>
    <w:rsid w:val="00463169"/>
    <w:rsid w:val="00463930"/>
    <w:rsid w:val="00467095"/>
    <w:rsid w:val="004720DE"/>
    <w:rsid w:val="00472175"/>
    <w:rsid w:val="004750E8"/>
    <w:rsid w:val="004761D2"/>
    <w:rsid w:val="00480BE2"/>
    <w:rsid w:val="004812DF"/>
    <w:rsid w:val="0048143B"/>
    <w:rsid w:val="00484124"/>
    <w:rsid w:val="004873F8"/>
    <w:rsid w:val="00495D24"/>
    <w:rsid w:val="0049622A"/>
    <w:rsid w:val="004A0C9E"/>
    <w:rsid w:val="004B44F0"/>
    <w:rsid w:val="004C0A72"/>
    <w:rsid w:val="004C1BBD"/>
    <w:rsid w:val="004C203A"/>
    <w:rsid w:val="004C4EA7"/>
    <w:rsid w:val="004C5BA0"/>
    <w:rsid w:val="004E0E9B"/>
    <w:rsid w:val="004E68F8"/>
    <w:rsid w:val="004F27AD"/>
    <w:rsid w:val="005012E5"/>
    <w:rsid w:val="00503C08"/>
    <w:rsid w:val="00515B68"/>
    <w:rsid w:val="005245B7"/>
    <w:rsid w:val="0053312E"/>
    <w:rsid w:val="00535C70"/>
    <w:rsid w:val="00536A16"/>
    <w:rsid w:val="00541515"/>
    <w:rsid w:val="005476AF"/>
    <w:rsid w:val="00552D60"/>
    <w:rsid w:val="00561050"/>
    <w:rsid w:val="00564825"/>
    <w:rsid w:val="00575B3A"/>
    <w:rsid w:val="00575F8F"/>
    <w:rsid w:val="0058359F"/>
    <w:rsid w:val="00585523"/>
    <w:rsid w:val="005913C8"/>
    <w:rsid w:val="0059143F"/>
    <w:rsid w:val="00592F29"/>
    <w:rsid w:val="005A6150"/>
    <w:rsid w:val="005B3527"/>
    <w:rsid w:val="005B5268"/>
    <w:rsid w:val="005B5880"/>
    <w:rsid w:val="005C653E"/>
    <w:rsid w:val="005D0647"/>
    <w:rsid w:val="005D7822"/>
    <w:rsid w:val="005F3C3D"/>
    <w:rsid w:val="00604F4B"/>
    <w:rsid w:val="00605D3B"/>
    <w:rsid w:val="00607D09"/>
    <w:rsid w:val="00610CD0"/>
    <w:rsid w:val="00615DFA"/>
    <w:rsid w:val="00620F75"/>
    <w:rsid w:val="00631407"/>
    <w:rsid w:val="00631709"/>
    <w:rsid w:val="00633378"/>
    <w:rsid w:val="00641647"/>
    <w:rsid w:val="00643C94"/>
    <w:rsid w:val="006440EA"/>
    <w:rsid w:val="00645062"/>
    <w:rsid w:val="00654546"/>
    <w:rsid w:val="00660AFA"/>
    <w:rsid w:val="006702A4"/>
    <w:rsid w:val="0067258A"/>
    <w:rsid w:val="00674E52"/>
    <w:rsid w:val="006813C9"/>
    <w:rsid w:val="00682AE9"/>
    <w:rsid w:val="00683E66"/>
    <w:rsid w:val="00686276"/>
    <w:rsid w:val="00690383"/>
    <w:rsid w:val="00692D28"/>
    <w:rsid w:val="006A1171"/>
    <w:rsid w:val="006A6BA7"/>
    <w:rsid w:val="006B27E7"/>
    <w:rsid w:val="006B42D5"/>
    <w:rsid w:val="006B453F"/>
    <w:rsid w:val="006B53E7"/>
    <w:rsid w:val="006C199C"/>
    <w:rsid w:val="006C1BC7"/>
    <w:rsid w:val="006C324F"/>
    <w:rsid w:val="006C36F6"/>
    <w:rsid w:val="006C40D2"/>
    <w:rsid w:val="006C5CFC"/>
    <w:rsid w:val="006E315A"/>
    <w:rsid w:val="006E6B51"/>
    <w:rsid w:val="006E7641"/>
    <w:rsid w:val="006F0627"/>
    <w:rsid w:val="006F229B"/>
    <w:rsid w:val="006F2437"/>
    <w:rsid w:val="006F37B6"/>
    <w:rsid w:val="006F67A2"/>
    <w:rsid w:val="00700FB3"/>
    <w:rsid w:val="007023EA"/>
    <w:rsid w:val="007039EA"/>
    <w:rsid w:val="00705DE6"/>
    <w:rsid w:val="00711334"/>
    <w:rsid w:val="007131A0"/>
    <w:rsid w:val="0071503B"/>
    <w:rsid w:val="00715452"/>
    <w:rsid w:val="00721F7E"/>
    <w:rsid w:val="00726F78"/>
    <w:rsid w:val="00726FBB"/>
    <w:rsid w:val="00734AA9"/>
    <w:rsid w:val="00743CC9"/>
    <w:rsid w:val="007458D5"/>
    <w:rsid w:val="007509EB"/>
    <w:rsid w:val="00771CA8"/>
    <w:rsid w:val="00777556"/>
    <w:rsid w:val="00781556"/>
    <w:rsid w:val="007823A8"/>
    <w:rsid w:val="00784875"/>
    <w:rsid w:val="00787E37"/>
    <w:rsid w:val="00792E12"/>
    <w:rsid w:val="00792F68"/>
    <w:rsid w:val="00793223"/>
    <w:rsid w:val="007A05D6"/>
    <w:rsid w:val="007A11A3"/>
    <w:rsid w:val="007A1DE6"/>
    <w:rsid w:val="007B10B9"/>
    <w:rsid w:val="007B1D7E"/>
    <w:rsid w:val="007C3073"/>
    <w:rsid w:val="007C7777"/>
    <w:rsid w:val="007E1569"/>
    <w:rsid w:val="007E3BAF"/>
    <w:rsid w:val="007F2B40"/>
    <w:rsid w:val="008021D6"/>
    <w:rsid w:val="0081111E"/>
    <w:rsid w:val="00820DD6"/>
    <w:rsid w:val="00826237"/>
    <w:rsid w:val="0083472E"/>
    <w:rsid w:val="00840788"/>
    <w:rsid w:val="00840F84"/>
    <w:rsid w:val="00844196"/>
    <w:rsid w:val="00845ABC"/>
    <w:rsid w:val="0085116F"/>
    <w:rsid w:val="008529D6"/>
    <w:rsid w:val="008548F4"/>
    <w:rsid w:val="00862918"/>
    <w:rsid w:val="00864AC5"/>
    <w:rsid w:val="00865E19"/>
    <w:rsid w:val="00875C97"/>
    <w:rsid w:val="00876ABE"/>
    <w:rsid w:val="00886B23"/>
    <w:rsid w:val="00892F36"/>
    <w:rsid w:val="00893774"/>
    <w:rsid w:val="00895E36"/>
    <w:rsid w:val="00897406"/>
    <w:rsid w:val="008A669A"/>
    <w:rsid w:val="008B2F19"/>
    <w:rsid w:val="008B3150"/>
    <w:rsid w:val="008B5E02"/>
    <w:rsid w:val="008C7D6D"/>
    <w:rsid w:val="008D4777"/>
    <w:rsid w:val="008E4621"/>
    <w:rsid w:val="008E4C7A"/>
    <w:rsid w:val="008E540E"/>
    <w:rsid w:val="008F0095"/>
    <w:rsid w:val="008F045E"/>
    <w:rsid w:val="008F26F2"/>
    <w:rsid w:val="008F3F38"/>
    <w:rsid w:val="008F5425"/>
    <w:rsid w:val="00901B0B"/>
    <w:rsid w:val="00902608"/>
    <w:rsid w:val="0090601D"/>
    <w:rsid w:val="0090604C"/>
    <w:rsid w:val="00906FCF"/>
    <w:rsid w:val="00910E80"/>
    <w:rsid w:val="0091131C"/>
    <w:rsid w:val="00917522"/>
    <w:rsid w:val="00924042"/>
    <w:rsid w:val="00927178"/>
    <w:rsid w:val="0092760A"/>
    <w:rsid w:val="00936445"/>
    <w:rsid w:val="00937820"/>
    <w:rsid w:val="009402E1"/>
    <w:rsid w:val="00945F7E"/>
    <w:rsid w:val="00947536"/>
    <w:rsid w:val="00950706"/>
    <w:rsid w:val="00950FF5"/>
    <w:rsid w:val="00956CE0"/>
    <w:rsid w:val="00957AD1"/>
    <w:rsid w:val="009614FA"/>
    <w:rsid w:val="00962144"/>
    <w:rsid w:val="00963A15"/>
    <w:rsid w:val="00971D01"/>
    <w:rsid w:val="0097220C"/>
    <w:rsid w:val="00974774"/>
    <w:rsid w:val="009810F6"/>
    <w:rsid w:val="00983304"/>
    <w:rsid w:val="00985D67"/>
    <w:rsid w:val="0099062A"/>
    <w:rsid w:val="009931A7"/>
    <w:rsid w:val="00993457"/>
    <w:rsid w:val="00994DED"/>
    <w:rsid w:val="00995DB8"/>
    <w:rsid w:val="009A1E4D"/>
    <w:rsid w:val="009A54CF"/>
    <w:rsid w:val="009B289F"/>
    <w:rsid w:val="009B63BE"/>
    <w:rsid w:val="009B6A7E"/>
    <w:rsid w:val="009C21E8"/>
    <w:rsid w:val="009D0F15"/>
    <w:rsid w:val="009D1974"/>
    <w:rsid w:val="009D6390"/>
    <w:rsid w:val="009F261A"/>
    <w:rsid w:val="00A04047"/>
    <w:rsid w:val="00A05C7D"/>
    <w:rsid w:val="00A12B90"/>
    <w:rsid w:val="00A143E8"/>
    <w:rsid w:val="00A17B08"/>
    <w:rsid w:val="00A21587"/>
    <w:rsid w:val="00A33816"/>
    <w:rsid w:val="00A36D63"/>
    <w:rsid w:val="00A373AF"/>
    <w:rsid w:val="00A40763"/>
    <w:rsid w:val="00A42DD6"/>
    <w:rsid w:val="00A44745"/>
    <w:rsid w:val="00A45B90"/>
    <w:rsid w:val="00A538F4"/>
    <w:rsid w:val="00A576F1"/>
    <w:rsid w:val="00A578A5"/>
    <w:rsid w:val="00A66F45"/>
    <w:rsid w:val="00A7097D"/>
    <w:rsid w:val="00A7220D"/>
    <w:rsid w:val="00A73162"/>
    <w:rsid w:val="00A7436A"/>
    <w:rsid w:val="00A747E7"/>
    <w:rsid w:val="00A773DF"/>
    <w:rsid w:val="00A774AA"/>
    <w:rsid w:val="00A801CD"/>
    <w:rsid w:val="00A80612"/>
    <w:rsid w:val="00A8404B"/>
    <w:rsid w:val="00A859BB"/>
    <w:rsid w:val="00A90160"/>
    <w:rsid w:val="00A933CD"/>
    <w:rsid w:val="00A936CF"/>
    <w:rsid w:val="00A97E78"/>
    <w:rsid w:val="00AA159C"/>
    <w:rsid w:val="00AA4CC4"/>
    <w:rsid w:val="00AB0E33"/>
    <w:rsid w:val="00AB1DB3"/>
    <w:rsid w:val="00AB307F"/>
    <w:rsid w:val="00AB4D8E"/>
    <w:rsid w:val="00AB5EFA"/>
    <w:rsid w:val="00AD130F"/>
    <w:rsid w:val="00AD1A7D"/>
    <w:rsid w:val="00AD3801"/>
    <w:rsid w:val="00AE3AAF"/>
    <w:rsid w:val="00AE607F"/>
    <w:rsid w:val="00AE7B1F"/>
    <w:rsid w:val="00AF574E"/>
    <w:rsid w:val="00B12CA7"/>
    <w:rsid w:val="00B15CF9"/>
    <w:rsid w:val="00B16D73"/>
    <w:rsid w:val="00B21389"/>
    <w:rsid w:val="00B26479"/>
    <w:rsid w:val="00B374B5"/>
    <w:rsid w:val="00B4353A"/>
    <w:rsid w:val="00B51BBE"/>
    <w:rsid w:val="00B53162"/>
    <w:rsid w:val="00B56BA5"/>
    <w:rsid w:val="00B578B1"/>
    <w:rsid w:val="00B628E9"/>
    <w:rsid w:val="00B65BDB"/>
    <w:rsid w:val="00B6622B"/>
    <w:rsid w:val="00B67BE8"/>
    <w:rsid w:val="00B717E8"/>
    <w:rsid w:val="00B81C51"/>
    <w:rsid w:val="00B92738"/>
    <w:rsid w:val="00BA1241"/>
    <w:rsid w:val="00BA2859"/>
    <w:rsid w:val="00BB17B5"/>
    <w:rsid w:val="00BB3101"/>
    <w:rsid w:val="00BB3AF6"/>
    <w:rsid w:val="00BB692E"/>
    <w:rsid w:val="00BC3CD6"/>
    <w:rsid w:val="00BC75A0"/>
    <w:rsid w:val="00BD0F43"/>
    <w:rsid w:val="00BD180C"/>
    <w:rsid w:val="00BD71CE"/>
    <w:rsid w:val="00BE6CCF"/>
    <w:rsid w:val="00BF1A2F"/>
    <w:rsid w:val="00BF340E"/>
    <w:rsid w:val="00C06A8F"/>
    <w:rsid w:val="00C11654"/>
    <w:rsid w:val="00C222EE"/>
    <w:rsid w:val="00C23A36"/>
    <w:rsid w:val="00C2707F"/>
    <w:rsid w:val="00C27645"/>
    <w:rsid w:val="00C314C8"/>
    <w:rsid w:val="00C40EE9"/>
    <w:rsid w:val="00C41F8C"/>
    <w:rsid w:val="00C43D89"/>
    <w:rsid w:val="00C44061"/>
    <w:rsid w:val="00C46568"/>
    <w:rsid w:val="00C46E96"/>
    <w:rsid w:val="00C47D53"/>
    <w:rsid w:val="00C53C53"/>
    <w:rsid w:val="00C6332F"/>
    <w:rsid w:val="00C73C4F"/>
    <w:rsid w:val="00C76344"/>
    <w:rsid w:val="00C80CE4"/>
    <w:rsid w:val="00C834FC"/>
    <w:rsid w:val="00C945FE"/>
    <w:rsid w:val="00C97A2E"/>
    <w:rsid w:val="00CA6EB9"/>
    <w:rsid w:val="00CA7877"/>
    <w:rsid w:val="00CA7BCC"/>
    <w:rsid w:val="00CB4EB9"/>
    <w:rsid w:val="00CB5A55"/>
    <w:rsid w:val="00CB6DD1"/>
    <w:rsid w:val="00CB7AC2"/>
    <w:rsid w:val="00CC26F7"/>
    <w:rsid w:val="00CC400B"/>
    <w:rsid w:val="00CC6B5A"/>
    <w:rsid w:val="00CC7286"/>
    <w:rsid w:val="00CE00EF"/>
    <w:rsid w:val="00CE507E"/>
    <w:rsid w:val="00CF4959"/>
    <w:rsid w:val="00D04D21"/>
    <w:rsid w:val="00D05545"/>
    <w:rsid w:val="00D063B7"/>
    <w:rsid w:val="00D1334D"/>
    <w:rsid w:val="00D2197C"/>
    <w:rsid w:val="00D249CC"/>
    <w:rsid w:val="00D26E99"/>
    <w:rsid w:val="00D3265A"/>
    <w:rsid w:val="00D370B1"/>
    <w:rsid w:val="00D40074"/>
    <w:rsid w:val="00D424FE"/>
    <w:rsid w:val="00D42916"/>
    <w:rsid w:val="00D43128"/>
    <w:rsid w:val="00D4373B"/>
    <w:rsid w:val="00D439CA"/>
    <w:rsid w:val="00D55C20"/>
    <w:rsid w:val="00D561E5"/>
    <w:rsid w:val="00D57BBA"/>
    <w:rsid w:val="00D63B4F"/>
    <w:rsid w:val="00D848D6"/>
    <w:rsid w:val="00D85E72"/>
    <w:rsid w:val="00D91E85"/>
    <w:rsid w:val="00D942CE"/>
    <w:rsid w:val="00D947ED"/>
    <w:rsid w:val="00D96588"/>
    <w:rsid w:val="00D96F62"/>
    <w:rsid w:val="00DA024F"/>
    <w:rsid w:val="00DA19DA"/>
    <w:rsid w:val="00DA1DD0"/>
    <w:rsid w:val="00DA24B5"/>
    <w:rsid w:val="00DA2649"/>
    <w:rsid w:val="00DA2C78"/>
    <w:rsid w:val="00DA44C2"/>
    <w:rsid w:val="00DB1813"/>
    <w:rsid w:val="00DB756A"/>
    <w:rsid w:val="00DC3F42"/>
    <w:rsid w:val="00DC54FE"/>
    <w:rsid w:val="00DC5B15"/>
    <w:rsid w:val="00DC6C16"/>
    <w:rsid w:val="00DD2C50"/>
    <w:rsid w:val="00DD372C"/>
    <w:rsid w:val="00DD3B27"/>
    <w:rsid w:val="00DE3A22"/>
    <w:rsid w:val="00DE43C9"/>
    <w:rsid w:val="00DE5D19"/>
    <w:rsid w:val="00E0345A"/>
    <w:rsid w:val="00E059FB"/>
    <w:rsid w:val="00E079A7"/>
    <w:rsid w:val="00E16C8B"/>
    <w:rsid w:val="00E23000"/>
    <w:rsid w:val="00E25963"/>
    <w:rsid w:val="00E30929"/>
    <w:rsid w:val="00E323E4"/>
    <w:rsid w:val="00E375B7"/>
    <w:rsid w:val="00E454D0"/>
    <w:rsid w:val="00E5025A"/>
    <w:rsid w:val="00E503CC"/>
    <w:rsid w:val="00E5094E"/>
    <w:rsid w:val="00E52781"/>
    <w:rsid w:val="00E545DD"/>
    <w:rsid w:val="00E57AFA"/>
    <w:rsid w:val="00E64EAB"/>
    <w:rsid w:val="00E662BA"/>
    <w:rsid w:val="00E675B3"/>
    <w:rsid w:val="00E70206"/>
    <w:rsid w:val="00E83EA2"/>
    <w:rsid w:val="00E84175"/>
    <w:rsid w:val="00EA122A"/>
    <w:rsid w:val="00EA70DF"/>
    <w:rsid w:val="00EC1B65"/>
    <w:rsid w:val="00EC44C9"/>
    <w:rsid w:val="00ED6D76"/>
    <w:rsid w:val="00EE6893"/>
    <w:rsid w:val="00EE7959"/>
    <w:rsid w:val="00EF37ED"/>
    <w:rsid w:val="00F00C9B"/>
    <w:rsid w:val="00F0344B"/>
    <w:rsid w:val="00F04064"/>
    <w:rsid w:val="00F056A9"/>
    <w:rsid w:val="00F06E92"/>
    <w:rsid w:val="00F11F38"/>
    <w:rsid w:val="00F223E9"/>
    <w:rsid w:val="00F32939"/>
    <w:rsid w:val="00F34616"/>
    <w:rsid w:val="00F40722"/>
    <w:rsid w:val="00F4429F"/>
    <w:rsid w:val="00F44AC3"/>
    <w:rsid w:val="00F45CA5"/>
    <w:rsid w:val="00F554B1"/>
    <w:rsid w:val="00F56FED"/>
    <w:rsid w:val="00F5788A"/>
    <w:rsid w:val="00F62293"/>
    <w:rsid w:val="00F64700"/>
    <w:rsid w:val="00F67BBE"/>
    <w:rsid w:val="00F76F29"/>
    <w:rsid w:val="00F8403B"/>
    <w:rsid w:val="00F92058"/>
    <w:rsid w:val="00FA3B2B"/>
    <w:rsid w:val="00FA5188"/>
    <w:rsid w:val="00FB07DA"/>
    <w:rsid w:val="00FB2F0B"/>
    <w:rsid w:val="00FB31E6"/>
    <w:rsid w:val="00FB3B0E"/>
    <w:rsid w:val="00FB77A3"/>
    <w:rsid w:val="00FC5678"/>
    <w:rsid w:val="00FD352E"/>
    <w:rsid w:val="00FD3E00"/>
    <w:rsid w:val="00FD5462"/>
    <w:rsid w:val="00FF7B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78D1304"/>
  <w15:docId w15:val="{A8C93F96-714B-4868-8CD9-BCE6DC04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clear" w:pos="1000"/>
        <w:tab w:val="num" w:pos="432"/>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link w:val="KopfzeileZchn"/>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Kommentarzeichen">
    <w:name w:val="annotation reference"/>
    <w:basedOn w:val="Absatz-Standardschriftart"/>
    <w:semiHidden/>
    <w:unhideWhenUsed/>
    <w:rsid w:val="00FB31E6"/>
    <w:rPr>
      <w:sz w:val="16"/>
      <w:szCs w:val="16"/>
    </w:rPr>
  </w:style>
  <w:style w:type="paragraph" w:styleId="Kommentartext">
    <w:name w:val="annotation text"/>
    <w:basedOn w:val="Standard"/>
    <w:link w:val="KommentartextZchn"/>
    <w:unhideWhenUsed/>
    <w:rsid w:val="00FB31E6"/>
    <w:rPr>
      <w:sz w:val="20"/>
    </w:rPr>
  </w:style>
  <w:style w:type="character" w:customStyle="1" w:styleId="KommentartextZchn">
    <w:name w:val="Kommentartext Zchn"/>
    <w:basedOn w:val="Absatz-Standardschriftart"/>
    <w:link w:val="Kommentartext"/>
    <w:rsid w:val="00FB31E6"/>
    <w:rPr>
      <w:rFonts w:ascii="Arial" w:hAnsi="Arial" w:cs="Arial"/>
      <w:lang w:eastAsia="de-DE"/>
    </w:rPr>
  </w:style>
  <w:style w:type="paragraph" w:styleId="Kommentarthema">
    <w:name w:val="annotation subject"/>
    <w:basedOn w:val="Kommentartext"/>
    <w:next w:val="Kommentartext"/>
    <w:link w:val="KommentarthemaZchn"/>
    <w:semiHidden/>
    <w:unhideWhenUsed/>
    <w:rsid w:val="00FB31E6"/>
    <w:rPr>
      <w:b/>
      <w:bCs/>
    </w:rPr>
  </w:style>
  <w:style w:type="character" w:customStyle="1" w:styleId="KommentarthemaZchn">
    <w:name w:val="Kommentarthema Zchn"/>
    <w:basedOn w:val="KommentartextZchn"/>
    <w:link w:val="Kommentarthema"/>
    <w:semiHidden/>
    <w:rsid w:val="00FB31E6"/>
    <w:rPr>
      <w:rFonts w:ascii="Arial" w:hAnsi="Arial" w:cs="Arial"/>
      <w:b/>
      <w:bCs/>
      <w:lang w:eastAsia="de-DE"/>
    </w:rPr>
  </w:style>
  <w:style w:type="character" w:styleId="Hyperlink">
    <w:name w:val="Hyperlink"/>
    <w:basedOn w:val="Absatz-Standardschriftart"/>
    <w:uiPriority w:val="99"/>
    <w:unhideWhenUsed/>
    <w:rsid w:val="007C7777"/>
    <w:rPr>
      <w:color w:val="0000FF" w:themeColor="hyperlink"/>
      <w:u w:val="single"/>
    </w:rPr>
  </w:style>
  <w:style w:type="character" w:customStyle="1" w:styleId="KopfzeileZchn">
    <w:name w:val="Kopfzeile Zchn"/>
    <w:basedOn w:val="Absatz-Standardschriftart"/>
    <w:link w:val="Kopfzeile"/>
    <w:rsid w:val="007C7777"/>
    <w:rPr>
      <w:rFonts w:ascii="Arial" w:hAnsi="Arial" w:cs="Arial"/>
      <w:sz w:val="22"/>
      <w:lang w:eastAsia="de-DE"/>
    </w:rPr>
  </w:style>
  <w:style w:type="paragraph" w:styleId="Listenabsatz">
    <w:name w:val="List Paragraph"/>
    <w:basedOn w:val="Standard"/>
    <w:uiPriority w:val="34"/>
    <w:qFormat/>
    <w:rsid w:val="00D942CE"/>
    <w:pPr>
      <w:ind w:left="720"/>
      <w:contextualSpacing/>
    </w:pPr>
  </w:style>
  <w:style w:type="table" w:styleId="Tabellenraster">
    <w:name w:val="Table Grid"/>
    <w:basedOn w:val="NormaleTabelle"/>
    <w:rsid w:val="00D6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semiHidden/>
    <w:unhideWhenUsed/>
    <w:rsid w:val="00D63B4F"/>
    <w:rPr>
      <w:color w:val="800080" w:themeColor="followedHyperlink"/>
      <w:u w:val="single"/>
    </w:rPr>
  </w:style>
  <w:style w:type="paragraph" w:styleId="berarbeitung">
    <w:name w:val="Revision"/>
    <w:hidden/>
    <w:uiPriority w:val="99"/>
    <w:semiHidden/>
    <w:rsid w:val="00974774"/>
    <w:rPr>
      <w:rFonts w:ascii="Arial" w:hAnsi="Arial" w:cs="Arial"/>
      <w:sz w:val="22"/>
      <w:lang w:eastAsia="de-DE"/>
    </w:rPr>
  </w:style>
  <w:style w:type="character" w:styleId="Hervorhebung">
    <w:name w:val="Emphasis"/>
    <w:basedOn w:val="Absatz-Standardschriftart"/>
    <w:qFormat/>
    <w:rsid w:val="00F00C9B"/>
    <w:rPr>
      <w:i/>
      <w:iCs/>
    </w:rPr>
  </w:style>
  <w:style w:type="paragraph" w:styleId="Funotentext">
    <w:name w:val="footnote text"/>
    <w:basedOn w:val="Standard"/>
    <w:link w:val="FunotentextZchn"/>
    <w:semiHidden/>
    <w:unhideWhenUsed/>
    <w:rsid w:val="00C76344"/>
    <w:rPr>
      <w:sz w:val="20"/>
    </w:rPr>
  </w:style>
  <w:style w:type="character" w:customStyle="1" w:styleId="FunotentextZchn">
    <w:name w:val="Fußnotentext Zchn"/>
    <w:basedOn w:val="Absatz-Standardschriftart"/>
    <w:link w:val="Funotentext"/>
    <w:semiHidden/>
    <w:rsid w:val="00C76344"/>
    <w:rPr>
      <w:rFonts w:ascii="Arial" w:hAnsi="Arial" w:cs="Arial"/>
      <w:lang w:eastAsia="de-DE"/>
    </w:rPr>
  </w:style>
  <w:style w:type="character" w:styleId="Funotenzeichen">
    <w:name w:val="footnote reference"/>
    <w:basedOn w:val="Absatz-Standardschriftart"/>
    <w:semiHidden/>
    <w:unhideWhenUsed/>
    <w:rsid w:val="00C76344"/>
    <w:rPr>
      <w:vertAlign w:val="superscript"/>
    </w:rPr>
  </w:style>
  <w:style w:type="paragraph" w:styleId="Inhaltsverzeichnisberschrift">
    <w:name w:val="TOC Heading"/>
    <w:basedOn w:val="berschrift1"/>
    <w:next w:val="Standard"/>
    <w:uiPriority w:val="39"/>
    <w:unhideWhenUsed/>
    <w:qFormat/>
    <w:rsid w:val="00321DCC"/>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12028">
      <w:bodyDiv w:val="1"/>
      <w:marLeft w:val="0"/>
      <w:marRight w:val="0"/>
      <w:marTop w:val="0"/>
      <w:marBottom w:val="0"/>
      <w:divBdr>
        <w:top w:val="none" w:sz="0" w:space="0" w:color="auto"/>
        <w:left w:val="none" w:sz="0" w:space="0" w:color="auto"/>
        <w:bottom w:val="none" w:sz="0" w:space="0" w:color="auto"/>
        <w:right w:val="none" w:sz="0" w:space="0" w:color="auto"/>
      </w:divBdr>
    </w:div>
    <w:div w:id="277027209">
      <w:bodyDiv w:val="1"/>
      <w:marLeft w:val="0"/>
      <w:marRight w:val="0"/>
      <w:marTop w:val="0"/>
      <w:marBottom w:val="0"/>
      <w:divBdr>
        <w:top w:val="none" w:sz="0" w:space="0" w:color="auto"/>
        <w:left w:val="none" w:sz="0" w:space="0" w:color="auto"/>
        <w:bottom w:val="none" w:sz="0" w:space="0" w:color="auto"/>
        <w:right w:val="none" w:sz="0" w:space="0" w:color="auto"/>
      </w:divBdr>
    </w:div>
    <w:div w:id="599065814">
      <w:bodyDiv w:val="1"/>
      <w:marLeft w:val="0"/>
      <w:marRight w:val="0"/>
      <w:marTop w:val="0"/>
      <w:marBottom w:val="0"/>
      <w:divBdr>
        <w:top w:val="none" w:sz="0" w:space="0" w:color="auto"/>
        <w:left w:val="none" w:sz="0" w:space="0" w:color="auto"/>
        <w:bottom w:val="none" w:sz="0" w:space="0" w:color="auto"/>
        <w:right w:val="none" w:sz="0" w:space="0" w:color="auto"/>
      </w:divBdr>
    </w:div>
    <w:div w:id="602301753">
      <w:bodyDiv w:val="1"/>
      <w:marLeft w:val="0"/>
      <w:marRight w:val="0"/>
      <w:marTop w:val="0"/>
      <w:marBottom w:val="0"/>
      <w:divBdr>
        <w:top w:val="none" w:sz="0" w:space="0" w:color="auto"/>
        <w:left w:val="none" w:sz="0" w:space="0" w:color="auto"/>
        <w:bottom w:val="none" w:sz="0" w:space="0" w:color="auto"/>
        <w:right w:val="none" w:sz="0" w:space="0" w:color="auto"/>
      </w:divBdr>
    </w:div>
    <w:div w:id="668867724">
      <w:bodyDiv w:val="1"/>
      <w:marLeft w:val="0"/>
      <w:marRight w:val="0"/>
      <w:marTop w:val="0"/>
      <w:marBottom w:val="0"/>
      <w:divBdr>
        <w:top w:val="none" w:sz="0" w:space="0" w:color="auto"/>
        <w:left w:val="none" w:sz="0" w:space="0" w:color="auto"/>
        <w:bottom w:val="none" w:sz="0" w:space="0" w:color="auto"/>
        <w:right w:val="none" w:sz="0" w:space="0" w:color="auto"/>
      </w:divBdr>
    </w:div>
    <w:div w:id="789321081">
      <w:bodyDiv w:val="1"/>
      <w:marLeft w:val="0"/>
      <w:marRight w:val="0"/>
      <w:marTop w:val="0"/>
      <w:marBottom w:val="0"/>
      <w:divBdr>
        <w:top w:val="none" w:sz="0" w:space="0" w:color="auto"/>
        <w:left w:val="none" w:sz="0" w:space="0" w:color="auto"/>
        <w:bottom w:val="none" w:sz="0" w:space="0" w:color="auto"/>
        <w:right w:val="none" w:sz="0" w:space="0" w:color="auto"/>
      </w:divBdr>
    </w:div>
    <w:div w:id="813449790">
      <w:bodyDiv w:val="1"/>
      <w:marLeft w:val="0"/>
      <w:marRight w:val="0"/>
      <w:marTop w:val="0"/>
      <w:marBottom w:val="0"/>
      <w:divBdr>
        <w:top w:val="none" w:sz="0" w:space="0" w:color="auto"/>
        <w:left w:val="none" w:sz="0" w:space="0" w:color="auto"/>
        <w:bottom w:val="none" w:sz="0" w:space="0" w:color="auto"/>
        <w:right w:val="none" w:sz="0" w:space="0" w:color="auto"/>
      </w:divBdr>
    </w:div>
    <w:div w:id="822508052">
      <w:bodyDiv w:val="1"/>
      <w:marLeft w:val="0"/>
      <w:marRight w:val="0"/>
      <w:marTop w:val="0"/>
      <w:marBottom w:val="0"/>
      <w:divBdr>
        <w:top w:val="none" w:sz="0" w:space="0" w:color="auto"/>
        <w:left w:val="none" w:sz="0" w:space="0" w:color="auto"/>
        <w:bottom w:val="none" w:sz="0" w:space="0" w:color="auto"/>
        <w:right w:val="none" w:sz="0" w:space="0" w:color="auto"/>
      </w:divBdr>
    </w:div>
    <w:div w:id="922955866">
      <w:bodyDiv w:val="1"/>
      <w:marLeft w:val="0"/>
      <w:marRight w:val="0"/>
      <w:marTop w:val="0"/>
      <w:marBottom w:val="0"/>
      <w:divBdr>
        <w:top w:val="none" w:sz="0" w:space="0" w:color="auto"/>
        <w:left w:val="none" w:sz="0" w:space="0" w:color="auto"/>
        <w:bottom w:val="none" w:sz="0" w:space="0" w:color="auto"/>
        <w:right w:val="none" w:sz="0" w:space="0" w:color="auto"/>
      </w:divBdr>
    </w:div>
    <w:div w:id="961576504">
      <w:bodyDiv w:val="1"/>
      <w:marLeft w:val="0"/>
      <w:marRight w:val="0"/>
      <w:marTop w:val="0"/>
      <w:marBottom w:val="0"/>
      <w:divBdr>
        <w:top w:val="none" w:sz="0" w:space="0" w:color="auto"/>
        <w:left w:val="none" w:sz="0" w:space="0" w:color="auto"/>
        <w:bottom w:val="none" w:sz="0" w:space="0" w:color="auto"/>
        <w:right w:val="none" w:sz="0" w:space="0" w:color="auto"/>
      </w:divBdr>
    </w:div>
    <w:div w:id="1093627452">
      <w:bodyDiv w:val="1"/>
      <w:marLeft w:val="0"/>
      <w:marRight w:val="0"/>
      <w:marTop w:val="0"/>
      <w:marBottom w:val="0"/>
      <w:divBdr>
        <w:top w:val="none" w:sz="0" w:space="0" w:color="auto"/>
        <w:left w:val="none" w:sz="0" w:space="0" w:color="auto"/>
        <w:bottom w:val="none" w:sz="0" w:space="0" w:color="auto"/>
        <w:right w:val="none" w:sz="0" w:space="0" w:color="auto"/>
      </w:divBdr>
    </w:div>
    <w:div w:id="1667781015">
      <w:bodyDiv w:val="1"/>
      <w:marLeft w:val="0"/>
      <w:marRight w:val="0"/>
      <w:marTop w:val="0"/>
      <w:marBottom w:val="0"/>
      <w:divBdr>
        <w:top w:val="none" w:sz="0" w:space="0" w:color="auto"/>
        <w:left w:val="none" w:sz="0" w:space="0" w:color="auto"/>
        <w:bottom w:val="none" w:sz="0" w:space="0" w:color="auto"/>
        <w:right w:val="none" w:sz="0" w:space="0" w:color="auto"/>
      </w:divBdr>
    </w:div>
    <w:div w:id="1876499501">
      <w:bodyDiv w:val="1"/>
      <w:marLeft w:val="0"/>
      <w:marRight w:val="0"/>
      <w:marTop w:val="0"/>
      <w:marBottom w:val="0"/>
      <w:divBdr>
        <w:top w:val="none" w:sz="0" w:space="0" w:color="auto"/>
        <w:left w:val="none" w:sz="0" w:space="0" w:color="auto"/>
        <w:bottom w:val="none" w:sz="0" w:space="0" w:color="auto"/>
        <w:right w:val="none" w:sz="0" w:space="0" w:color="auto"/>
      </w:divBdr>
    </w:div>
    <w:div w:id="1967662735">
      <w:bodyDiv w:val="1"/>
      <w:marLeft w:val="0"/>
      <w:marRight w:val="0"/>
      <w:marTop w:val="0"/>
      <w:marBottom w:val="0"/>
      <w:divBdr>
        <w:top w:val="none" w:sz="0" w:space="0" w:color="auto"/>
        <w:left w:val="none" w:sz="0" w:space="0" w:color="auto"/>
        <w:bottom w:val="none" w:sz="0" w:space="0" w:color="auto"/>
        <w:right w:val="none" w:sz="0" w:space="0" w:color="auto"/>
      </w:divBdr>
    </w:div>
    <w:div w:id="201695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zeloixps.global.szh.loc/ix-SOZ_ELO_DM01/plugin/de.elo.ix.plugin.proxy/web/pages/startup.jsp?useSSO=true&amp;guid=(599CA344-9D4A-DEF0-6F48-222257CD9C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74E40E8-46D1-4172-AFB2-F159D3583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2313</Words>
  <Characters>14572</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Titel des Dokuments</vt:lpstr>
    </vt:vector>
  </TitlesOfParts>
  <Company>Soziale Dienste Stadt Zürich</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Dokuments</dc:title>
  <dc:subject/>
  <dc:creator>Muriel Wolf Landau (sozmrw)</dc:creator>
  <cp:keywords/>
  <dc:description/>
  <cp:lastModifiedBy>Roxana Frey (sozrnr)</cp:lastModifiedBy>
  <cp:revision>9</cp:revision>
  <cp:lastPrinted>2009-02-02T08:42:00Z</cp:lastPrinted>
  <dcterms:created xsi:type="dcterms:W3CDTF">2023-03-08T17:37:00Z</dcterms:created>
  <dcterms:modified xsi:type="dcterms:W3CDTF">2023-05-12T09:14:00Z</dcterms:modified>
</cp:coreProperties>
</file>