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rsidRPr="008A69B9" w14:paraId="0A722DB2"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0A722DAF" w14:textId="77777777" w:rsidR="002129A1" w:rsidRPr="008A69B9" w:rsidRDefault="002129A1" w:rsidP="00BD4026">
            <w:pPr>
              <w:pStyle w:val="WeisungKopfteil"/>
              <w:framePr w:hSpace="0" w:wrap="auto" w:vAnchor="margin" w:hAnchor="text" w:xAlign="left" w:yAlign="inline"/>
              <w:spacing w:after="0"/>
              <w:rPr>
                <w:rFonts w:ascii="Arial" w:hAnsi="Arial"/>
                <w:b w:val="0"/>
                <w:bCs/>
                <w:sz w:val="20"/>
              </w:rPr>
            </w:pPr>
            <w:bookmarkStart w:id="0" w:name="_GoBack"/>
            <w:bookmarkEnd w:id="0"/>
            <w:r w:rsidRPr="008A69B9">
              <w:rPr>
                <w:rFonts w:ascii="Arial" w:hAnsi="Arial"/>
              </w:rP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0A722DB0" w14:textId="77777777" w:rsidR="002129A1" w:rsidRPr="008A69B9" w:rsidRDefault="00E90ADF" w:rsidP="00BD4026">
            <w:pPr>
              <w:pStyle w:val="WeisungKopfteil"/>
              <w:framePr w:hSpace="0" w:wrap="auto" w:vAnchor="margin" w:hAnchor="text" w:xAlign="left" w:yAlign="inline"/>
              <w:spacing w:after="0"/>
              <w:jc w:val="center"/>
              <w:rPr>
                <w:rFonts w:ascii="Arial" w:hAnsi="Arial"/>
                <w:sz w:val="20"/>
              </w:rPr>
            </w:pPr>
            <w:r w:rsidRPr="008A69B9">
              <w:rPr>
                <w:rFonts w:ascii="Arial" w:hAnsi="Arial"/>
              </w:rPr>
              <w:t>Praxishilfe</w:t>
            </w:r>
            <w:r w:rsidR="002129A1" w:rsidRPr="008A69B9">
              <w:rPr>
                <w:rFonts w:ascii="Arial" w:hAnsi="Arial"/>
              </w:rPr>
              <w:br/>
            </w:r>
          </w:p>
        </w:tc>
        <w:tc>
          <w:tcPr>
            <w:tcW w:w="2414" w:type="dxa"/>
            <w:tcBorders>
              <w:top w:val="single" w:sz="4" w:space="0" w:color="808080"/>
              <w:left w:val="single" w:sz="6" w:space="0" w:color="808080"/>
              <w:bottom w:val="nil"/>
              <w:right w:val="single" w:sz="4" w:space="0" w:color="808080"/>
            </w:tcBorders>
            <w:shd w:val="clear" w:color="auto" w:fill="F3F3F3"/>
          </w:tcPr>
          <w:p w14:paraId="0A722DB1" w14:textId="77777777" w:rsidR="002129A1" w:rsidRPr="008A69B9" w:rsidRDefault="002129A1" w:rsidP="00BD4026">
            <w:pPr>
              <w:pStyle w:val="WeisungKopfteil"/>
              <w:framePr w:hSpace="0" w:wrap="auto" w:vAnchor="margin" w:hAnchor="text" w:xAlign="left" w:yAlign="inline"/>
              <w:spacing w:after="0"/>
              <w:ind w:right="45"/>
              <w:jc w:val="right"/>
              <w:rPr>
                <w:rFonts w:ascii="Arial" w:hAnsi="Arial"/>
                <w:b w:val="0"/>
                <w:bCs/>
                <w:sz w:val="20"/>
              </w:rPr>
            </w:pPr>
            <w:r w:rsidRPr="008A69B9">
              <w:rPr>
                <w:rFonts w:ascii="Arial" w:hAnsi="Arial"/>
              </w:rPr>
              <w:t xml:space="preserve">Gültig ab: </w:t>
            </w:r>
          </w:p>
        </w:tc>
      </w:tr>
      <w:tr w:rsidR="002129A1" w:rsidRPr="008A69B9" w14:paraId="0A722DB7"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0A722DB3" w14:textId="58E0EB24" w:rsidR="002129A1" w:rsidRPr="008A69B9" w:rsidRDefault="00475018" w:rsidP="00475018">
            <w:pPr>
              <w:pStyle w:val="WeisungKopfteil"/>
              <w:framePr w:hSpace="0" w:wrap="auto" w:vAnchor="margin" w:hAnchor="text" w:xAlign="left" w:yAlign="inline"/>
              <w:spacing w:before="0" w:after="0" w:line="360" w:lineRule="auto"/>
              <w:rPr>
                <w:rFonts w:ascii="Arial" w:hAnsi="Arial"/>
              </w:rPr>
            </w:pPr>
            <w:r w:rsidRPr="00475018">
              <w:rPr>
                <w:rFonts w:ascii="Arial" w:hAnsi="Arial"/>
                <w:b w:val="0"/>
                <w:bCs/>
                <w:sz w:val="20"/>
                <w:highlight w:val="yellow"/>
              </w:rPr>
              <w:t>Weiterverrechnung</w:t>
            </w:r>
          </w:p>
        </w:tc>
        <w:tc>
          <w:tcPr>
            <w:tcW w:w="4453" w:type="dxa"/>
            <w:vMerge/>
            <w:tcBorders>
              <w:left w:val="single" w:sz="6" w:space="0" w:color="808080"/>
              <w:bottom w:val="single" w:sz="6" w:space="0" w:color="808080"/>
              <w:right w:val="single" w:sz="6" w:space="0" w:color="808080"/>
            </w:tcBorders>
            <w:shd w:val="clear" w:color="auto" w:fill="F3F3F3"/>
          </w:tcPr>
          <w:p w14:paraId="0A722DB4" w14:textId="77777777" w:rsidR="002129A1" w:rsidRPr="008A69B9" w:rsidRDefault="002129A1" w:rsidP="00BD4026">
            <w:pPr>
              <w:pStyle w:val="WeisungKopfteil"/>
              <w:framePr w:hSpace="0" w:wrap="auto" w:vAnchor="margin" w:hAnchor="text" w:xAlign="left" w:yAlign="inline"/>
              <w:spacing w:after="0"/>
              <w:rPr>
                <w:rFonts w:ascii="Arial" w:hAnsi="Arial"/>
              </w:rPr>
            </w:pPr>
          </w:p>
        </w:tc>
        <w:tc>
          <w:tcPr>
            <w:tcW w:w="2414" w:type="dxa"/>
            <w:tcBorders>
              <w:top w:val="nil"/>
              <w:left w:val="single" w:sz="6" w:space="0" w:color="808080"/>
              <w:bottom w:val="single" w:sz="6" w:space="0" w:color="808080"/>
              <w:right w:val="single" w:sz="4" w:space="0" w:color="808080"/>
            </w:tcBorders>
            <w:shd w:val="clear" w:color="auto" w:fill="F3F3F3"/>
          </w:tcPr>
          <w:p w14:paraId="0A722DB6" w14:textId="0EAC6C0C" w:rsidR="00E90ADF" w:rsidRPr="008A69B9" w:rsidRDefault="009E1242" w:rsidP="007B52F7">
            <w:pPr>
              <w:pStyle w:val="WeisungKopfteil"/>
              <w:framePr w:hSpace="0" w:wrap="auto" w:vAnchor="margin" w:hAnchor="text" w:xAlign="left" w:yAlign="inline"/>
              <w:spacing w:before="0" w:after="0"/>
              <w:ind w:right="45"/>
              <w:jc w:val="right"/>
              <w:rPr>
                <w:rFonts w:ascii="Arial" w:hAnsi="Arial"/>
                <w:b w:val="0"/>
                <w:bCs/>
                <w:sz w:val="20"/>
              </w:rPr>
            </w:pPr>
            <w:r w:rsidRPr="00475018">
              <w:rPr>
                <w:rFonts w:ascii="Arial" w:hAnsi="Arial"/>
                <w:b w:val="0"/>
                <w:bCs/>
                <w:sz w:val="20"/>
                <w:highlight w:val="yellow"/>
              </w:rPr>
              <w:t>01.</w:t>
            </w:r>
            <w:r w:rsidR="00365B62" w:rsidRPr="00475018">
              <w:rPr>
                <w:rFonts w:ascii="Arial" w:hAnsi="Arial"/>
                <w:b w:val="0"/>
                <w:bCs/>
                <w:sz w:val="20"/>
                <w:highlight w:val="yellow"/>
              </w:rPr>
              <w:t>0</w:t>
            </w:r>
            <w:r w:rsidR="007B52F7">
              <w:rPr>
                <w:rFonts w:ascii="Arial" w:hAnsi="Arial"/>
                <w:b w:val="0"/>
                <w:bCs/>
                <w:sz w:val="20"/>
                <w:highlight w:val="yellow"/>
              </w:rPr>
              <w:t>2</w:t>
            </w:r>
            <w:r w:rsidR="00365B62" w:rsidRPr="00475018">
              <w:rPr>
                <w:rFonts w:ascii="Arial" w:hAnsi="Arial"/>
                <w:b w:val="0"/>
                <w:bCs/>
                <w:sz w:val="20"/>
                <w:highlight w:val="yellow"/>
              </w:rPr>
              <w:t>.2018</w:t>
            </w:r>
            <w:r w:rsidR="008A69B9" w:rsidRPr="00475018">
              <w:rPr>
                <w:rFonts w:ascii="Arial" w:hAnsi="Arial"/>
                <w:b w:val="0"/>
                <w:bCs/>
                <w:sz w:val="20"/>
                <w:highlight w:val="yellow"/>
              </w:rPr>
              <w:br/>
            </w:r>
            <w:r w:rsidR="00636025" w:rsidRPr="00475018">
              <w:rPr>
                <w:rFonts w:ascii="Arial" w:hAnsi="Arial"/>
                <w:b w:val="0"/>
                <w:bCs/>
                <w:sz w:val="20"/>
                <w:highlight w:val="yellow"/>
              </w:rPr>
              <w:t>e</w:t>
            </w:r>
            <w:r w:rsidR="00E90ADF" w:rsidRPr="00475018">
              <w:rPr>
                <w:rFonts w:ascii="Arial" w:hAnsi="Arial"/>
                <w:b w:val="0"/>
                <w:bCs/>
                <w:sz w:val="20"/>
                <w:highlight w:val="yellow"/>
              </w:rPr>
              <w:t xml:space="preserve">rsetzt </w:t>
            </w:r>
            <w:r w:rsidRPr="00475018">
              <w:rPr>
                <w:rFonts w:ascii="Arial" w:hAnsi="Arial"/>
                <w:b w:val="0"/>
                <w:bCs/>
                <w:sz w:val="20"/>
                <w:highlight w:val="yellow"/>
              </w:rPr>
              <w:t>01.</w:t>
            </w:r>
            <w:r w:rsidR="00365B62" w:rsidRPr="00475018">
              <w:rPr>
                <w:rFonts w:ascii="Arial" w:hAnsi="Arial"/>
                <w:b w:val="0"/>
                <w:bCs/>
                <w:sz w:val="20"/>
                <w:highlight w:val="yellow"/>
              </w:rPr>
              <w:t>11.2015</w:t>
            </w:r>
          </w:p>
        </w:tc>
      </w:tr>
      <w:tr w:rsidR="002129A1" w:rsidRPr="008A69B9" w14:paraId="0A722DB9"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0A722DB8" w14:textId="77777777" w:rsidR="002129A1" w:rsidRPr="008A69B9" w:rsidRDefault="00E90ADF" w:rsidP="00BD4026">
            <w:pPr>
              <w:pStyle w:val="WeisungKopfteil"/>
              <w:framePr w:hSpace="0" w:wrap="auto" w:vAnchor="margin" w:hAnchor="text" w:xAlign="left" w:yAlign="inline"/>
              <w:rPr>
                <w:rFonts w:ascii="Arial" w:hAnsi="Arial"/>
              </w:rPr>
            </w:pPr>
            <w:bookmarkStart w:id="1" w:name="OLE_LINK1"/>
            <w:r w:rsidRPr="008A69B9">
              <w:rPr>
                <w:rFonts w:ascii="Arial" w:hAnsi="Arial"/>
              </w:rPr>
              <w:t>Zuständigkeit und Kostentragung in der wirtschaftlichen Sozialhilfe</w:t>
            </w:r>
            <w:bookmarkEnd w:id="1"/>
          </w:p>
        </w:tc>
      </w:tr>
    </w:tbl>
    <w:p w14:paraId="0A722DBA" w14:textId="77777777" w:rsidR="00E90ADF" w:rsidRPr="008A69B9" w:rsidRDefault="00E90ADF" w:rsidP="00BD4026">
      <w:pPr>
        <w:pStyle w:val="berschrift1"/>
        <w:rPr>
          <w:rFonts w:cs="Arial"/>
        </w:rPr>
      </w:pPr>
      <w:r w:rsidRPr="008A69B9">
        <w:rPr>
          <w:rFonts w:cs="Arial"/>
        </w:rPr>
        <w:t>Bestimmen des Unterstützungswohnsitzes nach ZUG und SHG</w:t>
      </w:r>
    </w:p>
    <w:p w14:paraId="0A722DBB" w14:textId="6E2E70CC" w:rsidR="00E90ADF" w:rsidRPr="008A69B9" w:rsidRDefault="00E90ADF" w:rsidP="00BD4026">
      <w:pPr>
        <w:pStyle w:val="Absatz0"/>
        <w:rPr>
          <w:bCs/>
        </w:rPr>
      </w:pPr>
      <w:r w:rsidRPr="008A69B9">
        <w:rPr>
          <w:bCs/>
        </w:rPr>
        <w:t>Der zivilrechtliche Wohnsitz ist beinahe deckungsgleich mit dem Unterstützungswohnsitz. Der Unterschied zwischen dem zivilrechtlichen Wohnsitz und dem Unterstützungswohnsitz besteht darin, dass eine Person den zivilrechtlichen Wohnsitz bis zum Erwerb eines neuen Wohnsitzes nicht verlieren kann. Den Unterstützungswohnsitz kann eine Person hingegen verlieren und ist dann eine „Person ohne festen Wohnsitz“. Eine Person ohne festen Wohn</w:t>
      </w:r>
      <w:r w:rsidR="00365B62">
        <w:rPr>
          <w:bCs/>
        </w:rPr>
        <w:t>-</w:t>
      </w:r>
      <w:r w:rsidRPr="008A69B9">
        <w:rPr>
          <w:bCs/>
        </w:rPr>
        <w:t>sitz kann aber in einer Gemeinde Aufenthalt begründen und die Gemeinde ist dann als Aufenthaltsgemeinde verpflichtet Hilfe zu leisten. Dieser Unterschied ist bei der Beurteilung der fürsorgerechtlichen Zuständigkeit von zentraler Bedeutung.</w:t>
      </w:r>
    </w:p>
    <w:p w14:paraId="0A722DBC" w14:textId="77777777" w:rsidR="00E90ADF" w:rsidRPr="008A69B9" w:rsidRDefault="00E90ADF" w:rsidP="00BD4026">
      <w:pPr>
        <w:pStyle w:val="Absatz0"/>
        <w:rPr>
          <w:bCs/>
        </w:rPr>
      </w:pPr>
    </w:p>
    <w:p w14:paraId="0A722DBD" w14:textId="496916EB" w:rsidR="008A1607" w:rsidRPr="008A69B9" w:rsidRDefault="008A1607" w:rsidP="000D4A58">
      <w:pPr>
        <w:pStyle w:val="Absatz0"/>
        <w:spacing w:after="120"/>
      </w:pPr>
      <w:r w:rsidRPr="008A69B9">
        <w:t xml:space="preserve">Der Unterstützungswohnsitz einer Person liegt dort, wo sie sich mit der </w:t>
      </w:r>
      <w:r w:rsidRPr="008A69B9">
        <w:rPr>
          <w:b/>
          <w:bCs/>
        </w:rPr>
        <w:t>Absicht des dauernden Verbleibens</w:t>
      </w:r>
      <w:r w:rsidRPr="008A69B9">
        <w:t xml:space="preserve"> aufhält (Art. 4 Abs. 1 ZUG). Dies setzt voraus, dass</w:t>
      </w:r>
      <w:r w:rsidR="00365B62">
        <w:t>:</w:t>
      </w:r>
    </w:p>
    <w:p w14:paraId="0A722DBE" w14:textId="77777777" w:rsidR="008A1607" w:rsidRPr="008A69B9" w:rsidRDefault="008A1607" w:rsidP="00BD4026">
      <w:pPr>
        <w:pStyle w:val="Absatz0"/>
        <w:numPr>
          <w:ilvl w:val="0"/>
          <w:numId w:val="10"/>
        </w:numPr>
      </w:pPr>
      <w:r w:rsidRPr="008A69B9">
        <w:t xml:space="preserve">sie sich dort tatsächlich niedergelassen und eingerichtet hat und damit über eine ordentliche Wohngelegenheit verfügt und </w:t>
      </w:r>
    </w:p>
    <w:p w14:paraId="0A722DBF" w14:textId="34BC58C3" w:rsidR="008A1607" w:rsidRPr="008A69B9" w:rsidRDefault="008A1607" w:rsidP="00BD4026">
      <w:pPr>
        <w:pStyle w:val="Absatz0"/>
        <w:numPr>
          <w:ilvl w:val="0"/>
          <w:numId w:val="10"/>
        </w:numPr>
      </w:pPr>
      <w:r w:rsidRPr="008A69B9">
        <w:t xml:space="preserve">sie die aus den gesamten Umständen </w:t>
      </w:r>
      <w:r w:rsidRPr="008A69B9">
        <w:rPr>
          <w:bCs/>
        </w:rPr>
        <w:t>erkennbare Absicht</w:t>
      </w:r>
      <w:r w:rsidRPr="008A69B9">
        <w:t xml:space="preserve"> hat, dort nicht nur vorüberge</w:t>
      </w:r>
      <w:r w:rsidR="00365B62">
        <w:t>-</w:t>
      </w:r>
      <w:r w:rsidRPr="008A69B9">
        <w:t>hend, sondern "dauerhaft", d.h. zumindest für längere Zeit zu bleiben.</w:t>
      </w:r>
    </w:p>
    <w:p w14:paraId="0A722DC0" w14:textId="77777777" w:rsidR="008A1607" w:rsidRPr="008A69B9" w:rsidRDefault="008A1607" w:rsidP="00BD4026">
      <w:pPr>
        <w:pStyle w:val="Absatz0"/>
        <w:ind w:left="480"/>
      </w:pPr>
    </w:p>
    <w:p w14:paraId="0A722DC1" w14:textId="5FA115BA" w:rsidR="008A1607" w:rsidRPr="008A69B9" w:rsidRDefault="008A1607" w:rsidP="00BD4026">
      <w:pPr>
        <w:pStyle w:val="Absatz0"/>
      </w:pPr>
      <w:r w:rsidRPr="008A69B9">
        <w:rPr>
          <w:b/>
        </w:rPr>
        <w:t>Ausnahmen:</w:t>
      </w:r>
      <w:r w:rsidRPr="008A69B9">
        <w:t xml:space="preserve"> Der Aufenthalt in einem </w:t>
      </w:r>
      <w:r w:rsidRPr="008A69B9">
        <w:rPr>
          <w:b/>
          <w:bCs/>
        </w:rPr>
        <w:t xml:space="preserve">Heim, Spital </w:t>
      </w:r>
      <w:r w:rsidRPr="008A69B9">
        <w:rPr>
          <w:bCs/>
        </w:rPr>
        <w:t>oder</w:t>
      </w:r>
      <w:r w:rsidRPr="008A69B9">
        <w:rPr>
          <w:b/>
          <w:bCs/>
        </w:rPr>
        <w:t xml:space="preserve"> </w:t>
      </w:r>
      <w:r w:rsidRPr="008A69B9">
        <w:rPr>
          <w:bCs/>
        </w:rPr>
        <w:t xml:space="preserve">einer </w:t>
      </w:r>
      <w:r w:rsidRPr="008A69B9">
        <w:rPr>
          <w:b/>
          <w:bCs/>
        </w:rPr>
        <w:t xml:space="preserve">anderen Anstalt </w:t>
      </w:r>
      <w:r w:rsidRPr="008A69B9">
        <w:t xml:space="preserve">sowie die </w:t>
      </w:r>
      <w:r w:rsidRPr="008A69B9">
        <w:rPr>
          <w:b/>
        </w:rPr>
        <w:t xml:space="preserve">behördlich oder vormundschaftlich angeordnete </w:t>
      </w:r>
      <w:r w:rsidRPr="008A69B9">
        <w:rPr>
          <w:b/>
          <w:bCs/>
        </w:rPr>
        <w:t>Unterbringung</w:t>
      </w:r>
      <w:r w:rsidRPr="008A69B9">
        <w:t xml:space="preserve"> von volljährigen Per</w:t>
      </w:r>
      <w:r w:rsidR="00365B62">
        <w:t>-</w:t>
      </w:r>
      <w:r w:rsidRPr="008A69B9">
        <w:t xml:space="preserve">sonen in Familienpflege begründen keinen Wohnsitz (Art. 5 ZUG). </w:t>
      </w:r>
    </w:p>
    <w:p w14:paraId="0A722DC2" w14:textId="77777777" w:rsidR="008A1607" w:rsidRPr="008A69B9" w:rsidRDefault="008A1607" w:rsidP="00BD4026">
      <w:pPr>
        <w:pStyle w:val="Absatz0"/>
        <w:rPr>
          <w:bCs/>
        </w:rPr>
      </w:pPr>
    </w:p>
    <w:p w14:paraId="0A722DC3" w14:textId="1282FDCD" w:rsidR="00E90ADF" w:rsidRPr="008A69B9" w:rsidRDefault="00E90ADF" w:rsidP="00BD4026">
      <w:pPr>
        <w:pStyle w:val="Absatz0"/>
      </w:pPr>
      <w:r w:rsidRPr="008A69B9">
        <w:t>Um den Weiterverrechnungscode zu bestimmen, muss zuerst geklärt werden, ob eine hilfe</w:t>
      </w:r>
      <w:r w:rsidR="00365B62">
        <w:t>-</w:t>
      </w:r>
      <w:r w:rsidRPr="008A69B9">
        <w:t xml:space="preserve">suchende Person in der Stadt Zürich bzw. im Kanton Zürich Unterstützungswohnsitz gemäss </w:t>
      </w:r>
      <w:r w:rsidR="007F112A" w:rsidRPr="008A69B9">
        <w:t xml:space="preserve">Sozialhilfe- oder Zuständigkeitsgesetz </w:t>
      </w:r>
      <w:r w:rsidRPr="008A69B9">
        <w:t>begründet.</w:t>
      </w:r>
      <w:r w:rsidR="007F112A" w:rsidRPr="008A69B9">
        <w:rPr>
          <w:rStyle w:val="Funotenzeichen"/>
        </w:rPr>
        <w:footnoteReference w:id="1"/>
      </w:r>
      <w:r w:rsidRPr="008A69B9">
        <w:t xml:space="preserve"> </w:t>
      </w:r>
    </w:p>
    <w:p w14:paraId="0A722DC4" w14:textId="77777777" w:rsidR="007F112A" w:rsidRPr="008A69B9" w:rsidRDefault="007F112A" w:rsidP="00BD4026">
      <w:pPr>
        <w:pStyle w:val="Absatz0"/>
      </w:pPr>
    </w:p>
    <w:p w14:paraId="0A722DC5" w14:textId="23D610C1" w:rsidR="007F112A" w:rsidRPr="008A69B9" w:rsidRDefault="00E90ADF" w:rsidP="000D4A58">
      <w:pPr>
        <w:pStyle w:val="Absatz0"/>
        <w:spacing w:after="120"/>
      </w:pPr>
      <w:r w:rsidRPr="008A69B9">
        <w:t>Die Kriterien für das Bestimmen des Weiterverrechnungscodes sind</w:t>
      </w:r>
      <w:r w:rsidR="00DE5B1D">
        <w:t>:</w:t>
      </w:r>
      <w:r w:rsidRPr="008A69B9">
        <w:t xml:space="preserve"> </w:t>
      </w:r>
    </w:p>
    <w:p w14:paraId="0A722DC6" w14:textId="73CF1E38" w:rsidR="007F112A" w:rsidRPr="00475018" w:rsidRDefault="00DE5B1D" w:rsidP="00BD4026">
      <w:pPr>
        <w:pStyle w:val="Absatz0"/>
        <w:numPr>
          <w:ilvl w:val="0"/>
          <w:numId w:val="9"/>
        </w:numPr>
        <w:rPr>
          <w:highlight w:val="yellow"/>
        </w:rPr>
      </w:pPr>
      <w:r w:rsidRPr="00475018">
        <w:rPr>
          <w:highlight w:val="yellow"/>
        </w:rPr>
        <w:t xml:space="preserve">CH-BürgerIn oder AusländerIn </w:t>
      </w:r>
    </w:p>
    <w:p w14:paraId="0A722DC7" w14:textId="28D7A17C" w:rsidR="007F112A" w:rsidRPr="008A69B9" w:rsidRDefault="00E90ADF" w:rsidP="00BD4026">
      <w:pPr>
        <w:pStyle w:val="Absatz0"/>
        <w:numPr>
          <w:ilvl w:val="0"/>
          <w:numId w:val="9"/>
        </w:numPr>
      </w:pPr>
      <w:r w:rsidRPr="008A69B9">
        <w:t>Aufenthaltsdauer</w:t>
      </w:r>
      <w:r w:rsidR="00DE5B1D">
        <w:t xml:space="preserve"> </w:t>
      </w:r>
      <w:r w:rsidR="00DE5B1D" w:rsidRPr="00475018">
        <w:rPr>
          <w:highlight w:val="yellow"/>
        </w:rPr>
        <w:t>im Kanton Zürich</w:t>
      </w:r>
    </w:p>
    <w:p w14:paraId="0A722DC9" w14:textId="6BC73B68" w:rsidR="00E90ADF" w:rsidRPr="00475018" w:rsidRDefault="00E90ADF" w:rsidP="00BD4026">
      <w:pPr>
        <w:pStyle w:val="Absatz0"/>
        <w:numPr>
          <w:ilvl w:val="0"/>
          <w:numId w:val="9"/>
        </w:numPr>
        <w:rPr>
          <w:highlight w:val="yellow"/>
        </w:rPr>
      </w:pPr>
      <w:r w:rsidRPr="00475018">
        <w:rPr>
          <w:highlight w:val="yellow"/>
        </w:rPr>
        <w:t xml:space="preserve">Zuzug in den </w:t>
      </w:r>
      <w:r w:rsidR="00DE5B1D" w:rsidRPr="00475018">
        <w:rPr>
          <w:highlight w:val="yellow"/>
        </w:rPr>
        <w:t xml:space="preserve">bzw. Datum der Wohnsitzbegründung im </w:t>
      </w:r>
      <w:r w:rsidRPr="00475018">
        <w:rPr>
          <w:highlight w:val="yellow"/>
        </w:rPr>
        <w:t xml:space="preserve">Kanton Zürich </w:t>
      </w:r>
    </w:p>
    <w:p w14:paraId="0A722DCA" w14:textId="77777777" w:rsidR="00E90ADF" w:rsidRPr="008A69B9" w:rsidRDefault="00E90ADF" w:rsidP="00BD4026">
      <w:pPr>
        <w:pStyle w:val="berschrift2"/>
        <w:rPr>
          <w:rFonts w:cs="Arial"/>
        </w:rPr>
      </w:pPr>
      <w:r w:rsidRPr="008A69B9">
        <w:rPr>
          <w:rFonts w:cs="Arial"/>
        </w:rPr>
        <w:t>Unmündige Kinder</w:t>
      </w:r>
    </w:p>
    <w:p w14:paraId="2B90D5D6" w14:textId="77777777" w:rsidR="00DE5B1D" w:rsidRDefault="00E52D82" w:rsidP="00BD4026">
      <w:pPr>
        <w:pStyle w:val="Absatz0"/>
      </w:pPr>
      <w:r w:rsidRPr="008A69B9">
        <w:t>Für</w:t>
      </w:r>
      <w:r w:rsidR="00E90ADF" w:rsidRPr="008A69B9">
        <w:t xml:space="preserve"> </w:t>
      </w:r>
      <w:r w:rsidR="00E90ADF" w:rsidRPr="008A69B9">
        <w:rPr>
          <w:bCs/>
        </w:rPr>
        <w:t>unmündige Kinder</w:t>
      </w:r>
      <w:r w:rsidR="00E90ADF" w:rsidRPr="008A69B9">
        <w:t xml:space="preserve"> </w:t>
      </w:r>
      <w:r w:rsidRPr="008A69B9">
        <w:t xml:space="preserve">existieren </w:t>
      </w:r>
      <w:r w:rsidR="00E90ADF" w:rsidRPr="008A69B9">
        <w:t xml:space="preserve">Sonderbestimmungen (Art. 7 ZUG und § 37 SHG). </w:t>
      </w:r>
    </w:p>
    <w:p w14:paraId="34478F2F" w14:textId="77777777" w:rsidR="009B35DE" w:rsidRDefault="009B35DE" w:rsidP="00BD4026">
      <w:pPr>
        <w:pStyle w:val="Absatz0"/>
      </w:pPr>
    </w:p>
    <w:p w14:paraId="0A722DCB" w14:textId="553F08BB" w:rsidR="00E90ADF" w:rsidRPr="008A69B9" w:rsidRDefault="00E90ADF" w:rsidP="00BD4026">
      <w:pPr>
        <w:pStyle w:val="Absatz0"/>
      </w:pPr>
      <w:r w:rsidRPr="008A69B9">
        <w:t>Das unmündige Kind übernimmt grundsätzlich die Aufenthaltsdauer des Inhabers bzw. der Inhaberin der elterlichen Sorge mit gleicher Nationalität</w:t>
      </w:r>
      <w:r w:rsidR="00DE5B1D">
        <w:t xml:space="preserve">, </w:t>
      </w:r>
      <w:r w:rsidR="00DE5B1D" w:rsidRPr="00475018">
        <w:rPr>
          <w:highlight w:val="yellow"/>
        </w:rPr>
        <w:t>sofern es den gleichen Wohnsitz hat/hatte.</w:t>
      </w:r>
      <w:r w:rsidRPr="008A69B9">
        <w:t xml:space="preserve"> </w:t>
      </w:r>
    </w:p>
    <w:p w14:paraId="0A722DCC" w14:textId="2DD6B546" w:rsidR="00E90ADF" w:rsidRDefault="00DE5B1D" w:rsidP="00BD4026">
      <w:pPr>
        <w:pStyle w:val="Absatz0"/>
      </w:pPr>
      <w:r w:rsidRPr="00475018">
        <w:rPr>
          <w:highlight w:val="yellow"/>
        </w:rPr>
        <w:t>Obliegt die elterliche Sorge beiden Eltern (beide Eltern CH-Bürger / beide Eltern Ausländer), übernimmt das Kind das längere Zuzugsdatum.</w:t>
      </w:r>
      <w:r>
        <w:t xml:space="preserve"> </w:t>
      </w:r>
    </w:p>
    <w:p w14:paraId="384CDCA2" w14:textId="77777777" w:rsidR="009B35DE" w:rsidRDefault="009B35DE" w:rsidP="00BD4026">
      <w:pPr>
        <w:pStyle w:val="Absatz0"/>
      </w:pPr>
    </w:p>
    <w:p w14:paraId="20F50E61" w14:textId="7B0380D9" w:rsidR="00DE5B1D" w:rsidRDefault="00DE5B1D" w:rsidP="00BD4026">
      <w:pPr>
        <w:pStyle w:val="Absatz0"/>
      </w:pPr>
      <w:r w:rsidRPr="00475018">
        <w:rPr>
          <w:highlight w:val="yellow"/>
        </w:rPr>
        <w:t>Kinder begründen am Aufenthaltsort einen eigenen Unterstützungswohnsitz, auch wenn die Eltern keinen Unterstützungswohnsitz</w:t>
      </w:r>
      <w:r w:rsidR="00384FBB" w:rsidRPr="00475018">
        <w:rPr>
          <w:highlight w:val="yellow"/>
        </w:rPr>
        <w:t xml:space="preserve"> begründen (nur Aufenthalt haben).</w:t>
      </w:r>
      <w:r w:rsidR="00384FBB">
        <w:t xml:space="preserve"> </w:t>
      </w:r>
    </w:p>
    <w:p w14:paraId="64E8DACB" w14:textId="77777777" w:rsidR="00384FBB" w:rsidRPr="008A69B9" w:rsidRDefault="00384FBB" w:rsidP="00BD4026">
      <w:pPr>
        <w:pStyle w:val="Absatz0"/>
      </w:pPr>
    </w:p>
    <w:p w14:paraId="0A722DCD" w14:textId="78C51122" w:rsidR="00E90ADF" w:rsidRPr="008A69B9" w:rsidRDefault="00E52D82" w:rsidP="00BD4026">
      <w:pPr>
        <w:pStyle w:val="Absatz0"/>
      </w:pPr>
      <w:r w:rsidRPr="008A69B9">
        <w:t xml:space="preserve">Zusätzlich ist bei </w:t>
      </w:r>
      <w:r w:rsidR="00E90ADF" w:rsidRPr="008A69B9">
        <w:t xml:space="preserve">fremdplatzierten unmündigen Kindern zwischen einem </w:t>
      </w:r>
      <w:r w:rsidR="00E90ADF" w:rsidRPr="000D4A58">
        <w:t>vorübergehenden</w:t>
      </w:r>
      <w:r w:rsidR="00E90ADF" w:rsidRPr="008A69B9">
        <w:t xml:space="preserve"> bzw. </w:t>
      </w:r>
      <w:r w:rsidR="00E90ADF" w:rsidRPr="000D4A58">
        <w:t>befristeten</w:t>
      </w:r>
      <w:r w:rsidR="00E90ADF" w:rsidRPr="00384FBB">
        <w:t xml:space="preserve"> </w:t>
      </w:r>
      <w:r w:rsidR="00E90ADF" w:rsidRPr="000D4A58">
        <w:t>Fremdaufenthalt</w:t>
      </w:r>
      <w:r w:rsidR="00E90ADF" w:rsidRPr="008A69B9">
        <w:t xml:space="preserve"> und einer dauernden Fr</w:t>
      </w:r>
      <w:r w:rsidRPr="008A69B9">
        <w:t xml:space="preserve">emdplatzierung zu unterscheiden. </w:t>
      </w:r>
    </w:p>
    <w:p w14:paraId="0A722DD1" w14:textId="77777777" w:rsidR="00E90ADF" w:rsidRPr="008A69B9" w:rsidRDefault="00E90ADF" w:rsidP="00BD4026">
      <w:pPr>
        <w:pStyle w:val="berschrift2"/>
        <w:rPr>
          <w:rFonts w:cs="Arial"/>
        </w:rPr>
      </w:pPr>
      <w:r w:rsidRPr="008A69B9">
        <w:rPr>
          <w:rFonts w:cs="Arial"/>
        </w:rPr>
        <w:t>Ehegatten / eingetragene Partnerinnen und Partner</w:t>
      </w:r>
    </w:p>
    <w:p w14:paraId="0A722DD2" w14:textId="19F23A79" w:rsidR="00E90ADF" w:rsidRPr="008A69B9" w:rsidRDefault="00E90ADF" w:rsidP="00BD4026">
      <w:pPr>
        <w:pStyle w:val="Absatz0"/>
      </w:pPr>
      <w:r w:rsidRPr="008A69B9">
        <w:t xml:space="preserve">Ist die Wohnsitzdauer zusammenlebender Ehegatten oder eingetragener Partnerinnen und Partnern </w:t>
      </w:r>
      <w:r w:rsidR="00384FBB" w:rsidRPr="00475018">
        <w:rPr>
          <w:highlight w:val="yellow"/>
        </w:rPr>
        <w:t>(beide Schweizer oder beide Ausländer)</w:t>
      </w:r>
      <w:r w:rsidR="00384FBB">
        <w:t xml:space="preserve"> </w:t>
      </w:r>
      <w:r w:rsidRPr="008A69B9">
        <w:t>unterschiedlich, so ist stets die längere massgebend. Lösen sie den gemeinsamen Haushalt auf, so wird ihnen die bisherige Wohn</w:t>
      </w:r>
      <w:r w:rsidR="00384FBB">
        <w:t>-</w:t>
      </w:r>
      <w:r w:rsidRPr="008A69B9">
        <w:t xml:space="preserve">sitzdauer angerechnet, sofern sie den Wohnkanton nicht verlassen (§ 36 Abs. 2 SHG). </w:t>
      </w:r>
    </w:p>
    <w:p w14:paraId="0A722DD3" w14:textId="77777777" w:rsidR="00E90ADF" w:rsidRPr="008A69B9" w:rsidRDefault="00E90ADF" w:rsidP="00BD4026">
      <w:pPr>
        <w:pStyle w:val="Absatz0"/>
      </w:pPr>
    </w:p>
    <w:p w14:paraId="0A722DD4" w14:textId="77777777" w:rsidR="00E90ADF" w:rsidRPr="008A69B9" w:rsidRDefault="00E90ADF" w:rsidP="00BD4026">
      <w:pPr>
        <w:pStyle w:val="berschrift1"/>
        <w:rPr>
          <w:rFonts w:cs="Arial"/>
        </w:rPr>
      </w:pPr>
      <w:r w:rsidRPr="008A69B9">
        <w:rPr>
          <w:rFonts w:cs="Arial"/>
        </w:rPr>
        <w:t>Kostentragung (Weiterverrechnung)</w:t>
      </w:r>
    </w:p>
    <w:p w14:paraId="0A722DD5" w14:textId="5AAD7960" w:rsidR="00E90ADF" w:rsidRPr="008A69B9" w:rsidRDefault="00E90ADF" w:rsidP="00BD4026">
      <w:pPr>
        <w:pStyle w:val="Absatz0"/>
      </w:pPr>
      <w:r w:rsidRPr="008A69B9">
        <w:t xml:space="preserve">Die Kostenersatzpflicht des Wohnkantones wird im ZUG, die Kostenersatzpflicht des Kantons </w:t>
      </w:r>
      <w:r w:rsidR="00384FBB" w:rsidRPr="000D4A58">
        <w:rPr>
          <w:highlight w:val="yellow"/>
        </w:rPr>
        <w:t>Zürich</w:t>
      </w:r>
      <w:r w:rsidR="00384FBB">
        <w:t xml:space="preserve"> </w:t>
      </w:r>
      <w:r w:rsidRPr="008A69B9">
        <w:t>im SHG geregelt.</w:t>
      </w:r>
    </w:p>
    <w:p w14:paraId="0A722DD6" w14:textId="4C163097" w:rsidR="00E90ADF" w:rsidRPr="008A69B9" w:rsidRDefault="00E90ADF" w:rsidP="00BD4026">
      <w:pPr>
        <w:pStyle w:val="berschrift2"/>
        <w:rPr>
          <w:rFonts w:cs="Arial"/>
        </w:rPr>
      </w:pPr>
      <w:r w:rsidRPr="008A69B9">
        <w:rPr>
          <w:rFonts w:cs="Arial"/>
        </w:rPr>
        <w:t>Kostenersatzpflicht des Wohnkantons nach ZUG</w:t>
      </w:r>
      <w:r w:rsidR="007D38DD" w:rsidRPr="008A69B9">
        <w:rPr>
          <w:rFonts w:cs="Arial"/>
        </w:rPr>
        <w:t xml:space="preserve"> (Personen ohne festen Wohnsitz)</w:t>
      </w:r>
    </w:p>
    <w:p w14:paraId="0A722DD7" w14:textId="2C942CCE" w:rsidR="00E90ADF" w:rsidRPr="008A69B9" w:rsidRDefault="00384FBB" w:rsidP="00BD4026">
      <w:pPr>
        <w:pStyle w:val="Absatz0"/>
      </w:pPr>
      <w:r w:rsidRPr="000D4A58">
        <w:rPr>
          <w:highlight w:val="yellow"/>
        </w:rPr>
        <w:t>Der Wohnkanton vergütet dem Aufenthaltskanton, der einen Bedürftigen im Notfall unter</w:t>
      </w:r>
      <w:r w:rsidR="004B1962" w:rsidRPr="000D4A58">
        <w:rPr>
          <w:highlight w:val="yellow"/>
        </w:rPr>
        <w:t>-</w:t>
      </w:r>
      <w:r w:rsidRPr="000D4A58">
        <w:rPr>
          <w:highlight w:val="yellow"/>
        </w:rPr>
        <w:t xml:space="preserve">stützt, die Kosten der notwendigen und der in seinem Auftrag ausgerichteten weiteren Unterstützung sowie die Kosten der Rückkehr des Unterstützten an den Wohnort </w:t>
      </w:r>
      <w:r w:rsidR="004B1962" w:rsidRPr="000D4A58">
        <w:rPr>
          <w:highlight w:val="yellow"/>
        </w:rPr>
        <w:t>(Art. 14 ZUG).</w:t>
      </w:r>
      <w:r w:rsidR="004B1962">
        <w:t xml:space="preserve"> </w:t>
      </w:r>
    </w:p>
    <w:p w14:paraId="0A722DE2" w14:textId="252C7B77" w:rsidR="00E90ADF" w:rsidRPr="008A69B9" w:rsidRDefault="00E90ADF" w:rsidP="00BD4026">
      <w:pPr>
        <w:pStyle w:val="berschrift2"/>
        <w:rPr>
          <w:rFonts w:cs="Arial"/>
        </w:rPr>
      </w:pPr>
      <w:r w:rsidRPr="008A69B9">
        <w:rPr>
          <w:rFonts w:cs="Arial"/>
        </w:rPr>
        <w:t>Kostenersatzpflicht des Kantons nach SHG</w:t>
      </w:r>
      <w:r w:rsidR="007D38DD" w:rsidRPr="008A69B9">
        <w:rPr>
          <w:rFonts w:cs="Arial"/>
        </w:rPr>
        <w:t xml:space="preserve"> </w:t>
      </w:r>
    </w:p>
    <w:p w14:paraId="3B1486FD" w14:textId="24561329" w:rsidR="004B1962" w:rsidRDefault="00E90ADF" w:rsidP="00BD4026">
      <w:pPr>
        <w:pStyle w:val="Absatz0"/>
      </w:pPr>
      <w:r w:rsidRPr="008A69B9">
        <w:t xml:space="preserve">Bei ausländischen Staatsangehörigen können die Kosten ab Zuzug in den Kanton Zürich </w:t>
      </w:r>
      <w:r w:rsidR="004B1962" w:rsidRPr="00475018">
        <w:rPr>
          <w:highlight w:val="yellow"/>
        </w:rPr>
        <w:t>an den Kanton Zürich</w:t>
      </w:r>
      <w:r w:rsidR="004B1962">
        <w:t xml:space="preserve"> </w:t>
      </w:r>
      <w:r w:rsidRPr="008A69B9">
        <w:t>weiterverrechnet werden, wenn sie noch nicht zehn Jahre ununterbro</w:t>
      </w:r>
      <w:r w:rsidR="004B1962">
        <w:t>-</w:t>
      </w:r>
      <w:r w:rsidRPr="008A69B9">
        <w:t>chen Wohnsitz im Kanton haben</w:t>
      </w:r>
      <w:r w:rsidR="004B1962">
        <w:t xml:space="preserve"> </w:t>
      </w:r>
      <w:r w:rsidR="00A57B76" w:rsidRPr="00475018">
        <w:rPr>
          <w:highlight w:val="yellow"/>
        </w:rPr>
        <w:t>(</w:t>
      </w:r>
      <w:r w:rsidR="004B1962" w:rsidRPr="00475018">
        <w:rPr>
          <w:highlight w:val="yellow"/>
        </w:rPr>
        <w:t>§ 44 Abs. 1 SHG)</w:t>
      </w:r>
      <w:r w:rsidR="00A57B76" w:rsidRPr="00475018">
        <w:rPr>
          <w:highlight w:val="yellow"/>
        </w:rPr>
        <w:t>.</w:t>
      </w:r>
    </w:p>
    <w:p w14:paraId="0686E7BB" w14:textId="77777777" w:rsidR="004B1962" w:rsidRDefault="004B1962" w:rsidP="00BD4026">
      <w:pPr>
        <w:pStyle w:val="Absatz0"/>
      </w:pPr>
    </w:p>
    <w:p w14:paraId="17A2ECFF" w14:textId="0949D3CE" w:rsidR="004B1962" w:rsidRDefault="004B1962" w:rsidP="00BD4026">
      <w:pPr>
        <w:pStyle w:val="Absatz0"/>
      </w:pPr>
      <w:r w:rsidRPr="00475018">
        <w:rPr>
          <w:highlight w:val="yellow"/>
        </w:rPr>
        <w:t>Der Kanton ersetzt der Aufenthaltsgemeinde die Kosten der von ihr geleisteten wirtschaft-lichen Hilfe, soweit nicht die Wohngemeinde erstatzpflichtig ist oder eine Ersatzpflicht nach Bundesrecht besteht (§</w:t>
      </w:r>
      <w:r w:rsidR="009B35DE" w:rsidRPr="00475018">
        <w:rPr>
          <w:highlight w:val="yellow"/>
        </w:rPr>
        <w:t xml:space="preserve"> </w:t>
      </w:r>
      <w:r w:rsidRPr="00475018">
        <w:rPr>
          <w:highlight w:val="yellow"/>
        </w:rPr>
        <w:t>44 Abs. 2 SHG)</w:t>
      </w:r>
      <w:r w:rsidR="00475018" w:rsidRPr="00475018">
        <w:rPr>
          <w:highlight w:val="yellow"/>
        </w:rPr>
        <w:t>.</w:t>
      </w:r>
    </w:p>
    <w:p w14:paraId="7A6FF5CB" w14:textId="77777777" w:rsidR="004B1962" w:rsidRDefault="004B1962" w:rsidP="00BD4026">
      <w:pPr>
        <w:pStyle w:val="Absatz0"/>
      </w:pPr>
    </w:p>
    <w:p w14:paraId="0A722DE3" w14:textId="704F38A2" w:rsidR="00E90ADF" w:rsidRPr="008A69B9" w:rsidRDefault="004B1962" w:rsidP="00BD4026">
      <w:pPr>
        <w:pStyle w:val="Absatz0"/>
      </w:pPr>
      <w:r w:rsidRPr="00475018">
        <w:rPr>
          <w:highlight w:val="yellow"/>
        </w:rPr>
        <w:t>Der Kanton übernimmt die Kosten der ausserhalb des Kantonsgebiets geleisteten wirtschaft-lichen Hilfe an Hilfeempfänger ohne züricherischen Wohnsitz, soweit den Kanton bundesrechtlich eine</w:t>
      </w:r>
      <w:r w:rsidR="009B35DE" w:rsidRPr="00475018">
        <w:rPr>
          <w:highlight w:val="yellow"/>
        </w:rPr>
        <w:t xml:space="preserve"> Ersatzpflicht trifft (§ 44 Abs. 3 SHG).</w:t>
      </w:r>
      <w:r w:rsidR="009B35DE">
        <w:t xml:space="preserve"> </w:t>
      </w:r>
    </w:p>
    <w:p w14:paraId="0A722DE9" w14:textId="77777777" w:rsidR="009027DB" w:rsidRPr="008A69B9" w:rsidRDefault="009027DB" w:rsidP="00BD4026">
      <w:pPr>
        <w:pStyle w:val="Absatz0"/>
      </w:pPr>
    </w:p>
    <w:p w14:paraId="0A722DEA" w14:textId="77777777" w:rsidR="009027DB" w:rsidRPr="008A69B9" w:rsidRDefault="009027DB" w:rsidP="00BD4026">
      <w:pPr>
        <w:pStyle w:val="Absatz0"/>
      </w:pPr>
    </w:p>
    <w:p w14:paraId="0A722DF0" w14:textId="77777777" w:rsidR="00E90ADF" w:rsidRPr="008A69B9" w:rsidRDefault="00E90ADF" w:rsidP="00BD4026">
      <w:pPr>
        <w:pStyle w:val="Absatz0"/>
      </w:pPr>
    </w:p>
    <w:sectPr w:rsidR="00E90ADF" w:rsidRPr="008A69B9" w:rsidSect="003E5FC8">
      <w:headerReference w:type="default" r:id="rId13"/>
      <w:footerReference w:type="default" r:id="rId14"/>
      <w:headerReference w:type="first" r:id="rId15"/>
      <w:footerReference w:type="first" r:id="rId16"/>
      <w:pgSz w:w="11906" w:h="16838" w:code="9"/>
      <w:pgMar w:top="1985" w:right="1134"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22DF3" w14:textId="77777777" w:rsidR="004800CF" w:rsidRDefault="004800CF">
      <w:r>
        <w:separator/>
      </w:r>
    </w:p>
  </w:endnote>
  <w:endnote w:type="continuationSeparator" w:id="0">
    <w:p w14:paraId="0A722DF4" w14:textId="77777777" w:rsidR="004800CF" w:rsidRDefault="00480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6257C9" w14:paraId="0A722E00" w14:textId="77777777">
      <w:trPr>
        <w:trHeight w:val="284"/>
      </w:trPr>
      <w:tc>
        <w:tcPr>
          <w:tcW w:w="5063" w:type="dxa"/>
        </w:tcPr>
        <w:p w14:paraId="0A722DFD" w14:textId="4EA19BD0" w:rsidR="006257C9" w:rsidRDefault="006257C9">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sidR="00636025">
            <w:rPr>
              <w:noProof/>
              <w:sz w:val="17"/>
            </w:rPr>
            <w:t>PRA_Kostentragung_WSH.docx</w:t>
          </w:r>
          <w:r>
            <w:rPr>
              <w:sz w:val="17"/>
            </w:rPr>
            <w:fldChar w:fldCharType="end"/>
          </w:r>
        </w:p>
      </w:tc>
      <w:tc>
        <w:tcPr>
          <w:tcW w:w="1430" w:type="dxa"/>
        </w:tcPr>
        <w:p w14:paraId="0A722DFE" w14:textId="77777777" w:rsidR="006257C9" w:rsidRDefault="006257C9">
          <w:pPr>
            <w:pStyle w:val="Fuzeile"/>
            <w:tabs>
              <w:tab w:val="clear" w:pos="4536"/>
              <w:tab w:val="clear" w:pos="9072"/>
              <w:tab w:val="right" w:pos="8504"/>
            </w:tabs>
            <w:jc w:val="center"/>
            <w:rPr>
              <w:sz w:val="17"/>
            </w:rPr>
          </w:pPr>
        </w:p>
      </w:tc>
      <w:tc>
        <w:tcPr>
          <w:tcW w:w="2640" w:type="dxa"/>
        </w:tcPr>
        <w:p w14:paraId="0A722DFF" w14:textId="77777777" w:rsidR="006257C9" w:rsidRDefault="006257C9">
          <w:pPr>
            <w:pStyle w:val="Fuzeile"/>
            <w:tabs>
              <w:tab w:val="clear" w:pos="4536"/>
              <w:tab w:val="clear" w:pos="9072"/>
              <w:tab w:val="right" w:pos="8504"/>
            </w:tabs>
            <w:jc w:val="center"/>
            <w:rPr>
              <w:sz w:val="17"/>
              <w:lang w:val="de-DE"/>
            </w:rPr>
          </w:pPr>
        </w:p>
      </w:tc>
    </w:tr>
  </w:tbl>
  <w:p w14:paraId="0A722E01" w14:textId="77777777" w:rsidR="006257C9" w:rsidRDefault="006257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6257C9" w14:paraId="0A722E0C" w14:textId="77777777">
      <w:trPr>
        <w:trHeight w:val="284"/>
      </w:trPr>
      <w:tc>
        <w:tcPr>
          <w:tcW w:w="5063" w:type="dxa"/>
        </w:tcPr>
        <w:p w14:paraId="0A722E09" w14:textId="368B29AC" w:rsidR="006257C9" w:rsidRDefault="006257C9">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sidR="00636025">
            <w:rPr>
              <w:noProof/>
              <w:sz w:val="17"/>
            </w:rPr>
            <w:t>PRA_Kostentragung_WSH.docx</w:t>
          </w:r>
          <w:r>
            <w:rPr>
              <w:sz w:val="17"/>
            </w:rPr>
            <w:fldChar w:fldCharType="end"/>
          </w:r>
        </w:p>
      </w:tc>
      <w:tc>
        <w:tcPr>
          <w:tcW w:w="1430" w:type="dxa"/>
        </w:tcPr>
        <w:p w14:paraId="0A722E0A" w14:textId="1E4629D0" w:rsidR="006257C9" w:rsidRDefault="00636025">
          <w:pPr>
            <w:pStyle w:val="Fuzeile"/>
            <w:tabs>
              <w:tab w:val="clear" w:pos="4536"/>
              <w:tab w:val="clear" w:pos="9072"/>
              <w:tab w:val="right" w:pos="8504"/>
            </w:tabs>
            <w:jc w:val="center"/>
            <w:rPr>
              <w:sz w:val="17"/>
            </w:rPr>
          </w:pPr>
          <w:r>
            <w:rPr>
              <w:sz w:val="17"/>
            </w:rPr>
            <w:t>Version 1.</w:t>
          </w:r>
          <w:r w:rsidR="002779DA">
            <w:rPr>
              <w:sz w:val="17"/>
            </w:rPr>
            <w:t>3</w:t>
          </w:r>
        </w:p>
      </w:tc>
      <w:tc>
        <w:tcPr>
          <w:tcW w:w="2640" w:type="dxa"/>
        </w:tcPr>
        <w:p w14:paraId="0A722E0B" w14:textId="0916C052" w:rsidR="006257C9" w:rsidRDefault="00636025" w:rsidP="00636025">
          <w:pPr>
            <w:pStyle w:val="Fuzeile"/>
            <w:tabs>
              <w:tab w:val="clear" w:pos="4536"/>
              <w:tab w:val="clear" w:pos="9072"/>
              <w:tab w:val="right" w:pos="8504"/>
            </w:tabs>
            <w:jc w:val="right"/>
            <w:rPr>
              <w:sz w:val="17"/>
              <w:lang w:val="de-DE"/>
            </w:rPr>
          </w:pPr>
          <w:r>
            <w:rPr>
              <w:sz w:val="17"/>
              <w:lang w:val="de-DE"/>
            </w:rPr>
            <w:t>VerfasserIn:FS WH</w:t>
          </w:r>
        </w:p>
      </w:tc>
    </w:tr>
    <w:tr w:rsidR="00CE1F83" w14:paraId="60E15CCA" w14:textId="77777777" w:rsidTr="00D45927">
      <w:trPr>
        <w:trHeight w:val="284"/>
      </w:trPr>
      <w:tc>
        <w:tcPr>
          <w:tcW w:w="9133" w:type="dxa"/>
          <w:gridSpan w:val="3"/>
        </w:tcPr>
        <w:p w14:paraId="3BE525A1" w14:textId="6774BB09" w:rsidR="00CE1F83" w:rsidRDefault="00CE1F83" w:rsidP="00CE1F83">
          <w:pPr>
            <w:pStyle w:val="Fuzeile"/>
            <w:tabs>
              <w:tab w:val="clear" w:pos="4536"/>
              <w:tab w:val="clear" w:pos="9072"/>
              <w:tab w:val="right" w:pos="8504"/>
            </w:tabs>
            <w:rPr>
              <w:sz w:val="17"/>
              <w:lang w:val="de-DE"/>
            </w:rPr>
          </w:pPr>
          <w:r>
            <w:rPr>
              <w:sz w:val="17"/>
              <w:lang w:val="de-DE"/>
            </w:rPr>
            <w:t>© Das Copyright liegt bei den Sozialen Diensten. Eine Weiterverwendung ist nur mit dem Zusatz «Soziale Dienste Stadt Zürich» erlaubt.</w:t>
          </w:r>
        </w:p>
      </w:tc>
    </w:tr>
  </w:tbl>
  <w:p w14:paraId="0A722E0D" w14:textId="77777777" w:rsidR="006257C9" w:rsidRDefault="006257C9"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22DF1" w14:textId="77777777" w:rsidR="004800CF" w:rsidRDefault="004800CF">
      <w:r>
        <w:separator/>
      </w:r>
    </w:p>
  </w:footnote>
  <w:footnote w:type="continuationSeparator" w:id="0">
    <w:p w14:paraId="0A722DF2" w14:textId="77777777" w:rsidR="004800CF" w:rsidRDefault="004800CF">
      <w:r>
        <w:continuationSeparator/>
      </w:r>
    </w:p>
  </w:footnote>
  <w:footnote w:id="1">
    <w:p w14:paraId="0A722E12" w14:textId="77777777" w:rsidR="006257C9" w:rsidRDefault="006257C9">
      <w:pPr>
        <w:pStyle w:val="Funotentext"/>
      </w:pPr>
      <w:r>
        <w:rPr>
          <w:rStyle w:val="Funotenzeichen"/>
        </w:rPr>
        <w:footnoteRef/>
      </w:r>
      <w:r>
        <w:t xml:space="preserve"> </w:t>
      </w:r>
      <w:r w:rsidRPr="00E90ADF">
        <w:t>§ 34 Abs. 1 SHG bzw. Art. 4 Abs. 1 ZUG oder bloss Aufenthalt im Sinne von § 33 und § 35 SHG bzw. Art. 5 ZUG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6257C9" w14:paraId="0A722DF8" w14:textId="77777777">
      <w:tc>
        <w:tcPr>
          <w:tcW w:w="7257" w:type="dxa"/>
          <w:gridSpan w:val="2"/>
        </w:tcPr>
        <w:p w14:paraId="0A722DF5" w14:textId="77777777" w:rsidR="006257C9" w:rsidRDefault="00067508">
          <w:pPr>
            <w:pStyle w:val="Kopfzeile"/>
            <w:tabs>
              <w:tab w:val="clear" w:pos="4536"/>
              <w:tab w:val="clear" w:pos="9072"/>
            </w:tabs>
            <w:rPr>
              <w:szCs w:val="22"/>
            </w:rPr>
          </w:pPr>
          <w:r>
            <w:rPr>
              <w:noProof/>
              <w:szCs w:val="22"/>
              <w:lang w:eastAsia="de-CH"/>
            </w:rPr>
            <w:drawing>
              <wp:inline distT="0" distB="0" distL="0" distR="0" wp14:anchorId="0A722E0E" wp14:editId="0A722E0F">
                <wp:extent cx="1352550" cy="276225"/>
                <wp:effectExtent l="0" t="0" r="0" b="9525"/>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0A722DF6" w14:textId="77777777" w:rsidR="006257C9" w:rsidRDefault="006257C9">
          <w:pPr>
            <w:pStyle w:val="Kopfzeile"/>
            <w:tabs>
              <w:tab w:val="clear" w:pos="4536"/>
              <w:tab w:val="clear" w:pos="9072"/>
            </w:tabs>
            <w:rPr>
              <w:szCs w:val="22"/>
            </w:rPr>
          </w:pPr>
        </w:p>
      </w:tc>
      <w:tc>
        <w:tcPr>
          <w:tcW w:w="2495" w:type="dxa"/>
        </w:tcPr>
        <w:p w14:paraId="0A722DF7" w14:textId="77777777" w:rsidR="006257C9" w:rsidRDefault="006257C9">
          <w:pPr>
            <w:pStyle w:val="Kopfzeile"/>
            <w:tabs>
              <w:tab w:val="clear" w:pos="4536"/>
              <w:tab w:val="clear" w:pos="9072"/>
            </w:tabs>
            <w:rPr>
              <w:sz w:val="17"/>
              <w:szCs w:val="17"/>
            </w:rPr>
          </w:pPr>
        </w:p>
      </w:tc>
    </w:tr>
    <w:tr w:rsidR="006257C9" w14:paraId="0A722DFB" w14:textId="77777777">
      <w:trPr>
        <w:trHeight w:val="210"/>
      </w:trPr>
      <w:tc>
        <w:tcPr>
          <w:tcW w:w="680" w:type="dxa"/>
        </w:tcPr>
        <w:p w14:paraId="0A722DF9" w14:textId="77777777" w:rsidR="006257C9" w:rsidRDefault="006257C9">
          <w:pPr>
            <w:pStyle w:val="Kopfzeile"/>
          </w:pPr>
        </w:p>
      </w:tc>
      <w:tc>
        <w:tcPr>
          <w:tcW w:w="9072" w:type="dxa"/>
          <w:gridSpan w:val="2"/>
        </w:tcPr>
        <w:p w14:paraId="0A722DFA" w14:textId="2F74C827" w:rsidR="006257C9" w:rsidRDefault="006257C9">
          <w:pPr>
            <w:pStyle w:val="Kopfzeile"/>
          </w:pPr>
          <w:r>
            <w:fldChar w:fldCharType="begin"/>
          </w:r>
          <w:r>
            <w:instrText xml:space="preserve"> PAGE   \* MERGEFORMAT </w:instrText>
          </w:r>
          <w:r>
            <w:fldChar w:fldCharType="separate"/>
          </w:r>
          <w:r w:rsidR="007314ED">
            <w:rPr>
              <w:noProof/>
            </w:rPr>
            <w:t>2</w:t>
          </w:r>
          <w:r>
            <w:fldChar w:fldCharType="end"/>
          </w:r>
          <w:r>
            <w:t>/</w:t>
          </w:r>
          <w:fldSimple w:instr=" NUMPAGES   \* MERGEFORMAT ">
            <w:r w:rsidR="007314ED">
              <w:rPr>
                <w:noProof/>
              </w:rPr>
              <w:t>2</w:t>
            </w:r>
          </w:fldSimple>
        </w:p>
      </w:tc>
    </w:tr>
  </w:tbl>
  <w:p w14:paraId="0A722DFC" w14:textId="77777777" w:rsidR="006257C9" w:rsidRDefault="006257C9">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6257C9" w14:paraId="0A722E04" w14:textId="77777777">
      <w:tc>
        <w:tcPr>
          <w:tcW w:w="7257" w:type="dxa"/>
        </w:tcPr>
        <w:p w14:paraId="0A722E02" w14:textId="77777777" w:rsidR="006257C9" w:rsidRDefault="00067508">
          <w:pPr>
            <w:pStyle w:val="Kopfzeile"/>
            <w:tabs>
              <w:tab w:val="clear" w:pos="4536"/>
              <w:tab w:val="clear" w:pos="9072"/>
            </w:tabs>
            <w:rPr>
              <w:szCs w:val="22"/>
            </w:rPr>
          </w:pPr>
          <w:r>
            <w:rPr>
              <w:noProof/>
              <w:szCs w:val="22"/>
              <w:lang w:eastAsia="de-CH"/>
            </w:rPr>
            <w:drawing>
              <wp:inline distT="0" distB="0" distL="0" distR="0" wp14:anchorId="0A722E10" wp14:editId="0A722E11">
                <wp:extent cx="1352550" cy="276225"/>
                <wp:effectExtent l="0" t="0" r="0" b="9525"/>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0A722E03" w14:textId="77777777" w:rsidR="006257C9" w:rsidRDefault="006257C9">
          <w:pPr>
            <w:pStyle w:val="Kopfzeile"/>
            <w:tabs>
              <w:tab w:val="clear" w:pos="4536"/>
              <w:tab w:val="clear" w:pos="9072"/>
            </w:tabs>
            <w:rPr>
              <w:sz w:val="17"/>
              <w:szCs w:val="17"/>
            </w:rPr>
          </w:pPr>
        </w:p>
      </w:tc>
    </w:tr>
    <w:tr w:rsidR="006257C9" w14:paraId="0A722E07" w14:textId="77777777">
      <w:tc>
        <w:tcPr>
          <w:tcW w:w="7257" w:type="dxa"/>
        </w:tcPr>
        <w:p w14:paraId="0A722E05" w14:textId="77777777" w:rsidR="006257C9" w:rsidRDefault="006257C9">
          <w:pPr>
            <w:pStyle w:val="Kopfzeile"/>
            <w:tabs>
              <w:tab w:val="clear" w:pos="4536"/>
              <w:tab w:val="clear" w:pos="9072"/>
            </w:tabs>
            <w:rPr>
              <w:szCs w:val="22"/>
            </w:rPr>
          </w:pPr>
        </w:p>
      </w:tc>
      <w:tc>
        <w:tcPr>
          <w:tcW w:w="2495" w:type="dxa"/>
        </w:tcPr>
        <w:p w14:paraId="0A722E06" w14:textId="77777777" w:rsidR="006257C9" w:rsidRDefault="006257C9">
          <w:pPr>
            <w:pStyle w:val="Kopfzeile"/>
            <w:tabs>
              <w:tab w:val="clear" w:pos="4536"/>
              <w:tab w:val="clear" w:pos="9072"/>
            </w:tabs>
            <w:rPr>
              <w:noProof/>
              <w:sz w:val="17"/>
              <w:szCs w:val="17"/>
              <w:lang w:val="de-DE"/>
            </w:rPr>
          </w:pPr>
        </w:p>
      </w:tc>
    </w:tr>
  </w:tbl>
  <w:p w14:paraId="0A722E08" w14:textId="77777777" w:rsidR="006257C9" w:rsidRDefault="006257C9">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0104D70"/>
    <w:multiLevelType w:val="hybridMultilevel"/>
    <w:tmpl w:val="2A926B42"/>
    <w:lvl w:ilvl="0" w:tplc="D5BE99A8">
      <w:start w:val="1"/>
      <w:numFmt w:val="bullet"/>
      <w:lvlText w:val=""/>
      <w:lvlJc w:val="left"/>
      <w:pPr>
        <w:tabs>
          <w:tab w:val="num" w:pos="0"/>
        </w:tabs>
        <w:ind w:left="170" w:hanging="17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943C00"/>
    <w:multiLevelType w:val="hybridMultilevel"/>
    <w:tmpl w:val="13285758"/>
    <w:lvl w:ilvl="0" w:tplc="D5BE99A8">
      <w:start w:val="1"/>
      <w:numFmt w:val="bullet"/>
      <w:lvlText w:val=""/>
      <w:lvlJc w:val="left"/>
      <w:pPr>
        <w:tabs>
          <w:tab w:val="num" w:pos="0"/>
        </w:tabs>
        <w:ind w:left="170" w:hanging="17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7CCC73FD"/>
    <w:multiLevelType w:val="hybridMultilevel"/>
    <w:tmpl w:val="1F8C8CB6"/>
    <w:lvl w:ilvl="0" w:tplc="ED0A366C">
      <w:start w:val="2"/>
      <w:numFmt w:val="bullet"/>
      <w:lvlText w:val="-"/>
      <w:lvlJc w:val="left"/>
      <w:pPr>
        <w:tabs>
          <w:tab w:val="num" w:pos="840"/>
        </w:tabs>
        <w:ind w:left="840" w:hanging="360"/>
      </w:pPr>
      <w:rPr>
        <w:rFonts w:ascii="Arial" w:eastAsia="Times New Roman" w:hAnsi="Arial" w:cs="Arial" w:hint="default"/>
      </w:rPr>
    </w:lvl>
    <w:lvl w:ilvl="1" w:tplc="08070003" w:tentative="1">
      <w:start w:val="1"/>
      <w:numFmt w:val="bullet"/>
      <w:lvlText w:val="o"/>
      <w:lvlJc w:val="left"/>
      <w:pPr>
        <w:tabs>
          <w:tab w:val="num" w:pos="1560"/>
        </w:tabs>
        <w:ind w:left="1560" w:hanging="360"/>
      </w:pPr>
      <w:rPr>
        <w:rFonts w:ascii="Courier New" w:hAnsi="Courier New" w:cs="Courier New" w:hint="default"/>
      </w:rPr>
    </w:lvl>
    <w:lvl w:ilvl="2" w:tplc="08070005" w:tentative="1">
      <w:start w:val="1"/>
      <w:numFmt w:val="bullet"/>
      <w:lvlText w:val=""/>
      <w:lvlJc w:val="left"/>
      <w:pPr>
        <w:tabs>
          <w:tab w:val="num" w:pos="2280"/>
        </w:tabs>
        <w:ind w:left="2280" w:hanging="360"/>
      </w:pPr>
      <w:rPr>
        <w:rFonts w:ascii="Wingdings" w:hAnsi="Wingdings" w:hint="default"/>
      </w:rPr>
    </w:lvl>
    <w:lvl w:ilvl="3" w:tplc="08070001" w:tentative="1">
      <w:start w:val="1"/>
      <w:numFmt w:val="bullet"/>
      <w:lvlText w:val=""/>
      <w:lvlJc w:val="left"/>
      <w:pPr>
        <w:tabs>
          <w:tab w:val="num" w:pos="3000"/>
        </w:tabs>
        <w:ind w:left="3000" w:hanging="360"/>
      </w:pPr>
      <w:rPr>
        <w:rFonts w:ascii="Symbol" w:hAnsi="Symbol" w:hint="default"/>
      </w:rPr>
    </w:lvl>
    <w:lvl w:ilvl="4" w:tplc="08070003" w:tentative="1">
      <w:start w:val="1"/>
      <w:numFmt w:val="bullet"/>
      <w:lvlText w:val="o"/>
      <w:lvlJc w:val="left"/>
      <w:pPr>
        <w:tabs>
          <w:tab w:val="num" w:pos="3720"/>
        </w:tabs>
        <w:ind w:left="3720" w:hanging="360"/>
      </w:pPr>
      <w:rPr>
        <w:rFonts w:ascii="Courier New" w:hAnsi="Courier New" w:cs="Courier New" w:hint="default"/>
      </w:rPr>
    </w:lvl>
    <w:lvl w:ilvl="5" w:tplc="08070005" w:tentative="1">
      <w:start w:val="1"/>
      <w:numFmt w:val="bullet"/>
      <w:lvlText w:val=""/>
      <w:lvlJc w:val="left"/>
      <w:pPr>
        <w:tabs>
          <w:tab w:val="num" w:pos="4440"/>
        </w:tabs>
        <w:ind w:left="4440" w:hanging="360"/>
      </w:pPr>
      <w:rPr>
        <w:rFonts w:ascii="Wingdings" w:hAnsi="Wingdings" w:hint="default"/>
      </w:rPr>
    </w:lvl>
    <w:lvl w:ilvl="6" w:tplc="08070001" w:tentative="1">
      <w:start w:val="1"/>
      <w:numFmt w:val="bullet"/>
      <w:lvlText w:val=""/>
      <w:lvlJc w:val="left"/>
      <w:pPr>
        <w:tabs>
          <w:tab w:val="num" w:pos="5160"/>
        </w:tabs>
        <w:ind w:left="5160" w:hanging="360"/>
      </w:pPr>
      <w:rPr>
        <w:rFonts w:ascii="Symbol" w:hAnsi="Symbol" w:hint="default"/>
      </w:rPr>
    </w:lvl>
    <w:lvl w:ilvl="7" w:tplc="08070003" w:tentative="1">
      <w:start w:val="1"/>
      <w:numFmt w:val="bullet"/>
      <w:lvlText w:val="o"/>
      <w:lvlJc w:val="left"/>
      <w:pPr>
        <w:tabs>
          <w:tab w:val="num" w:pos="5880"/>
        </w:tabs>
        <w:ind w:left="5880" w:hanging="360"/>
      </w:pPr>
      <w:rPr>
        <w:rFonts w:ascii="Courier New" w:hAnsi="Courier New" w:cs="Courier New" w:hint="default"/>
      </w:rPr>
    </w:lvl>
    <w:lvl w:ilvl="8" w:tplc="08070005" w:tentative="1">
      <w:start w:val="1"/>
      <w:numFmt w:val="bullet"/>
      <w:lvlText w:val=""/>
      <w:lvlJc w:val="left"/>
      <w:pPr>
        <w:tabs>
          <w:tab w:val="num" w:pos="6600"/>
        </w:tabs>
        <w:ind w:left="660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7"/>
  </w:num>
  <w:num w:numId="6">
    <w:abstractNumId w:val="2"/>
  </w:num>
  <w:num w:numId="7">
    <w:abstractNumId w:val="0"/>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E90ADF"/>
    <w:rsid w:val="00016CA7"/>
    <w:rsid w:val="00067508"/>
    <w:rsid w:val="00073A59"/>
    <w:rsid w:val="000B69D2"/>
    <w:rsid w:val="000D4A58"/>
    <w:rsid w:val="00135B95"/>
    <w:rsid w:val="00150CD9"/>
    <w:rsid w:val="00196478"/>
    <w:rsid w:val="002129A1"/>
    <w:rsid w:val="002779DA"/>
    <w:rsid w:val="002E4FDD"/>
    <w:rsid w:val="00315D85"/>
    <w:rsid w:val="003517AF"/>
    <w:rsid w:val="00365B62"/>
    <w:rsid w:val="00375FC2"/>
    <w:rsid w:val="00384FBB"/>
    <w:rsid w:val="003A2F7C"/>
    <w:rsid w:val="003C7D72"/>
    <w:rsid w:val="003E5FC8"/>
    <w:rsid w:val="004360F7"/>
    <w:rsid w:val="00475018"/>
    <w:rsid w:val="004800CF"/>
    <w:rsid w:val="004B1962"/>
    <w:rsid w:val="00556EB4"/>
    <w:rsid w:val="00571367"/>
    <w:rsid w:val="006257C9"/>
    <w:rsid w:val="00636025"/>
    <w:rsid w:val="00661843"/>
    <w:rsid w:val="0067702D"/>
    <w:rsid w:val="00711334"/>
    <w:rsid w:val="007314ED"/>
    <w:rsid w:val="007A5526"/>
    <w:rsid w:val="007B52F7"/>
    <w:rsid w:val="007D18C9"/>
    <w:rsid w:val="007D38DD"/>
    <w:rsid w:val="007F112A"/>
    <w:rsid w:val="0080030B"/>
    <w:rsid w:val="0081141D"/>
    <w:rsid w:val="008A1607"/>
    <w:rsid w:val="008A39ED"/>
    <w:rsid w:val="008A69B9"/>
    <w:rsid w:val="008C5906"/>
    <w:rsid w:val="009027DB"/>
    <w:rsid w:val="00954DAB"/>
    <w:rsid w:val="009B35DE"/>
    <w:rsid w:val="009E1242"/>
    <w:rsid w:val="00A566A3"/>
    <w:rsid w:val="00A57B76"/>
    <w:rsid w:val="00B923BB"/>
    <w:rsid w:val="00B92738"/>
    <w:rsid w:val="00BD4026"/>
    <w:rsid w:val="00C00E44"/>
    <w:rsid w:val="00C36B36"/>
    <w:rsid w:val="00C541C7"/>
    <w:rsid w:val="00CA25FB"/>
    <w:rsid w:val="00CB7AC2"/>
    <w:rsid w:val="00CE1F83"/>
    <w:rsid w:val="00DA024F"/>
    <w:rsid w:val="00DE5B1D"/>
    <w:rsid w:val="00DF35E6"/>
    <w:rsid w:val="00E25DC2"/>
    <w:rsid w:val="00E52D82"/>
    <w:rsid w:val="00E7492F"/>
    <w:rsid w:val="00E90ADF"/>
    <w:rsid w:val="00F73A04"/>
    <w:rsid w:val="00F86853"/>
    <w:rsid w:val="00FF44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0A722DAF"/>
  <w15:docId w15:val="{9302425B-CB70-42B5-9340-828B93E9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pPr>
      <w:numPr>
        <w:numId w:val="1"/>
      </w:numPr>
      <w:shd w:val="clear" w:color="auto" w:fill="99CCFF"/>
      <w:tabs>
        <w:tab w:val="left" w:pos="709"/>
      </w:tabs>
      <w:spacing w:before="240" w:after="240"/>
      <w:ind w:left="431" w:hanging="431"/>
      <w:outlineLvl w:val="0"/>
    </w:pPr>
    <w:rPr>
      <w:rFonts w:cs="Times New Roman"/>
      <w:b/>
      <w:szCs w:val="24"/>
    </w:rPr>
  </w:style>
  <w:style w:type="paragraph" w:styleId="berschrift2">
    <w:name w:val="heading 2"/>
    <w:basedOn w:val="berschrift1"/>
    <w:next w:val="Absatz0"/>
    <w:qFormat/>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styleId="Funotentext">
    <w:name w:val="footnote text"/>
    <w:basedOn w:val="Standard"/>
    <w:semiHidden/>
    <w:rsid w:val="00E90ADF"/>
    <w:rPr>
      <w:sz w:val="20"/>
    </w:rPr>
  </w:style>
  <w:style w:type="character" w:styleId="Funotenzeichen">
    <w:name w:val="footnote reference"/>
    <w:basedOn w:val="Absatz-Standardschriftart"/>
    <w:semiHidden/>
    <w:rsid w:val="00E90ADF"/>
    <w:rPr>
      <w:vertAlign w:val="superscript"/>
    </w:rPr>
  </w:style>
  <w:style w:type="character" w:styleId="Hyperlink">
    <w:name w:val="Hyperlink"/>
    <w:basedOn w:val="Absatz-Standardschriftart"/>
    <w:rsid w:val="006360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Zu_x0020_konsultierende_x002f_-s_x0020_Fachressort_x002f_-s>
    <Version_x0020_des_x0020_Dokuments xmlns="3905ffbc-9aeb-4d51-937e-ee1e2cf00671">1.3</Version_x0020_des_x0020_Dokuments>
    <Gültig_x0020_bis xmlns="3905ffbc-9aeb-4d51-937e-ee1e2cf00671" xsi:nil="true"/>
    <Kontaktperson_x0020_für_x0020_SOD_x0020_KOM xmlns="3905ffbc-9aeb-4d51-937e-ee1e2cf00671">
      <UserInfo>
        <DisplayName/>
        <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
        <AccountId xsi:nil="true"/>
        <AccountType/>
      </UserInfo>
    </Verantwortliche_x002f_r_x0020_Autor_x002f_in>
    <Dokumentenstatus xmlns="f3b92940-74e1-4b32-811a-cd501d17ae23">3</Dokumentenstatus>
    <Gültig_x0020_von xmlns="3905ffbc-9aeb-4d51-937e-ee1e2cf00671">2018-01-31T23:00:00+00:00</Gültig_x0020_von>
    <Dokumentenart1 xmlns="3905ffbc-9aeb-4d51-937e-ee1e2cf00671">SOD Praxishilfe (PRA)</Dokumentenart1>
    <Federführende_x002f_s_x0020_Fachressort_x002f_Einheit xmlns="f3b92940-74e1-4b32-811a-cd501d17ae23">5</Federführende_x002f_s_x0020_Fachressort_x002f_Einheit>
    <Herausgabe_x0020_bei_x0020_Informationszugangsgesuchen xmlns="f3b92940-74e1-4b32-811a-cd501d17ae23">kann herausgegeben werden</Herausgabe_x0020_bei_x0020_Informationszugangsgesuchen>
    <SKOS-Kapitel xmlns="f3b92940-74e1-4b32-811a-cd501d17ae23"/>
    <Fachkonzept xmlns="f3b92940-74e1-4b32-811a-cd501d17ae23">9</Fachkonzept>
    <Leistung xmlns="f3b92940-74e1-4b32-811a-cd501d17ae23" xsi:nil="true"/>
    <Gesetzliche_x0020_Grundlage xmlns="f3b92940-74e1-4b32-811a-cd501d17ae23" xsi:nil="true"/>
    <Thematische_x0020_Zuordnung_x0020_Fachressort_x0028_s_x0029_ xmlns="f3b92940-74e1-4b32-811a-cd501d17ae23">
      <Value>5</Value>
    </Thematische_x0020_Zuordnung_x0020_Fachressort_x0028_s_x0029_>
  </documentManagement>
</p:properti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E7E2BF33-856C-4880-B79E-FDBB26E809C1}">
  <ds:schemaRefs>
    <ds:schemaRef ds:uri="http://schemas.microsoft.com/sharepoint/v3/contenttype/forms"/>
  </ds:schemaRefs>
</ds:datastoreItem>
</file>

<file path=customXml/itemProps2.xml><?xml version="1.0" encoding="utf-8"?>
<ds:datastoreItem xmlns:ds="http://schemas.openxmlformats.org/officeDocument/2006/customXml" ds:itemID="{27855499-5ADD-426B-B5D2-0B0690F4DD28}">
  <ds:schemaRefs>
    <ds:schemaRef ds:uri="http://schemas.microsoft.com/sharepoint/events"/>
  </ds:schemaRefs>
</ds:datastoreItem>
</file>

<file path=customXml/itemProps3.xml><?xml version="1.0" encoding="utf-8"?>
<ds:datastoreItem xmlns:ds="http://schemas.openxmlformats.org/officeDocument/2006/customXml" ds:itemID="{554258B9-77AF-4E36-8C41-9D21104747D2}">
  <ds:schemaRefs>
    <ds:schemaRef ds:uri="http://schemas.microsoft.com/office/2006/metadata/customXsn"/>
  </ds:schemaRefs>
</ds:datastoreItem>
</file>

<file path=customXml/itemProps4.xml><?xml version="1.0" encoding="utf-8"?>
<ds:datastoreItem xmlns:ds="http://schemas.openxmlformats.org/officeDocument/2006/customXml" ds:itemID="{97CEB65C-EE50-4D15-BECD-631B9196E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24012B-59A5-4CFF-8EF3-382238A2E86A}">
  <ds:schemaRefs>
    <ds:schemaRef ds:uri="http://schemas.microsoft.com/office/infopath/2007/PartnerControls"/>
    <ds:schemaRef ds:uri="http://purl.org/dc/dcmitype/"/>
    <ds:schemaRef ds:uri="3905ffbc-9aeb-4d51-937e-ee1e2cf00671"/>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terms/"/>
    <ds:schemaRef ds:uri="f3b92940-74e1-4b32-811a-cd501d17ae23"/>
    <ds:schemaRef ds:uri="http://www.w3.org/XML/1998/namespace"/>
  </ds:schemaRefs>
</ds:datastoreItem>
</file>

<file path=customXml/itemProps6.xml><?xml version="1.0" encoding="utf-8"?>
<ds:datastoreItem xmlns:ds="http://schemas.openxmlformats.org/officeDocument/2006/customXml" ds:itemID="{016B866A-20B8-472B-9B5F-FF2DBAC8550B}">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3756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PRA Zuständigkeit und Kostentragung in der wirtschaftlichen Sozialhilfe</vt:lpstr>
    </vt:vector>
  </TitlesOfParts>
  <Company>Soziale Dienste Stadt Zürich</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Zuständigkeit und Kostentragung in der wirtschaftlichen Sozialhilfe</dc:title>
  <dc:subject>Weiterverrechnung WV</dc:subject>
  <dc:creator>sozrft</dc:creator>
  <cp:keywords>wv</cp:keywords>
  <cp:lastModifiedBy>Nadine Grunder (sozgnn)</cp:lastModifiedBy>
  <cp:revision>2</cp:revision>
  <cp:lastPrinted>2015-11-19T14:20:00Z</cp:lastPrinted>
  <dcterms:created xsi:type="dcterms:W3CDTF">2021-06-21T06:36:00Z</dcterms:created>
  <dcterms:modified xsi:type="dcterms:W3CDTF">2021-06-21T06:36:00Z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PRA Praxishilfe</vt:lpwstr>
  </property>
  <property fmtid="{D5CDD505-2E9C-101B-9397-08002B2CF9AE}" pid="3" name="AutorIn">
    <vt:lpwstr/>
  </property>
  <property fmtid="{D5CDD505-2E9C-101B-9397-08002B2CF9AE}" pid="4" name="Order">
    <vt:r8>856300</vt:r8>
  </property>
  <property fmtid="{D5CDD505-2E9C-101B-9397-08002B2CF9AE}" pid="5" name="ContentType">
    <vt:lpwstr>Andere Dokumente</vt:lpwstr>
  </property>
  <property fmtid="{D5CDD505-2E9C-101B-9397-08002B2CF9AE}" pid="6" name="Link Ablageort im Intranet SOD">
    <vt:lpwstr/>
  </property>
  <property fmtid="{D5CDD505-2E9C-101B-9397-08002B2CF9AE}" pid="7" name="display_urn:schemas-microsoft-com:office:office#Editor">
    <vt:lpwstr>Hohermuth Ivo (SD)</vt:lpwstr>
  </property>
  <property fmtid="{D5CDD505-2E9C-101B-9397-08002B2CF9AE}" pid="8" name="TemplateUrl">
    <vt:lpwstr/>
  </property>
  <property fmtid="{D5CDD505-2E9C-101B-9397-08002B2CF9AE}" pid="9" name="xd_ProgID">
    <vt:lpwstr/>
  </property>
  <property fmtid="{D5CDD505-2E9C-101B-9397-08002B2CF9AE}" pid="10" name="PublishingPreviewImage">
    <vt:lpwstr/>
  </property>
  <property fmtid="{D5CDD505-2E9C-101B-9397-08002B2CF9AE}" pid="11" name="display_urn:schemas-microsoft-com:office:office#Author">
    <vt:lpwstr>Hohermuth Ivo (SD)</vt:lpwstr>
  </property>
  <property fmtid="{D5CDD505-2E9C-101B-9397-08002B2CF9AE}" pid="12" name="PublishingAssociatedVariations">
    <vt:lpwstr/>
  </property>
  <property fmtid="{D5CDD505-2E9C-101B-9397-08002B2CF9AE}" pid="13" name="CMS-Medienbiblithek">
    <vt:lpwstr>0</vt:lpwstr>
  </property>
  <property fmtid="{D5CDD505-2E9C-101B-9397-08002B2CF9AE}" pid="14" name="PublishingHidden">
    <vt:lpwstr>0</vt:lpwstr>
  </property>
  <property fmtid="{D5CDD505-2E9C-101B-9397-08002B2CF9AE}" pid="15" name="PublishingAssociatedContentType">
    <vt:lpwstr/>
  </property>
  <property fmtid="{D5CDD505-2E9C-101B-9397-08002B2CF9AE}" pid="16" name="Bemerkungen">
    <vt:lpwstr/>
  </property>
  <property fmtid="{D5CDD505-2E9C-101B-9397-08002B2CF9AE}" pid="17" name="Intranetverlinkung">
    <vt:lpwstr/>
  </property>
  <property fmtid="{D5CDD505-2E9C-101B-9397-08002B2CF9AE}" pid="18" name="_dlc_DocId">
    <vt:lpwstr>SDSOD-119-541</vt:lpwstr>
  </property>
  <property fmtid="{D5CDD505-2E9C-101B-9397-08002B2CF9AE}" pid="19" name="_dlc_DocIdItemGuid">
    <vt:lpwstr>a0e285b4-bef8-470f-97d7-04627d902e4c</vt:lpwstr>
  </property>
  <property fmtid="{D5CDD505-2E9C-101B-9397-08002B2CF9AE}" pid="20" name="_dlc_DocIdUrl">
    <vt:lpwstr>http://portal.sd.intra.stzh.ch/sod/regelwerk/_layouts/DocIdRedir.aspx?ID=SDSOD-119-541, SDSOD-119-541</vt:lpwstr>
  </property>
  <property fmtid="{D5CDD505-2E9C-101B-9397-08002B2CF9AE}" pid="21" name="1. Ebene">
    <vt:lpwstr/>
  </property>
  <property fmtid="{D5CDD505-2E9C-101B-9397-08002B2CF9AE}" pid="22" name="5. Ebene">
    <vt:lpwstr/>
  </property>
  <property fmtid="{D5CDD505-2E9C-101B-9397-08002B2CF9AE}" pid="23" name="4. Ebene">
    <vt:lpwstr/>
  </property>
  <property fmtid="{D5CDD505-2E9C-101B-9397-08002B2CF9AE}" pid="24" name="3. Ebene">
    <vt:lpwstr/>
  </property>
  <property fmtid="{D5CDD505-2E9C-101B-9397-08002B2CF9AE}" pid="25" name="2. Ebene">
    <vt:lpwstr/>
  </property>
  <property fmtid="{D5CDD505-2E9C-101B-9397-08002B2CF9AE}" pid="26" name="ContentTypeId">
    <vt:lpwstr>0x01010012DCBF5558F0D14AB1FD168DE6C7A40C0100309021253101A04D9D9A7096FBAB356B</vt:lpwstr>
  </property>
  <property fmtid="{D5CDD505-2E9C-101B-9397-08002B2CF9AE}" pid="27" name="IsMyDocuments">
    <vt:bool>true</vt:bool>
  </property>
  <property fmtid="{D5CDD505-2E9C-101B-9397-08002B2CF9AE}" pid="28" name="IntraZueriMandant">
    <vt:lpwstr>1;#SOD|d2ca4cc4-367d-4a9a-a3b2-38906409b4ae</vt:lpwstr>
  </property>
  <property fmtid="{D5CDD505-2E9C-101B-9397-08002B2CF9AE}" pid="29" name="WorkflowChangePath">
    <vt:lpwstr>498d860f-cbd0-4500-a53b-08f6ed17cb6e,8;7dbe9e3d-1110-41fa-836b-195a3e49061c,6;7dbe9e3d-1110-41fa-836b-195a3e49061c,8;</vt:lpwstr>
  </property>
  <property fmtid="{D5CDD505-2E9C-101B-9397-08002B2CF9AE}" pid="30" name="Kontaktperson für SOD KOM">
    <vt:lpwstr/>
  </property>
  <property fmtid="{D5CDD505-2E9C-101B-9397-08002B2CF9AE}" pid="31" name="Federführende/s Fachressort/Einheit">
    <vt:lpwstr>5</vt:lpwstr>
  </property>
  <property fmtid="{D5CDD505-2E9C-101B-9397-08002B2CF9AE}" pid="32" name="Herausgabe bei Informationszugangsgesuchen">
    <vt:lpwstr>kann herausgegeben werden</vt:lpwstr>
  </property>
  <property fmtid="{D5CDD505-2E9C-101B-9397-08002B2CF9AE}" pid="33" name="Fachkonzept">
    <vt:lpwstr>9</vt:lpwstr>
  </property>
  <property fmtid="{D5CDD505-2E9C-101B-9397-08002B2CF9AE}" pid="34" name="Leistung">
    <vt:lpwstr>18</vt:lpwstr>
  </property>
</Properties>
</file>