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079F4FA8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079F4FA5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 xml:space="preserve">Zuordnung: </w:t>
            </w:r>
          </w:p>
        </w:tc>
        <w:bookmarkStart w:id="0" w:name="Dokumentenart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079F4FA6" w14:textId="77777777" w:rsidR="002129A1" w:rsidRDefault="003415A9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fldChar w:fldCharType="begin">
                <w:ffData>
                  <w:name w:val="Dokumentenart"/>
                  <w:enabled/>
                  <w:calcOnExit w:val="0"/>
                  <w:ddList>
                    <w:result w:val="2"/>
                    <w:listEntry w:val="Bitte wählen"/>
                    <w:listEntry w:val="Handlungsanweisung der Direktorin"/>
                    <w:listEntry w:val="Praxishilfe"/>
                    <w:listEntry w:val="Konzept"/>
                    <w:listEntry w:val="Kurzkonzept"/>
                    <w:listEntry w:val="Information"/>
                    <w:listEntry w:val="Manual"/>
                  </w:ddList>
                </w:ffData>
              </w:fldChar>
            </w:r>
            <w:r>
              <w:instrText xml:space="preserve"> FORMDROPDOWN </w:instrText>
            </w:r>
            <w:r w:rsidR="003D35B1">
              <w:fldChar w:fldCharType="separate"/>
            </w:r>
            <w:r>
              <w:fldChar w:fldCharType="end"/>
            </w:r>
            <w:bookmarkEnd w:id="0"/>
            <w:r w:rsidR="002129A1">
              <w:br/>
            </w:r>
          </w:p>
        </w:tc>
        <w:bookmarkStart w:id="1" w:name="Dropdown1"/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3D6557F1" w14:textId="77777777" w:rsidR="002129A1" w:rsidRDefault="0053312E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</w:pPr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r>
              <w:instrText xml:space="preserve"> FORMDROPDOWN </w:instrText>
            </w:r>
            <w:r w:rsidR="003D35B1">
              <w:fldChar w:fldCharType="separate"/>
            </w:r>
            <w:r>
              <w:fldChar w:fldCharType="end"/>
            </w:r>
            <w:bookmarkEnd w:id="1"/>
            <w:r w:rsidR="002129A1">
              <w:t xml:space="preserve"> </w:t>
            </w:r>
          </w:p>
          <w:p w14:paraId="079F4FA7" w14:textId="6D512EDC" w:rsidR="003175BC" w:rsidRDefault="003C4FB0" w:rsidP="003C4FB0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01</w:t>
            </w:r>
            <w:r w:rsidR="005C2495">
              <w:rPr>
                <w:b w:val="0"/>
                <w:bCs/>
                <w:sz w:val="20"/>
                <w:highlight w:val="yellow"/>
              </w:rPr>
              <w:t>.</w:t>
            </w:r>
            <w:r>
              <w:rPr>
                <w:b w:val="0"/>
                <w:bCs/>
                <w:sz w:val="20"/>
                <w:highlight w:val="yellow"/>
              </w:rPr>
              <w:t>02</w:t>
            </w:r>
            <w:r w:rsidR="005C2495">
              <w:rPr>
                <w:b w:val="0"/>
                <w:bCs/>
                <w:sz w:val="20"/>
                <w:highlight w:val="yellow"/>
              </w:rPr>
              <w:t>.202</w:t>
            </w:r>
            <w:r w:rsidRPr="00C53B0E">
              <w:rPr>
                <w:b w:val="0"/>
                <w:bCs/>
                <w:sz w:val="20"/>
                <w:highlight w:val="yellow"/>
              </w:rPr>
              <w:t>3</w:t>
            </w:r>
          </w:p>
        </w:tc>
      </w:tr>
      <w:tr w:rsidR="002129A1" w14:paraId="079F4FAC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79F4FA9" w14:textId="49395DA2" w:rsidR="002129A1" w:rsidRDefault="003D35B1" w:rsidP="00820DD6">
            <w:pPr>
              <w:pStyle w:val="WeisungKopfteil"/>
              <w:framePr w:hSpace="0" w:wrap="auto" w:vAnchor="margin" w:hAnchor="text" w:xAlign="left" w:yAlign="inline"/>
              <w:spacing w:before="0" w:after="0"/>
            </w:pPr>
            <w:hyperlink r:id="rId13" w:history="1">
              <w:r w:rsidR="00B56C5A" w:rsidRPr="004B51C2">
                <w:rPr>
                  <w:rStyle w:val="Hyperlink"/>
                  <w:b w:val="0"/>
                  <w:bCs/>
                  <w:sz w:val="20"/>
                </w:rPr>
                <w:t>Sozialversicherungen</w:t>
              </w:r>
            </w:hyperlink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79F4FAA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079F4FAB" w14:textId="751D930B" w:rsidR="002129A1" w:rsidRPr="004268C0" w:rsidRDefault="003175BC" w:rsidP="003C4FB0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ersetzt </w:t>
            </w:r>
            <w:r w:rsidR="009C76D9">
              <w:rPr>
                <w:b w:val="0"/>
                <w:bCs/>
                <w:sz w:val="20"/>
              </w:rPr>
              <w:t>01.0</w:t>
            </w:r>
            <w:r w:rsidR="003C4FB0">
              <w:rPr>
                <w:b w:val="0"/>
                <w:bCs/>
                <w:sz w:val="20"/>
              </w:rPr>
              <w:t>9</w:t>
            </w:r>
            <w:r w:rsidR="009C76D9">
              <w:rPr>
                <w:b w:val="0"/>
                <w:bCs/>
                <w:sz w:val="20"/>
              </w:rPr>
              <w:t>.20</w:t>
            </w:r>
            <w:r w:rsidR="00C86CCC">
              <w:rPr>
                <w:b w:val="0"/>
                <w:bCs/>
                <w:sz w:val="20"/>
              </w:rPr>
              <w:t>2</w:t>
            </w:r>
            <w:r w:rsidR="003C4FB0">
              <w:rPr>
                <w:b w:val="0"/>
                <w:bCs/>
                <w:sz w:val="20"/>
              </w:rPr>
              <w:t>2</w:t>
            </w:r>
          </w:p>
        </w:tc>
      </w:tr>
      <w:tr w:rsidR="002129A1" w14:paraId="079F4FAE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9F4FAD" w14:textId="414409E5" w:rsidR="002129A1" w:rsidRDefault="00652AB1" w:rsidP="00A40D0B">
            <w:pPr>
              <w:pStyle w:val="WeisungKopfteil"/>
              <w:framePr w:hSpace="0" w:wrap="auto" w:vAnchor="margin" w:hAnchor="text" w:xAlign="left" w:yAlign="inline"/>
            </w:pPr>
            <w:r>
              <w:t xml:space="preserve">KVG-Prämien: </w:t>
            </w:r>
            <w:r w:rsidR="002A0841">
              <w:t>Prämienübernahme</w:t>
            </w:r>
            <w:r>
              <w:t xml:space="preserve"> und Direktzahlung</w:t>
            </w:r>
            <w:r w:rsidR="001B66A0">
              <w:t xml:space="preserve"> / Zusatzversicherung VVG</w:t>
            </w:r>
          </w:p>
        </w:tc>
      </w:tr>
    </w:tbl>
    <w:p w14:paraId="079F4FAF" w14:textId="77777777" w:rsidR="003415A9" w:rsidRDefault="003415A9">
      <w:pPr>
        <w:pStyle w:val="Absatz0"/>
        <w:sectPr w:rsidR="003415A9" w:rsidSect="003E5FC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079F4FB0" w14:textId="77777777" w:rsidR="00EA122A" w:rsidRDefault="00A17098" w:rsidP="00446B53">
      <w:pPr>
        <w:pStyle w:val="berschrift1"/>
      </w:pPr>
      <w:r>
        <w:t>Grundlage</w:t>
      </w:r>
    </w:p>
    <w:p w14:paraId="2415D4D8" w14:textId="77777777" w:rsidR="00652AB1" w:rsidRDefault="00652AB1" w:rsidP="00652AB1">
      <w:pPr>
        <w:pStyle w:val="Absatz0"/>
      </w:pPr>
    </w:p>
    <w:p w14:paraId="4C7C7217" w14:textId="2F2CDCB8" w:rsidR="006908F1" w:rsidRDefault="006908F1" w:rsidP="006908F1">
      <w:pPr>
        <w:pStyle w:val="Absatz0"/>
      </w:pPr>
      <w:r>
        <w:t>Gemäss §</w:t>
      </w:r>
      <w:r w:rsidR="004C255F">
        <w:t xml:space="preserve"> 15 des Einführungsgesetzes zum Krankenversicherungsgesetz (EG KVG)</w:t>
      </w:r>
      <w:r>
        <w:t xml:space="preserve"> sind die Sozialdienste verpflichtet, die </w:t>
      </w:r>
      <w:r w:rsidR="00AC7B25">
        <w:t>Individuelle Prämienverbilligung (</w:t>
      </w:r>
      <w:r>
        <w:t>IPV</w:t>
      </w:r>
      <w:r w:rsidR="00AC7B25">
        <w:t>)</w:t>
      </w:r>
      <w:r>
        <w:t xml:space="preserve"> von Sozialhilfebeziehenden sicherzustellen und nur die Restprämie im Unterstützungsbudget </w:t>
      </w:r>
      <w:r w:rsidR="00AC7B25">
        <w:t xml:space="preserve">der Sozialhilfe </w:t>
      </w:r>
      <w:r>
        <w:t>zu berücksichtigen</w:t>
      </w:r>
      <w:r w:rsidR="00897195">
        <w:t xml:space="preserve"> (siehe </w:t>
      </w:r>
      <w:hyperlink r:id="rId18" w:history="1">
        <w:r w:rsidR="00897195" w:rsidRPr="009248DC">
          <w:rPr>
            <w:rStyle w:val="Hyperlink"/>
          </w:rPr>
          <w:t>Prozessbeschrieb Sicherstellung IPV</w:t>
        </w:r>
      </w:hyperlink>
      <w:r w:rsidR="00897195">
        <w:t>)</w:t>
      </w:r>
      <w:r>
        <w:t xml:space="preserve">. </w:t>
      </w:r>
      <w:r>
        <w:rPr>
          <w:lang w:val="de-DE"/>
        </w:rPr>
        <w:t xml:space="preserve">Dabei ist zu beachten, dass </w:t>
      </w:r>
      <w:r w:rsidR="00411043">
        <w:rPr>
          <w:lang w:val="de-DE"/>
        </w:rPr>
        <w:t>von Klient*</w:t>
      </w:r>
      <w:r w:rsidR="00AC7B25">
        <w:rPr>
          <w:lang w:val="de-DE"/>
        </w:rPr>
        <w:t>innen</w:t>
      </w:r>
      <w:r w:rsidR="000D5423">
        <w:rPr>
          <w:lang w:val="de-DE"/>
        </w:rPr>
        <w:t xml:space="preserve"> (KL)</w:t>
      </w:r>
      <w:r>
        <w:rPr>
          <w:lang w:val="de-DE"/>
        </w:rPr>
        <w:t>, die bei einer teuren Krankenkasse</w:t>
      </w:r>
      <w:r w:rsidR="00287CCD">
        <w:rPr>
          <w:lang w:val="de-DE"/>
        </w:rPr>
        <w:t xml:space="preserve"> (KK)</w:t>
      </w:r>
      <w:r>
        <w:rPr>
          <w:lang w:val="de-DE"/>
        </w:rPr>
        <w:t xml:space="preserve"> versichert sind, </w:t>
      </w:r>
      <w:r w:rsidR="00AC7B25">
        <w:rPr>
          <w:lang w:val="de-DE"/>
        </w:rPr>
        <w:t>eingefordert</w:t>
      </w:r>
      <w:r>
        <w:rPr>
          <w:lang w:val="de-DE"/>
        </w:rPr>
        <w:t xml:space="preserve"> </w:t>
      </w:r>
      <w:r w:rsidR="00AC7B25">
        <w:rPr>
          <w:lang w:val="de-DE"/>
        </w:rPr>
        <w:t>wird</w:t>
      </w:r>
      <w:r>
        <w:rPr>
          <w:lang w:val="de-DE"/>
        </w:rPr>
        <w:t xml:space="preserve">, zu einer günstigen </w:t>
      </w:r>
      <w:r w:rsidR="00287CCD">
        <w:rPr>
          <w:lang w:val="de-DE"/>
        </w:rPr>
        <w:t>KK</w:t>
      </w:r>
      <w:r>
        <w:rPr>
          <w:lang w:val="de-DE"/>
        </w:rPr>
        <w:t xml:space="preserve"> zu wechseln, soweit dies möglich und zumutbar ist (</w:t>
      </w:r>
      <w:r w:rsidR="00BE68E5">
        <w:rPr>
          <w:lang w:val="de-DE"/>
        </w:rPr>
        <w:t>s</w:t>
      </w:r>
      <w:r>
        <w:rPr>
          <w:lang w:val="de-DE"/>
        </w:rPr>
        <w:t xml:space="preserve">iehe </w:t>
      </w:r>
      <w:hyperlink r:id="rId19" w:history="1">
        <w:r w:rsidRPr="005F2AA1">
          <w:rPr>
            <w:rStyle w:val="Hyperlink"/>
            <w:lang w:val="de-DE"/>
          </w:rPr>
          <w:t>HA</w:t>
        </w:r>
        <w:r w:rsidR="00BE68E5" w:rsidRPr="005F2AA1">
          <w:rPr>
            <w:rStyle w:val="Hyperlink"/>
            <w:lang w:val="de-DE"/>
          </w:rPr>
          <w:t>W Wechsel in eine günstige Krankenversicherung</w:t>
        </w:r>
      </w:hyperlink>
      <w:r>
        <w:rPr>
          <w:lang w:val="de-DE"/>
        </w:rPr>
        <w:t>)</w:t>
      </w:r>
      <w:r w:rsidR="00881E53">
        <w:rPr>
          <w:lang w:val="de-DE"/>
        </w:rPr>
        <w:t>.</w:t>
      </w:r>
    </w:p>
    <w:p w14:paraId="00CBB3D8" w14:textId="77777777" w:rsidR="006908F1" w:rsidRDefault="006908F1" w:rsidP="00013290">
      <w:pPr>
        <w:pStyle w:val="Absatz0"/>
      </w:pPr>
    </w:p>
    <w:p w14:paraId="63EF45EF" w14:textId="3A152A0C" w:rsidR="00013290" w:rsidRPr="006F7E34" w:rsidRDefault="006908F1" w:rsidP="00013290">
      <w:pPr>
        <w:pStyle w:val="Absatz0"/>
      </w:pPr>
      <w:r>
        <w:t xml:space="preserve">Weiter sind </w:t>
      </w:r>
      <w:r w:rsidR="00AC7B25">
        <w:t>die Sozialdienste</w:t>
      </w:r>
      <w:r>
        <w:t xml:space="preserve"> </w:t>
      </w:r>
      <w:r w:rsidR="00DD1237">
        <w:t xml:space="preserve">gestützt auf das EG KVG </w:t>
      </w:r>
      <w:r w:rsidR="00652AB1">
        <w:t xml:space="preserve">verpflichtet, die nicht durch die Prämienverbilligungen gedeckten Prämien von </w:t>
      </w:r>
      <w:r w:rsidR="000D5423">
        <w:t>KL</w:t>
      </w:r>
      <w:r w:rsidR="00652AB1">
        <w:t xml:space="preserve"> direkt a</w:t>
      </w:r>
      <w:r>
        <w:t>n die Versicherer zu überweisen</w:t>
      </w:r>
      <w:r w:rsidR="00DD1237">
        <w:t xml:space="preserve"> (Direktzahlung)</w:t>
      </w:r>
      <w:r>
        <w:t xml:space="preserve">. </w:t>
      </w:r>
    </w:p>
    <w:p w14:paraId="6CAC4DDC" w14:textId="773A9321" w:rsidR="00652AB1" w:rsidRDefault="00652AB1" w:rsidP="00652AB1">
      <w:pPr>
        <w:pStyle w:val="Absatz0"/>
      </w:pPr>
    </w:p>
    <w:p w14:paraId="23FA62F0" w14:textId="50BCC023" w:rsidR="009F71AB" w:rsidRDefault="0032188A">
      <w:pPr>
        <w:pStyle w:val="Absatz0"/>
      </w:pPr>
      <w:r>
        <w:t>S</w:t>
      </w:r>
      <w:r w:rsidR="00EB2887">
        <w:t>eit</w:t>
      </w:r>
      <w:r w:rsidR="00652AB1">
        <w:t xml:space="preserve"> dem 01.01.2012</w:t>
      </w:r>
      <w:r>
        <w:t xml:space="preserve"> können die Versicherungen</w:t>
      </w:r>
      <w:r w:rsidR="006908F1">
        <w:t xml:space="preserve"> </w:t>
      </w:r>
      <w:r w:rsidR="00464278">
        <w:t>keine</w:t>
      </w:r>
      <w:r w:rsidR="004C5C8B">
        <w:t xml:space="preserve"> Leistungsaufschübe mehr</w:t>
      </w:r>
      <w:r w:rsidR="00464278">
        <w:t xml:space="preserve"> verfügen</w:t>
      </w:r>
      <w:r w:rsidR="004C5C8B">
        <w:t xml:space="preserve">, d.h. der Versicherungsschutz </w:t>
      </w:r>
      <w:r w:rsidR="00464278">
        <w:t xml:space="preserve">ist </w:t>
      </w:r>
      <w:r w:rsidR="004C5C8B">
        <w:t xml:space="preserve">für die Versicherten auch bei </w:t>
      </w:r>
      <w:r w:rsidR="00EB2887">
        <w:t>Prämien</w:t>
      </w:r>
      <w:r w:rsidR="004C5C8B">
        <w:t>ausständen lückenlos gegeben</w:t>
      </w:r>
      <w:r w:rsidR="00467B61">
        <w:t xml:space="preserve">. Jedoch ist </w:t>
      </w:r>
      <w:r w:rsidR="00C00E5F">
        <w:t>bei Prämienausständen</w:t>
      </w:r>
      <w:r w:rsidR="00467B61">
        <w:t xml:space="preserve"> ein Versicherungswechsel nicht möglich.</w:t>
      </w:r>
      <w:r w:rsidR="00EB2887">
        <w:t xml:space="preserve"> </w:t>
      </w:r>
      <w:r w:rsidR="009F71AB">
        <w:t>Unter bestimmten Kriterien können Prämienausstände</w:t>
      </w:r>
      <w:r w:rsidR="00D44BFA">
        <w:t xml:space="preserve"> vor Unterstützungsbeginn</w:t>
      </w:r>
      <w:r w:rsidR="009F71AB">
        <w:t xml:space="preserve"> übernommen werden</w:t>
      </w:r>
      <w:r w:rsidR="00636E19">
        <w:t xml:space="preserve"> (siehe Ziff. 2.3)</w:t>
      </w:r>
      <w:r w:rsidR="009F71AB">
        <w:t>.</w:t>
      </w:r>
    </w:p>
    <w:p w14:paraId="297FB15F" w14:textId="50B072B1" w:rsidR="00423673" w:rsidRDefault="00423673">
      <w:pPr>
        <w:pStyle w:val="Absatz0"/>
      </w:pPr>
    </w:p>
    <w:p w14:paraId="19C66274" w14:textId="27A1A88A" w:rsidR="006908F1" w:rsidRDefault="006908F1" w:rsidP="006908F1">
      <w:pPr>
        <w:pStyle w:val="berschrift1"/>
      </w:pPr>
      <w:r>
        <w:t>Pr</w:t>
      </w:r>
      <w:r w:rsidR="007C56CE">
        <w:t>ä</w:t>
      </w:r>
      <w:r>
        <w:t>mienzahlungen</w:t>
      </w:r>
    </w:p>
    <w:p w14:paraId="151158C1" w14:textId="12E3431D" w:rsidR="00833D73" w:rsidRDefault="00423673" w:rsidP="00423673">
      <w:pPr>
        <w:pStyle w:val="Absatz0"/>
      </w:pPr>
      <w:r w:rsidRPr="006F7E34">
        <w:t>Das genaue Vorgehen ist im Prozess "</w:t>
      </w:r>
      <w:hyperlink r:id="rId20" w:history="1">
        <w:r w:rsidRPr="006F7E34">
          <w:rPr>
            <w:rStyle w:val="Hyperlink"/>
          </w:rPr>
          <w:t>Bezahlung KVG-Prämie</w:t>
        </w:r>
      </w:hyperlink>
      <w:r w:rsidRPr="006F7E34">
        <w:t>" beschrieben.</w:t>
      </w:r>
    </w:p>
    <w:p w14:paraId="079F4FB2" w14:textId="2BE9543B" w:rsidR="004C5C8B" w:rsidRDefault="004C5C8B">
      <w:pPr>
        <w:pStyle w:val="Absatz0"/>
      </w:pPr>
    </w:p>
    <w:p w14:paraId="7C294FCC" w14:textId="13F99F27" w:rsidR="002109F8" w:rsidRPr="001F7816" w:rsidRDefault="002109F8" w:rsidP="002109F8">
      <w:pPr>
        <w:pStyle w:val="Absatz0"/>
        <w:rPr>
          <w:b/>
        </w:rPr>
      </w:pPr>
      <w:r w:rsidRPr="001F7816">
        <w:rPr>
          <w:b/>
        </w:rPr>
        <w:t xml:space="preserve">Information an </w:t>
      </w:r>
      <w:r w:rsidR="00411043">
        <w:rPr>
          <w:b/>
        </w:rPr>
        <w:t>Klienten*innen</w:t>
      </w:r>
      <w:r w:rsidRPr="001F7816">
        <w:rPr>
          <w:b/>
        </w:rPr>
        <w:t xml:space="preserve"> sowie die jeweiligen Krankenkassen</w:t>
      </w:r>
    </w:p>
    <w:p w14:paraId="57E73474" w14:textId="77777777" w:rsidR="002109F8" w:rsidRPr="001F7816" w:rsidRDefault="002109F8" w:rsidP="002109F8">
      <w:pPr>
        <w:pStyle w:val="Absatz0"/>
      </w:pPr>
    </w:p>
    <w:p w14:paraId="5BD433E9" w14:textId="6C84DD3A" w:rsidR="002109F8" w:rsidRPr="001F7816" w:rsidRDefault="002109F8" w:rsidP="002109F8">
      <w:pPr>
        <w:pStyle w:val="Absatz0"/>
      </w:pPr>
      <w:r w:rsidRPr="001F7816">
        <w:t xml:space="preserve">Sowohl die KL als auch die jeweiligen KK sind über die Direktzahlungen in Kenntnis zu setzen. Für die Information an die jeweils zuständige KK steht eine KiSS-Vorlage zur Verfügung (KK – EG KVG – Info an KK). </w:t>
      </w:r>
    </w:p>
    <w:p w14:paraId="76D84F74" w14:textId="77777777" w:rsidR="002109F8" w:rsidRPr="001F7816" w:rsidRDefault="002109F8" w:rsidP="002109F8">
      <w:pPr>
        <w:pStyle w:val="Absatz0"/>
        <w:rPr>
          <w:b/>
        </w:rPr>
      </w:pPr>
    </w:p>
    <w:p w14:paraId="636CFEDD" w14:textId="77777777" w:rsidR="002109F8" w:rsidRPr="001F7816" w:rsidRDefault="002109F8" w:rsidP="002109F8">
      <w:pPr>
        <w:pStyle w:val="Absatz0"/>
        <w:rPr>
          <w:b/>
        </w:rPr>
      </w:pPr>
      <w:r w:rsidRPr="001F7816">
        <w:rPr>
          <w:b/>
        </w:rPr>
        <w:t>KK-Administration via SOD</w:t>
      </w:r>
    </w:p>
    <w:p w14:paraId="677A4983" w14:textId="77777777" w:rsidR="002109F8" w:rsidRPr="001F7816" w:rsidRDefault="002109F8" w:rsidP="002109F8">
      <w:pPr>
        <w:pStyle w:val="Absatz0"/>
        <w:rPr>
          <w:b/>
        </w:rPr>
      </w:pPr>
    </w:p>
    <w:p w14:paraId="59630FA3" w14:textId="4F6C8250" w:rsidR="002109F8" w:rsidRPr="001F7816" w:rsidRDefault="002109F8" w:rsidP="002109F8">
      <w:pPr>
        <w:pStyle w:val="Absatz0"/>
        <w:spacing w:after="120"/>
      </w:pPr>
      <w:r w:rsidRPr="001F7816">
        <w:t>Die KL erledigen ihre KK-Angelegenheiten in der Regel selbst. Die SOD übernehmen die Administration der KK-Angelegenheiten für Personen, die dabei Unterstützung benötigen. Für die Information an die zuständige KK, dass die SOD die gesamten KK-Angelegenheiten betreuen, steht eine KiSS-Vorlage zur Verfügung ("Mutationsmeldung an Krankenkasse / Betreuungsbestätigung"; nicht zu verwechseln mit dem Schreiben an die Krankenkasse betreffend Direktzahlung).</w:t>
      </w:r>
    </w:p>
    <w:p w14:paraId="485BD361" w14:textId="671312E1" w:rsidR="002109F8" w:rsidRDefault="002109F8" w:rsidP="002109F8">
      <w:pPr>
        <w:pStyle w:val="Absatz0"/>
        <w:spacing w:after="120"/>
      </w:pPr>
      <w:r w:rsidRPr="001F7816">
        <w:t>In dieser Betreuungsbestätigung können auch die spezifischen Modalitäten festgelegt werden (Versicherungsmodell, Franchise etc.).</w:t>
      </w:r>
    </w:p>
    <w:p w14:paraId="61C82C5C" w14:textId="575AB178" w:rsidR="00D43CBD" w:rsidRDefault="00D43CBD" w:rsidP="002109F8">
      <w:pPr>
        <w:pStyle w:val="Absatz0"/>
        <w:spacing w:after="120"/>
      </w:pPr>
    </w:p>
    <w:p w14:paraId="4D571F96" w14:textId="226392EA" w:rsidR="00D43CBD" w:rsidRDefault="00D43CBD" w:rsidP="002109F8">
      <w:pPr>
        <w:pStyle w:val="Absatz0"/>
        <w:spacing w:after="120"/>
      </w:pPr>
    </w:p>
    <w:p w14:paraId="6107D12E" w14:textId="77777777" w:rsidR="00D43CBD" w:rsidRDefault="00D43CBD" w:rsidP="002109F8">
      <w:pPr>
        <w:pStyle w:val="Absatz0"/>
        <w:spacing w:after="120"/>
      </w:pPr>
    </w:p>
    <w:p w14:paraId="292FCB25" w14:textId="77777777" w:rsidR="00193B22" w:rsidRPr="00AF6E5C" w:rsidRDefault="00193B22" w:rsidP="002109F8">
      <w:pPr>
        <w:pStyle w:val="Absatz0"/>
        <w:spacing w:after="120"/>
        <w:rPr>
          <w:b/>
        </w:rPr>
      </w:pPr>
      <w:r w:rsidRPr="00AF6E5C">
        <w:rPr>
          <w:b/>
        </w:rPr>
        <w:lastRenderedPageBreak/>
        <w:t>Versicherungsmodell und Franchise</w:t>
      </w:r>
    </w:p>
    <w:p w14:paraId="31511D4C" w14:textId="4B56521C" w:rsidR="002109F8" w:rsidRDefault="004359A5" w:rsidP="00445D82">
      <w:pPr>
        <w:pStyle w:val="Absatz0"/>
        <w:spacing w:after="120"/>
      </w:pPr>
      <w:r>
        <w:t xml:space="preserve">Hinsichtlich Versicherungsmodell und Franchise wird auf die </w:t>
      </w:r>
      <w:hyperlink r:id="rId21" w:history="1">
        <w:r w:rsidRPr="001F7816">
          <w:rPr>
            <w:rStyle w:val="Hyperlink"/>
          </w:rPr>
          <w:t>HAW Wechsel in eine günstige Krankenkasse</w:t>
        </w:r>
      </w:hyperlink>
      <w:r>
        <w:t xml:space="preserve">, Ziff. 3, verwiesen: </w:t>
      </w:r>
      <w:r w:rsidRPr="004359A5">
        <w:t xml:space="preserve">KL sollen grundsätzlich in einem Standardmodell mit tiefster Franchise versichert sein. </w:t>
      </w:r>
    </w:p>
    <w:p w14:paraId="079F4FB4" w14:textId="663FDBA9" w:rsidR="00446B53" w:rsidRDefault="009F72C0" w:rsidP="009F72C0">
      <w:pPr>
        <w:pStyle w:val="berschrift1"/>
        <w:numPr>
          <w:ilvl w:val="0"/>
          <w:numId w:val="0"/>
        </w:numPr>
        <w:ind w:left="431" w:hanging="431"/>
      </w:pPr>
      <w:r>
        <w:t xml:space="preserve">2.1 </w:t>
      </w:r>
      <w:r w:rsidR="00002914">
        <w:t>Ausnahme zur D</w:t>
      </w:r>
      <w:r w:rsidR="00984508">
        <w:t xml:space="preserve">irektzahlung der Krankenkassenprämien </w:t>
      </w:r>
    </w:p>
    <w:p w14:paraId="31A0B7AC" w14:textId="2F35B0D3" w:rsidR="006E5968" w:rsidRDefault="00AC7B25">
      <w:pPr>
        <w:pStyle w:val="Absatz0"/>
      </w:pPr>
      <w:r>
        <w:t>Wenn aufgrund der Einnahmenssituation nur ein Teilbetrag der KVG-Prämie übernommen werden kann, kann vom Grundsatz der Direktzahlung an die KK abgewichen werden. Der Teilbetrag wird direkt den KL überwiesen. Diese müssen monatlich nachweisen, dass sie die gesamte KVG-Prämie bezahlt haben.</w:t>
      </w:r>
    </w:p>
    <w:p w14:paraId="39CD5982" w14:textId="77777777" w:rsidR="000F75DB" w:rsidRDefault="000F75DB">
      <w:pPr>
        <w:pStyle w:val="Absatz0"/>
      </w:pPr>
    </w:p>
    <w:p w14:paraId="6DFF302B" w14:textId="061E0B44" w:rsidR="00A56765" w:rsidRDefault="006908F1" w:rsidP="006F7E34">
      <w:pPr>
        <w:pStyle w:val="berschrift2"/>
        <w:numPr>
          <w:ilvl w:val="0"/>
          <w:numId w:val="0"/>
        </w:numPr>
      </w:pPr>
      <w:r>
        <w:t>2.2</w:t>
      </w:r>
      <w:r>
        <w:tab/>
      </w:r>
      <w:r w:rsidR="002B6551">
        <w:t xml:space="preserve">Einschluss </w:t>
      </w:r>
      <w:r w:rsidR="00A56765">
        <w:t>Unfall</w:t>
      </w:r>
      <w:r w:rsidR="007605B1">
        <w:t>versicherung</w:t>
      </w:r>
    </w:p>
    <w:p w14:paraId="6536B348" w14:textId="2CDA2DAC" w:rsidR="00E71EE5" w:rsidRDefault="00E71EE5" w:rsidP="00276720">
      <w:pPr>
        <w:pStyle w:val="Absatz0"/>
        <w:spacing w:after="120"/>
      </w:pPr>
      <w:r>
        <w:t>Die Fallführung ist zuständig für die Prüfung, ob der Einschluss einer Unfallversicherung in die Krankenversicherung angezeigt ist. Dies ist dann der Fall, wenn der/die KL nicht bereits durch einen Arbeitgeber</w:t>
      </w:r>
      <w:r w:rsidR="00185B28">
        <w:t xml:space="preserve">, </w:t>
      </w:r>
      <w:r>
        <w:t xml:space="preserve">einen Arbeitseinsatz </w:t>
      </w:r>
      <w:r w:rsidR="00CC713C">
        <w:t>(z.B</w:t>
      </w:r>
      <w:r w:rsidR="009D20A3">
        <w:t xml:space="preserve">. </w:t>
      </w:r>
      <w:r>
        <w:t>SEB</w:t>
      </w:r>
      <w:r w:rsidR="009D20A3">
        <w:t>)</w:t>
      </w:r>
      <w:r w:rsidR="00185B28">
        <w:t xml:space="preserve"> oder die Arbeitslosenversicherung</w:t>
      </w:r>
      <w:r>
        <w:t xml:space="preserve"> unfallversichert ist. Der/die SA veranlasst den Einschluss entweder selbst</w:t>
      </w:r>
      <w:r w:rsidR="001D2CF2">
        <w:t xml:space="preserve"> und informiert den/die KL</w:t>
      </w:r>
      <w:r w:rsidR="00167378">
        <w:t xml:space="preserve"> (KK-Administrati</w:t>
      </w:r>
      <w:r w:rsidR="00787950">
        <w:t>o</w:t>
      </w:r>
      <w:r w:rsidR="00167378">
        <w:t>n für den/die KL)</w:t>
      </w:r>
      <w:r>
        <w:t xml:space="preserve"> oder hält den/die KL dazu an</w:t>
      </w:r>
      <w:r w:rsidR="00167378">
        <w:t xml:space="preserve"> (bei </w:t>
      </w:r>
      <w:r w:rsidR="003612B9">
        <w:t>KK-</w:t>
      </w:r>
      <w:r w:rsidR="00787950">
        <w:t>Selbstadministratio</w:t>
      </w:r>
      <w:r w:rsidR="00167378">
        <w:t>n)</w:t>
      </w:r>
      <w:r>
        <w:t xml:space="preserve">. </w:t>
      </w:r>
    </w:p>
    <w:p w14:paraId="2980EA54" w14:textId="1342A3A3" w:rsidR="00E71EE5" w:rsidRDefault="00E71EE5" w:rsidP="00276720">
      <w:pPr>
        <w:pStyle w:val="Absatz0"/>
        <w:spacing w:after="120"/>
      </w:pPr>
      <w:r>
        <w:t>Ebenso</w:t>
      </w:r>
      <w:r w:rsidR="001529F2">
        <w:t xml:space="preserve"> veranlasst die Fallführung die Aufhebung </w:t>
      </w:r>
      <w:r>
        <w:t>der Unfallversicherung, wenn der/die KL n</w:t>
      </w:r>
      <w:r w:rsidR="00710451">
        <w:t xml:space="preserve">eu </w:t>
      </w:r>
      <w:r>
        <w:t>durch ei</w:t>
      </w:r>
      <w:r w:rsidR="004145E6">
        <w:t>nen Arbeitseinsatz unfallversichert</w:t>
      </w:r>
      <w:r>
        <w:t xml:space="preserve"> ist</w:t>
      </w:r>
      <w:r w:rsidR="00496FF2">
        <w:t xml:space="preserve"> und weiterhin mit WH unterstützt wird</w:t>
      </w:r>
      <w:r>
        <w:t xml:space="preserve">. </w:t>
      </w:r>
    </w:p>
    <w:p w14:paraId="079F4FBB" w14:textId="01B18846" w:rsidR="0087517D" w:rsidRDefault="006908F1" w:rsidP="006F7E34">
      <w:pPr>
        <w:pStyle w:val="berschrift1"/>
        <w:numPr>
          <w:ilvl w:val="0"/>
          <w:numId w:val="0"/>
        </w:numPr>
        <w:ind w:left="431" w:hanging="431"/>
      </w:pPr>
      <w:r>
        <w:t>2.3</w:t>
      </w:r>
      <w:r>
        <w:tab/>
      </w:r>
      <w:r w:rsidR="00021266">
        <w:t>P</w:t>
      </w:r>
      <w:r w:rsidR="00BB50F9">
        <w:t xml:space="preserve">rämienausstände </w:t>
      </w:r>
    </w:p>
    <w:p w14:paraId="2106DA09" w14:textId="2F4B13FF" w:rsidR="00963670" w:rsidRDefault="00963670" w:rsidP="006617F6">
      <w:pPr>
        <w:pStyle w:val="Absatz0"/>
        <w:rPr>
          <w:rFonts w:cs="Times New Roman"/>
          <w:szCs w:val="24"/>
        </w:rPr>
      </w:pPr>
    </w:p>
    <w:p w14:paraId="3D1C352D" w14:textId="1F9AB852" w:rsidR="00435B7C" w:rsidRPr="006F7E34" w:rsidRDefault="00435B7C" w:rsidP="007F6270">
      <w:pPr>
        <w:pStyle w:val="Absatz0"/>
        <w:rPr>
          <w:rFonts w:cs="Times New Roman"/>
          <w:b/>
          <w:szCs w:val="24"/>
          <w:u w:val="single"/>
        </w:rPr>
      </w:pPr>
      <w:r w:rsidRPr="006F7E34">
        <w:rPr>
          <w:rFonts w:cs="Times New Roman"/>
          <w:b/>
          <w:szCs w:val="24"/>
          <w:u w:val="single"/>
        </w:rPr>
        <w:t xml:space="preserve">Prämienausstände </w:t>
      </w:r>
      <w:r w:rsidR="00965E51" w:rsidRPr="006F7E34">
        <w:rPr>
          <w:rFonts w:cs="Times New Roman"/>
          <w:b/>
          <w:szCs w:val="24"/>
          <w:u w:val="single"/>
        </w:rPr>
        <w:t>vor</w:t>
      </w:r>
      <w:r w:rsidRPr="006F7E34">
        <w:rPr>
          <w:rFonts w:cs="Times New Roman"/>
          <w:b/>
          <w:szCs w:val="24"/>
          <w:u w:val="single"/>
        </w:rPr>
        <w:t xml:space="preserve"> Unterstützungsbeginn</w:t>
      </w:r>
    </w:p>
    <w:p w14:paraId="31EC05BF" w14:textId="77777777" w:rsidR="00435B7C" w:rsidRDefault="00435B7C" w:rsidP="007F6270">
      <w:pPr>
        <w:pStyle w:val="Absatz0"/>
        <w:rPr>
          <w:rFonts w:cs="Times New Roman"/>
          <w:szCs w:val="24"/>
        </w:rPr>
      </w:pPr>
    </w:p>
    <w:p w14:paraId="136D246B" w14:textId="0C022234" w:rsidR="00130332" w:rsidRDefault="00E56726" w:rsidP="00130332">
      <w:pPr>
        <w:pStyle w:val="StadtZrichInhalt"/>
        <w:ind w:left="0"/>
        <w:jc w:val="left"/>
      </w:pPr>
      <w:r>
        <w:rPr>
          <w:rFonts w:cs="Times New Roman"/>
          <w:szCs w:val="24"/>
        </w:rPr>
        <w:t>O</w:t>
      </w:r>
      <w:r w:rsidR="00963670" w:rsidRPr="002D2170">
        <w:rPr>
          <w:rFonts w:cs="Times New Roman"/>
          <w:szCs w:val="24"/>
        </w:rPr>
        <w:t>ffene KVG-</w:t>
      </w:r>
      <w:r w:rsidR="0000332A">
        <w:rPr>
          <w:rFonts w:cs="Times New Roman"/>
          <w:szCs w:val="24"/>
        </w:rPr>
        <w:t>Prämienausstände</w:t>
      </w:r>
      <w:r w:rsidR="00387AC8" w:rsidRPr="002D2170">
        <w:rPr>
          <w:rFonts w:cs="Times New Roman"/>
          <w:szCs w:val="24"/>
        </w:rPr>
        <w:t xml:space="preserve"> von </w:t>
      </w:r>
      <w:r w:rsidR="001435B5">
        <w:rPr>
          <w:rFonts w:cs="Times New Roman"/>
          <w:szCs w:val="24"/>
        </w:rPr>
        <w:t>KL</w:t>
      </w:r>
      <w:r w:rsidR="00387AC8" w:rsidRPr="002D2170">
        <w:rPr>
          <w:rFonts w:cs="Times New Roman"/>
          <w:szCs w:val="24"/>
        </w:rPr>
        <w:t>, die für die Zeit vor Beginn des Sozialhilfebezuges bestehen</w:t>
      </w:r>
      <w:r w:rsidR="00CE4506" w:rsidRPr="002D2170">
        <w:rPr>
          <w:rFonts w:cs="Times New Roman"/>
          <w:szCs w:val="24"/>
        </w:rPr>
        <w:t>,</w:t>
      </w:r>
      <w:r w:rsidR="00387AC8" w:rsidRPr="002D21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können </w:t>
      </w:r>
      <w:r w:rsidR="009C139B">
        <w:rPr>
          <w:rFonts w:cs="Times New Roman"/>
          <w:szCs w:val="24"/>
        </w:rPr>
        <w:t>gemäss Verordnung zum EG KVG</w:t>
      </w:r>
      <w:r w:rsidR="007E2C3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unter bestimmten Voraussetzungen beglichen werden</w:t>
      </w:r>
      <w:r w:rsidR="00387AC8" w:rsidRPr="002D2170">
        <w:rPr>
          <w:rFonts w:cs="Times New Roman"/>
          <w:szCs w:val="24"/>
        </w:rPr>
        <w:t>.</w:t>
      </w:r>
      <w:r w:rsidR="00FA1CB3">
        <w:rPr>
          <w:rFonts w:cs="Times New Roman"/>
          <w:szCs w:val="24"/>
        </w:rPr>
        <w:t xml:space="preserve"> </w:t>
      </w:r>
      <w:r w:rsidR="00DE38BC" w:rsidRPr="006F7E34">
        <w:t xml:space="preserve">Um </w:t>
      </w:r>
      <w:r w:rsidR="001435B5">
        <w:t>die KL</w:t>
      </w:r>
      <w:r w:rsidR="00DE38BC" w:rsidRPr="006F7E34">
        <w:t xml:space="preserve"> vor weitgehender Verschuldung zu schützen</w:t>
      </w:r>
      <w:r w:rsidR="00F744C3" w:rsidRPr="006F7E34">
        <w:t>,</w:t>
      </w:r>
      <w:r w:rsidR="00DE38BC" w:rsidRPr="006F7E34">
        <w:t xml:space="preserve"> </w:t>
      </w:r>
      <w:r w:rsidR="00FA1CB3" w:rsidRPr="003C4FB0">
        <w:rPr>
          <w:highlight w:val="yellow"/>
        </w:rPr>
        <w:t>prüf</w:t>
      </w:r>
      <w:r w:rsidR="00927A8B" w:rsidRPr="003C4FB0">
        <w:rPr>
          <w:highlight w:val="yellow"/>
        </w:rPr>
        <w:t>en wir</w:t>
      </w:r>
      <w:r w:rsidR="00927A8B">
        <w:t xml:space="preserve"> </w:t>
      </w:r>
      <w:r w:rsidR="00FA1CB3">
        <w:t xml:space="preserve">eine Übernahme der </w:t>
      </w:r>
      <w:r w:rsidR="00211562">
        <w:t>Prämienausstände</w:t>
      </w:r>
      <w:r w:rsidR="00DE38BC" w:rsidRPr="006F7E34">
        <w:t>.</w:t>
      </w:r>
      <w:r w:rsidR="001D5DDA">
        <w:t xml:space="preserve"> </w:t>
      </w:r>
      <w:r w:rsidR="00653DB0" w:rsidRPr="003C4FB0">
        <w:rPr>
          <w:highlight w:val="yellow"/>
        </w:rPr>
        <w:t xml:space="preserve">Wenn wir die Prämienausstände übernehmen, übernehmen wir stets auch die </w:t>
      </w:r>
      <w:r w:rsidR="00F52A24" w:rsidRPr="003C4FB0">
        <w:rPr>
          <w:highlight w:val="yellow"/>
        </w:rPr>
        <w:t>zu den Prämienausständen</w:t>
      </w:r>
      <w:r w:rsidR="00653DB0" w:rsidRPr="003C4FB0">
        <w:rPr>
          <w:highlight w:val="yellow"/>
        </w:rPr>
        <w:t xml:space="preserve"> gehörenden </w:t>
      </w:r>
      <w:r w:rsidR="00F52A24" w:rsidRPr="003C4FB0">
        <w:rPr>
          <w:highlight w:val="yellow"/>
        </w:rPr>
        <w:t xml:space="preserve">allfälligen </w:t>
      </w:r>
      <w:r w:rsidR="00130332" w:rsidRPr="0040581A">
        <w:rPr>
          <w:iCs/>
          <w:highlight w:val="yellow"/>
        </w:rPr>
        <w:t>Verzugszinsen, Mahnkosten sowie Betreibungskosten</w:t>
      </w:r>
      <w:r w:rsidR="00130332" w:rsidRPr="000B0802">
        <w:rPr>
          <w:iCs/>
          <w:highlight w:val="yellow"/>
        </w:rPr>
        <w:t>.</w:t>
      </w:r>
    </w:p>
    <w:p w14:paraId="13BCB12C" w14:textId="4C0462C2" w:rsidR="009C7B75" w:rsidRDefault="009C7B75" w:rsidP="00EB1F22">
      <w:pPr>
        <w:pStyle w:val="Absatz0"/>
        <w:rPr>
          <w:rFonts w:cs="Times New Roman"/>
          <w:szCs w:val="24"/>
        </w:rPr>
      </w:pPr>
    </w:p>
    <w:p w14:paraId="21AB7D59" w14:textId="33C87659" w:rsidR="00FA1CB3" w:rsidRDefault="00A75394" w:rsidP="009329C3">
      <w:pPr>
        <w:pStyle w:val="StadtZrichInhalt"/>
        <w:ind w:left="0"/>
        <w:jc w:val="left"/>
      </w:pPr>
      <w:r w:rsidRPr="006F7E34">
        <w:t>Die Fallführenden erkundigen sich</w:t>
      </w:r>
      <w:r w:rsidR="00546046">
        <w:t xml:space="preserve"> daher</w:t>
      </w:r>
      <w:r w:rsidRPr="006F7E34">
        <w:t xml:space="preserve"> aktiv bei den KL</w:t>
      </w:r>
      <w:r w:rsidR="00A56765" w:rsidRPr="006F7E34">
        <w:t xml:space="preserve"> oder direkt bei der Krankenkasse</w:t>
      </w:r>
      <w:r w:rsidR="002E07C8" w:rsidRPr="006F7E34">
        <w:t xml:space="preserve"> (wenn KK via SOD </w:t>
      </w:r>
      <w:r w:rsidR="00FD39C9" w:rsidRPr="006F7E34">
        <w:t>administriert</w:t>
      </w:r>
      <w:r w:rsidR="002E07C8" w:rsidRPr="006F7E34">
        <w:t xml:space="preserve"> wird)</w:t>
      </w:r>
      <w:r w:rsidR="008F6D41" w:rsidRPr="006F7E34">
        <w:t>, ob Prämiena</w:t>
      </w:r>
      <w:r w:rsidRPr="006F7E34">
        <w:t>usstände vorliegen</w:t>
      </w:r>
      <w:r w:rsidR="00FA1CB3">
        <w:t>.</w:t>
      </w:r>
    </w:p>
    <w:p w14:paraId="2C710DF3" w14:textId="65B4E6AC" w:rsidR="00EA6547" w:rsidRDefault="00EA6547" w:rsidP="009329C3">
      <w:pPr>
        <w:pStyle w:val="StadtZrichInhalt"/>
        <w:ind w:left="0"/>
        <w:jc w:val="left"/>
      </w:pPr>
    </w:p>
    <w:p w14:paraId="68023298" w14:textId="05BC80CF" w:rsidR="00EA6547" w:rsidRDefault="00EA6547" w:rsidP="009329C3">
      <w:pPr>
        <w:pStyle w:val="StadtZrichInhalt"/>
        <w:ind w:left="0"/>
        <w:jc w:val="left"/>
      </w:pPr>
      <w:r w:rsidRPr="00745CC1">
        <w:t xml:space="preserve">Zu prüfen ist im Zusammenhang mit der Übernahme von Prämienausständen auch, ob rückwirkend noch Prämienverbilligungen beantragt werden können. </w:t>
      </w:r>
      <w:r w:rsidRPr="0055567C">
        <w:t>Das genaue Vorgehen ist im Prozess "</w:t>
      </w:r>
      <w:hyperlink r:id="rId22" w:history="1">
        <w:r>
          <w:rPr>
            <w:rStyle w:val="Hyperlink"/>
          </w:rPr>
          <w:t>Sicherstellung IPV in der WH</w:t>
        </w:r>
      </w:hyperlink>
      <w:r w:rsidRPr="0055567C">
        <w:t>" beschrieben.</w:t>
      </w:r>
    </w:p>
    <w:p w14:paraId="32C72B6F" w14:textId="58EA83D0" w:rsidR="00FA1CB3" w:rsidRDefault="00FA1CB3" w:rsidP="009329C3">
      <w:pPr>
        <w:pStyle w:val="StadtZrichInhalt"/>
        <w:ind w:left="0"/>
        <w:jc w:val="left"/>
      </w:pPr>
    </w:p>
    <w:p w14:paraId="5B58F1DF" w14:textId="537298A5" w:rsidR="009329C3" w:rsidRDefault="00FA1CB3" w:rsidP="009329C3">
      <w:pPr>
        <w:pStyle w:val="StadtZrichInhalt"/>
        <w:ind w:left="0"/>
        <w:jc w:val="left"/>
      </w:pPr>
      <w:r>
        <w:t>Bei der Übernahme der Prämienausstände ist folgendes zu beachten:</w:t>
      </w:r>
    </w:p>
    <w:p w14:paraId="28A66D54" w14:textId="0C75A052" w:rsidR="009C139B" w:rsidRDefault="009C139B" w:rsidP="009329C3">
      <w:pPr>
        <w:pStyle w:val="StadtZrichInhalt"/>
        <w:ind w:left="0"/>
        <w:jc w:val="left"/>
      </w:pPr>
    </w:p>
    <w:p w14:paraId="2729528F" w14:textId="77777777" w:rsidR="00BA4C5C" w:rsidRDefault="00FA1CB3" w:rsidP="00546E00">
      <w:pPr>
        <w:pStyle w:val="StadtZrichInhalt"/>
        <w:ind w:left="0"/>
        <w:jc w:val="left"/>
      </w:pPr>
      <w:r>
        <w:rPr>
          <w:b/>
        </w:rPr>
        <w:t xml:space="preserve">Eine Übernahme ist </w:t>
      </w:r>
      <w:r w:rsidR="009016F0" w:rsidRPr="009016F0">
        <w:rPr>
          <w:b/>
          <w:u w:val="single"/>
        </w:rPr>
        <w:t>empfohlen</w:t>
      </w:r>
      <w:r>
        <w:rPr>
          <w:b/>
        </w:rPr>
        <w:t xml:space="preserve">, </w:t>
      </w:r>
      <w:r w:rsidRPr="001E360F">
        <w:t>wenn</w:t>
      </w:r>
      <w:r w:rsidR="009016F0" w:rsidRPr="001E360F">
        <w:t xml:space="preserve"> </w:t>
      </w:r>
    </w:p>
    <w:p w14:paraId="68A7E4EA" w14:textId="06739198" w:rsidR="00BA4C5C" w:rsidRPr="002317FE" w:rsidRDefault="009016F0" w:rsidP="002317FE">
      <w:pPr>
        <w:pStyle w:val="StadtZrichInhalt"/>
        <w:numPr>
          <w:ilvl w:val="0"/>
          <w:numId w:val="35"/>
        </w:numPr>
        <w:jc w:val="left"/>
        <w:rPr>
          <w:rFonts w:cs="Times New Roman"/>
          <w:szCs w:val="24"/>
        </w:rPr>
      </w:pPr>
      <w:r w:rsidRPr="001E360F">
        <w:t>weder eine Prämie</w:t>
      </w:r>
      <w:r w:rsidRPr="001E360F">
        <w:rPr>
          <w:rFonts w:cs="Times New Roman"/>
          <w:szCs w:val="24"/>
        </w:rPr>
        <w:t xml:space="preserve"> noch </w:t>
      </w:r>
      <w:r w:rsidR="00BA4C5C" w:rsidRPr="002317FE">
        <w:rPr>
          <w:rFonts w:cs="Times New Roman"/>
          <w:szCs w:val="24"/>
        </w:rPr>
        <w:t xml:space="preserve">eine Kostenbeteiligung in Betreibung </w:t>
      </w:r>
      <w:r w:rsidR="002317FE">
        <w:rPr>
          <w:rFonts w:cs="Times New Roman"/>
          <w:szCs w:val="24"/>
        </w:rPr>
        <w:t>ist (kumulativ)</w:t>
      </w:r>
    </w:p>
    <w:p w14:paraId="6EFA400E" w14:textId="5AB04858" w:rsidR="00BA4C5C" w:rsidRDefault="00BA4C5C" w:rsidP="00BA4C5C">
      <w:pPr>
        <w:pStyle w:val="StadtZrichInhalt"/>
        <w:numPr>
          <w:ilvl w:val="0"/>
          <w:numId w:val="35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und im Einzelfall berechtigte Gründe dafür vorliegen die Situation des/der KL zu verbessern</w:t>
      </w:r>
      <w:r w:rsidR="002317FE">
        <w:rPr>
          <w:rFonts w:cs="Times New Roman"/>
          <w:szCs w:val="24"/>
        </w:rPr>
        <w:t xml:space="preserve"> </w:t>
      </w:r>
    </w:p>
    <w:p w14:paraId="37D43DB9" w14:textId="77777777" w:rsidR="002317FE" w:rsidRDefault="002317FE" w:rsidP="002317FE">
      <w:pPr>
        <w:pStyle w:val="StadtZrichInhalt"/>
        <w:jc w:val="left"/>
        <w:rPr>
          <w:rFonts w:cs="Times New Roman"/>
          <w:szCs w:val="24"/>
        </w:rPr>
      </w:pPr>
    </w:p>
    <w:p w14:paraId="6BE9161F" w14:textId="07703107" w:rsidR="00FA1CB3" w:rsidRDefault="00FA1CB3" w:rsidP="00546E00">
      <w:pPr>
        <w:pStyle w:val="StadtZrichInhalt"/>
        <w:ind w:left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Prämienausstände können über die </w:t>
      </w:r>
      <w:r w:rsidRPr="00291127">
        <w:rPr>
          <w:rFonts w:cs="Times New Roman"/>
          <w:szCs w:val="24"/>
          <w:u w:val="single"/>
        </w:rPr>
        <w:t>LA 140</w:t>
      </w:r>
      <w:r>
        <w:rPr>
          <w:rFonts w:cs="Times New Roman"/>
          <w:szCs w:val="24"/>
        </w:rPr>
        <w:t xml:space="preserve"> und Kostenbeteiligungen als </w:t>
      </w:r>
      <w:r w:rsidRPr="00291127">
        <w:rPr>
          <w:rFonts w:cs="Times New Roman"/>
          <w:szCs w:val="24"/>
          <w:u w:val="single"/>
        </w:rPr>
        <w:t>SIL</w:t>
      </w:r>
      <w:r w:rsidR="00546E00">
        <w:rPr>
          <w:rStyle w:val="Funotenzeichen"/>
          <w:rFonts w:cs="Times New Roman"/>
          <w:szCs w:val="24"/>
          <w:u w:val="single"/>
        </w:rPr>
        <w:footnoteReference w:id="1"/>
      </w:r>
      <w:r>
        <w:rPr>
          <w:rFonts w:cs="Times New Roman"/>
          <w:szCs w:val="24"/>
        </w:rPr>
        <w:t xml:space="preserve"> </w:t>
      </w:r>
      <w:r w:rsidR="000E7ECB">
        <w:rPr>
          <w:rFonts w:cs="Times New Roman"/>
          <w:szCs w:val="24"/>
        </w:rPr>
        <w:t>(</w:t>
      </w:r>
      <w:r w:rsidR="00546E00">
        <w:rPr>
          <w:rFonts w:cs="Times New Roman"/>
          <w:szCs w:val="24"/>
        </w:rPr>
        <w:t xml:space="preserve">über die </w:t>
      </w:r>
      <w:r w:rsidR="000E7ECB">
        <w:rPr>
          <w:rFonts w:cs="Times New Roman"/>
          <w:szCs w:val="24"/>
        </w:rPr>
        <w:t xml:space="preserve">LA </w:t>
      </w:r>
      <w:r w:rsidR="00546E00">
        <w:rPr>
          <w:rFonts w:cs="Times New Roman"/>
          <w:szCs w:val="24"/>
        </w:rPr>
        <w:t xml:space="preserve">340 bzw. 341) </w:t>
      </w:r>
      <w:r>
        <w:rPr>
          <w:rFonts w:cs="Times New Roman"/>
          <w:szCs w:val="24"/>
        </w:rPr>
        <w:t>übernommen werden.</w:t>
      </w:r>
    </w:p>
    <w:p w14:paraId="76158F6A" w14:textId="06E68565" w:rsidR="002317FE" w:rsidRDefault="002317FE" w:rsidP="00546E00">
      <w:pPr>
        <w:pStyle w:val="StadtZrichInhalt"/>
        <w:ind w:left="0"/>
        <w:jc w:val="left"/>
        <w:rPr>
          <w:b/>
        </w:rPr>
      </w:pPr>
    </w:p>
    <w:p w14:paraId="549818B4" w14:textId="77777777" w:rsidR="002317FE" w:rsidRPr="00546E00" w:rsidRDefault="002317FE" w:rsidP="00546E00">
      <w:pPr>
        <w:pStyle w:val="StadtZrichInhalt"/>
        <w:ind w:left="0"/>
        <w:jc w:val="left"/>
        <w:rPr>
          <w:b/>
        </w:rPr>
      </w:pPr>
    </w:p>
    <w:p w14:paraId="7AE26988" w14:textId="048CD568" w:rsidR="00FA1CB3" w:rsidRDefault="00FA1CB3" w:rsidP="00FA1CB3">
      <w:pPr>
        <w:pStyle w:val="Absatz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Beispiele für </w:t>
      </w:r>
      <w:r w:rsidR="00546E00">
        <w:rPr>
          <w:rFonts w:cs="Times New Roman"/>
          <w:szCs w:val="24"/>
        </w:rPr>
        <w:t xml:space="preserve">eine </w:t>
      </w:r>
      <w:r w:rsidR="001E360F">
        <w:rPr>
          <w:rFonts w:cs="Times New Roman"/>
          <w:szCs w:val="24"/>
        </w:rPr>
        <w:t xml:space="preserve">mögliche </w:t>
      </w:r>
      <w:r w:rsidR="00546E00">
        <w:rPr>
          <w:rFonts w:cs="Times New Roman"/>
          <w:szCs w:val="24"/>
        </w:rPr>
        <w:t>Übernahme</w:t>
      </w:r>
      <w:r>
        <w:rPr>
          <w:rFonts w:cs="Times New Roman"/>
          <w:szCs w:val="24"/>
        </w:rPr>
        <w:t>:</w:t>
      </w:r>
    </w:p>
    <w:p w14:paraId="26E2B34A" w14:textId="5D9E2205" w:rsidR="00FA1CB3" w:rsidRDefault="00FA1CB3" w:rsidP="00BA4C5C">
      <w:pPr>
        <w:pStyle w:val="Absatz0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durch die Begleichung der Schuld wird ein Krankenkassenwechsel möglich</w:t>
      </w:r>
    </w:p>
    <w:p w14:paraId="7305D3B3" w14:textId="2F6B3C0E" w:rsidR="00FA1CB3" w:rsidRDefault="00FA1CB3" w:rsidP="00BA4C5C">
      <w:pPr>
        <w:pStyle w:val="Absatz0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eine Verschuldung wird verhindert</w:t>
      </w:r>
    </w:p>
    <w:p w14:paraId="3A3FD0EE" w14:textId="49462BF2" w:rsidR="00FA1CB3" w:rsidRDefault="00FA1CB3" w:rsidP="00BA4C5C">
      <w:pPr>
        <w:pStyle w:val="Absatz0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Personen auf Wohnungssuche erleiden keinen Nac</w:t>
      </w:r>
      <w:r w:rsidR="009C0C5F">
        <w:rPr>
          <w:rFonts w:cs="Times New Roman"/>
          <w:szCs w:val="24"/>
        </w:rPr>
        <w:t>hteil aufgrund von Betreibungen</w:t>
      </w:r>
    </w:p>
    <w:p w14:paraId="138C5EDE" w14:textId="2BF47216" w:rsidR="009C0C5F" w:rsidRDefault="009C0C5F" w:rsidP="00BA4C5C">
      <w:pPr>
        <w:pStyle w:val="Absatz0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Eine Ablösung von der Sozialhilfe ist aktuell nicht absehbar</w:t>
      </w:r>
    </w:p>
    <w:p w14:paraId="526DA675" w14:textId="567DC244" w:rsidR="00FA1CB3" w:rsidRDefault="00FA1CB3" w:rsidP="006F7E34">
      <w:pPr>
        <w:pStyle w:val="Absatz0"/>
        <w:rPr>
          <w:rFonts w:cs="Times New Roman"/>
          <w:szCs w:val="24"/>
        </w:rPr>
      </w:pPr>
    </w:p>
    <w:p w14:paraId="78F33923" w14:textId="22B75445" w:rsidR="002317FE" w:rsidRDefault="00FA1CB3" w:rsidP="006F7E34">
      <w:pPr>
        <w:pStyle w:val="Absatz0"/>
        <w:rPr>
          <w:rFonts w:cs="Times New Roman"/>
          <w:szCs w:val="24"/>
        </w:rPr>
      </w:pPr>
      <w:r w:rsidRPr="006F7E34">
        <w:rPr>
          <w:rFonts w:cs="Times New Roman"/>
          <w:b/>
          <w:szCs w:val="24"/>
        </w:rPr>
        <w:t xml:space="preserve">Eine Übernahme ist </w:t>
      </w:r>
      <w:r w:rsidR="001E360F">
        <w:rPr>
          <w:rFonts w:cs="Times New Roman"/>
          <w:b/>
          <w:szCs w:val="24"/>
        </w:rPr>
        <w:t xml:space="preserve">im begründeten Einzelfall </w:t>
      </w:r>
      <w:r w:rsidRPr="009016F0">
        <w:rPr>
          <w:rFonts w:cs="Times New Roman"/>
          <w:b/>
          <w:szCs w:val="24"/>
          <w:u w:val="single"/>
        </w:rPr>
        <w:t>möglich</w:t>
      </w:r>
      <w:r w:rsidRPr="001E360F">
        <w:rPr>
          <w:rFonts w:cs="Times New Roman"/>
          <w:szCs w:val="24"/>
        </w:rPr>
        <w:t xml:space="preserve">, </w:t>
      </w:r>
      <w:r w:rsidR="002317FE">
        <w:rPr>
          <w:rFonts w:cs="Times New Roman"/>
          <w:szCs w:val="24"/>
        </w:rPr>
        <w:t>wenn</w:t>
      </w:r>
    </w:p>
    <w:p w14:paraId="10E54B39" w14:textId="271DE592" w:rsidR="00FA1CB3" w:rsidRDefault="001E360F" w:rsidP="002317FE">
      <w:pPr>
        <w:pStyle w:val="Absatz0"/>
        <w:numPr>
          <w:ilvl w:val="0"/>
          <w:numId w:val="36"/>
        </w:numPr>
        <w:rPr>
          <w:rFonts w:cs="Times New Roman"/>
          <w:szCs w:val="24"/>
        </w:rPr>
      </w:pPr>
      <w:r w:rsidRPr="001E360F">
        <w:rPr>
          <w:rFonts w:cs="Times New Roman"/>
          <w:szCs w:val="24"/>
        </w:rPr>
        <w:t xml:space="preserve">eine Betreibung eingeleitet worden ist aber noch keine Verlustscheine vorliegen </w:t>
      </w:r>
    </w:p>
    <w:p w14:paraId="22DEBA92" w14:textId="7A322422" w:rsidR="00FA1CB3" w:rsidRDefault="00164BFC" w:rsidP="00BA4C5C">
      <w:pPr>
        <w:pStyle w:val="Absatz0"/>
        <w:numPr>
          <w:ilvl w:val="0"/>
          <w:numId w:val="3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alle </w:t>
      </w:r>
      <w:r w:rsidR="00FA1CB3">
        <w:rPr>
          <w:rFonts w:cs="Times New Roman"/>
          <w:szCs w:val="24"/>
        </w:rPr>
        <w:t xml:space="preserve">Kostenbeteiligungen </w:t>
      </w:r>
      <w:r>
        <w:rPr>
          <w:rFonts w:cs="Times New Roman"/>
          <w:szCs w:val="24"/>
        </w:rPr>
        <w:t>beglichen sind</w:t>
      </w:r>
      <w:r w:rsidR="00FA1CB3">
        <w:rPr>
          <w:rFonts w:cs="Times New Roman"/>
          <w:szCs w:val="24"/>
        </w:rPr>
        <w:t xml:space="preserve"> </w:t>
      </w:r>
      <w:r w:rsidR="001E360F">
        <w:rPr>
          <w:rFonts w:cs="Times New Roman"/>
          <w:szCs w:val="24"/>
        </w:rPr>
        <w:t>und</w:t>
      </w:r>
    </w:p>
    <w:p w14:paraId="32F9582A" w14:textId="68321946" w:rsidR="00FA1CB3" w:rsidRPr="00522DCC" w:rsidRDefault="00FA1CB3" w:rsidP="00BA4C5C">
      <w:pPr>
        <w:pStyle w:val="Absatz0"/>
        <w:numPr>
          <w:ilvl w:val="0"/>
          <w:numId w:val="3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Hinweise</w:t>
      </w:r>
      <w:r w:rsidRPr="006D6F11">
        <w:rPr>
          <w:rFonts w:cs="Times New Roman"/>
          <w:szCs w:val="24"/>
        </w:rPr>
        <w:t xml:space="preserve"> dafür vorhanden sind, dass der/die KL seit Entstehen der Prämienaus</w:t>
      </w:r>
      <w:r w:rsidRPr="00522DCC">
        <w:rPr>
          <w:rFonts w:cs="Times New Roman"/>
          <w:szCs w:val="24"/>
        </w:rPr>
        <w:t xml:space="preserve">stände </w:t>
      </w:r>
      <w:r w:rsidR="00164BFC" w:rsidRPr="00522DCC">
        <w:rPr>
          <w:rFonts w:cs="Times New Roman"/>
          <w:szCs w:val="24"/>
        </w:rPr>
        <w:t>unter</w:t>
      </w:r>
      <w:r w:rsidRPr="00522DCC">
        <w:rPr>
          <w:rFonts w:cs="Times New Roman"/>
          <w:szCs w:val="24"/>
        </w:rPr>
        <w:t xml:space="preserve"> dem sozialhilfrechtlichen Existenzminimum </w:t>
      </w:r>
      <w:r w:rsidR="00164BFC" w:rsidRPr="00522DCC">
        <w:rPr>
          <w:rFonts w:cs="Times New Roman"/>
          <w:szCs w:val="24"/>
        </w:rPr>
        <w:t>lebte</w:t>
      </w:r>
      <w:r w:rsidR="002317FE">
        <w:rPr>
          <w:rFonts w:cs="Times New Roman"/>
          <w:szCs w:val="24"/>
        </w:rPr>
        <w:t xml:space="preserve"> (kumulativ)</w:t>
      </w:r>
      <w:r w:rsidRPr="00522DCC">
        <w:rPr>
          <w:rFonts w:cs="Times New Roman"/>
          <w:szCs w:val="24"/>
        </w:rPr>
        <w:t xml:space="preserve"> </w:t>
      </w:r>
    </w:p>
    <w:p w14:paraId="5869713F" w14:textId="6B886C29" w:rsidR="00FA1CB3" w:rsidRDefault="00FA1CB3" w:rsidP="00FA1CB3">
      <w:pPr>
        <w:pStyle w:val="StadtZrichInhalt"/>
        <w:ind w:left="0"/>
        <w:jc w:val="left"/>
        <w:rPr>
          <w:rFonts w:cs="Times New Roman"/>
          <w:szCs w:val="24"/>
        </w:rPr>
      </w:pPr>
    </w:p>
    <w:p w14:paraId="4E88C4C5" w14:textId="28473F00" w:rsidR="00FA1CB3" w:rsidRPr="006F7E34" w:rsidRDefault="00C85E3F" w:rsidP="00FA1CB3">
      <w:pPr>
        <w:pStyle w:val="StadtZrichInhalt"/>
        <w:ind w:left="0"/>
        <w:jc w:val="left"/>
        <w:rPr>
          <w:rFonts w:cs="Times New Roman"/>
          <w:b/>
          <w:szCs w:val="24"/>
        </w:rPr>
      </w:pPr>
      <w:r w:rsidRPr="006F7E34">
        <w:rPr>
          <w:rFonts w:cs="Times New Roman"/>
          <w:b/>
          <w:szCs w:val="24"/>
        </w:rPr>
        <w:t xml:space="preserve">Eine </w:t>
      </w:r>
      <w:r w:rsidR="00E64D7A">
        <w:rPr>
          <w:rFonts w:cs="Times New Roman"/>
          <w:b/>
          <w:szCs w:val="24"/>
        </w:rPr>
        <w:t>Übernahm</w:t>
      </w:r>
      <w:r w:rsidRPr="006F7E34">
        <w:rPr>
          <w:rFonts w:cs="Times New Roman"/>
          <w:b/>
          <w:szCs w:val="24"/>
        </w:rPr>
        <w:t xml:space="preserve">e ist </w:t>
      </w:r>
      <w:r w:rsidRPr="001E360F">
        <w:rPr>
          <w:rFonts w:cs="Times New Roman"/>
          <w:b/>
          <w:szCs w:val="24"/>
          <w:u w:val="single"/>
        </w:rPr>
        <w:t>nicht möglich</w:t>
      </w:r>
      <w:r>
        <w:rPr>
          <w:rFonts w:cs="Times New Roman"/>
          <w:szCs w:val="24"/>
        </w:rPr>
        <w:t xml:space="preserve">, </w:t>
      </w:r>
      <w:r w:rsidRPr="001E360F">
        <w:rPr>
          <w:rFonts w:cs="Times New Roman"/>
          <w:szCs w:val="24"/>
        </w:rPr>
        <w:t>wenn</w:t>
      </w:r>
    </w:p>
    <w:p w14:paraId="08674F45" w14:textId="68C5AF81" w:rsidR="00522DCC" w:rsidRDefault="0012335A" w:rsidP="002317FE">
      <w:pPr>
        <w:pStyle w:val="Absatz0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Verlustscheine </w:t>
      </w:r>
      <w:r w:rsidR="008F3739">
        <w:rPr>
          <w:rFonts w:cs="Times New Roman"/>
          <w:szCs w:val="24"/>
        </w:rPr>
        <w:t>vorliegen</w:t>
      </w:r>
    </w:p>
    <w:p w14:paraId="1B265F38" w14:textId="35F1D6B9" w:rsidR="002B25D2" w:rsidRDefault="00164BFC" w:rsidP="002317FE">
      <w:pPr>
        <w:pStyle w:val="Absatz0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Prämienausstände</w:t>
      </w:r>
      <w:r w:rsidR="008F3739">
        <w:rPr>
          <w:rFonts w:cs="Times New Roman"/>
          <w:szCs w:val="24"/>
        </w:rPr>
        <w:t xml:space="preserve"> älter als zwei Jahre</w:t>
      </w:r>
      <w:r w:rsidR="00827C2B" w:rsidRPr="00827C2B">
        <w:rPr>
          <w:rFonts w:cs="Times New Roman"/>
          <w:szCs w:val="24"/>
        </w:rPr>
        <w:t xml:space="preserve"> </w:t>
      </w:r>
      <w:r w:rsidR="00827C2B">
        <w:rPr>
          <w:rFonts w:cs="Times New Roman"/>
          <w:szCs w:val="24"/>
        </w:rPr>
        <w:t>sind</w:t>
      </w:r>
    </w:p>
    <w:p w14:paraId="40FD945A" w14:textId="0E808C48" w:rsidR="00164BFC" w:rsidRDefault="00164BFC" w:rsidP="002317FE">
      <w:pPr>
        <w:pStyle w:val="Absatz0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Prämienausstände betrieben werden und der KL seit Entstehen dieser Prämienausständ</w:t>
      </w:r>
      <w:r w:rsidR="00E64D7A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über dem sozialhilferechtlichen Existenzminimum gelebt hat.</w:t>
      </w:r>
    </w:p>
    <w:p w14:paraId="60E517CE" w14:textId="6F94B299" w:rsidR="008E46C8" w:rsidRDefault="008E46C8" w:rsidP="00EB1F22">
      <w:pPr>
        <w:pStyle w:val="Absatz0"/>
        <w:rPr>
          <w:rFonts w:cs="Times New Roman"/>
          <w:szCs w:val="24"/>
        </w:rPr>
      </w:pPr>
    </w:p>
    <w:p w14:paraId="36948641" w14:textId="7903C954" w:rsidR="008E46C8" w:rsidRPr="000F75DB" w:rsidRDefault="008E46C8" w:rsidP="00EB1F22">
      <w:pPr>
        <w:pStyle w:val="Absatz0"/>
      </w:pPr>
      <w:r>
        <w:t>Die Kompetenz für die Übernahme liegt gemäss Kompetenzordnung der Sozialbehörde bei der Stellenleitung.</w:t>
      </w:r>
    </w:p>
    <w:p w14:paraId="3FA17322" w14:textId="77777777" w:rsidR="00BD6FB8" w:rsidRDefault="00BD6FB8" w:rsidP="00FE2AFC">
      <w:pPr>
        <w:pStyle w:val="StadtZrichInhalt"/>
        <w:ind w:left="0"/>
        <w:jc w:val="left"/>
        <w:rPr>
          <w:rFonts w:cs="Times New Roman"/>
          <w:szCs w:val="24"/>
          <w:highlight w:val="yellow"/>
        </w:rPr>
      </w:pPr>
    </w:p>
    <w:p w14:paraId="75E36889" w14:textId="2743FD92" w:rsidR="00121313" w:rsidRPr="00105864" w:rsidRDefault="00121313" w:rsidP="00105864">
      <w:pPr>
        <w:pStyle w:val="StadtZrichInhalt"/>
        <w:ind w:left="0"/>
        <w:jc w:val="left"/>
        <w:rPr>
          <w:highlight w:val="yellow"/>
        </w:rPr>
      </w:pPr>
      <w:r>
        <w:t>Bei Prämienausständen, die eine Periode während des WH Bezugs betreffen, ist in jedem Fall der Grund zu klären</w:t>
      </w:r>
      <w:r w:rsidR="00D57A96">
        <w:t xml:space="preserve">. Falls die Prämie nicht von der KK falsch verbucht wurde, ist </w:t>
      </w:r>
      <w:r>
        <w:t xml:space="preserve">der Ausstand schnellstmöglich zu begleichen. </w:t>
      </w:r>
    </w:p>
    <w:p w14:paraId="5A701B16" w14:textId="37640D1B" w:rsidR="004268C0" w:rsidRDefault="00445874" w:rsidP="00AB6003">
      <w:pPr>
        <w:pStyle w:val="berschrift1"/>
      </w:pPr>
      <w:r>
        <w:t>Information betreffend BezügerInnen von Ergänzun</w:t>
      </w:r>
      <w:r w:rsidR="001912F7">
        <w:t>g</w:t>
      </w:r>
      <w:r>
        <w:t>sleistungen</w:t>
      </w:r>
    </w:p>
    <w:p w14:paraId="058AE3A3" w14:textId="19C84F0E" w:rsidR="00520E1F" w:rsidRPr="00840006" w:rsidRDefault="00520E1F" w:rsidP="00AB6003">
      <w:pPr>
        <w:pStyle w:val="Absatz0"/>
      </w:pPr>
      <w:r>
        <w:t xml:space="preserve">Die SVA überweist für das AZL die </w:t>
      </w:r>
      <w:r w:rsidR="00DD79E0">
        <w:t>r</w:t>
      </w:r>
      <w:r>
        <w:t>egionale Durchsch</w:t>
      </w:r>
      <w:r w:rsidR="000C37E3">
        <w:t>n</w:t>
      </w:r>
      <w:r w:rsidR="00EC489A">
        <w:t>ittsprämie</w:t>
      </w:r>
      <w:r w:rsidR="00DD79E0">
        <w:t xml:space="preserve"> (RDP</w:t>
      </w:r>
      <w:r w:rsidR="00DD79E0" w:rsidRPr="00105864">
        <w:t>)</w:t>
      </w:r>
      <w:r w:rsidRPr="00105864">
        <w:t xml:space="preserve"> </w:t>
      </w:r>
      <w:r w:rsidR="005010A8" w:rsidRPr="00105864">
        <w:t>höchstens aber die tatsächliche Prämie</w:t>
      </w:r>
      <w:r w:rsidR="005010A8" w:rsidRPr="00840006">
        <w:t xml:space="preserve"> </w:t>
      </w:r>
      <w:r w:rsidRPr="00840006">
        <w:t>a</w:t>
      </w:r>
      <w:r w:rsidR="00DD79E0" w:rsidRPr="00840006">
        <w:t>ls Prämienverbilligung</w:t>
      </w:r>
      <w:r w:rsidRPr="00840006">
        <w:t xml:space="preserve"> direkt an die Krankenkasse.</w:t>
      </w:r>
      <w:r w:rsidR="008B2E8B">
        <w:t xml:space="preserve"> Die gesetz</w:t>
      </w:r>
      <w:r w:rsidR="008B2E8B" w:rsidRPr="008B2E8B">
        <w:t>lichen Übergangsbestimm</w:t>
      </w:r>
      <w:r w:rsidR="008B2E8B">
        <w:t>ungen sehen vor, dass für Bezüger</w:t>
      </w:r>
      <w:r w:rsidR="00411043">
        <w:t>*i</w:t>
      </w:r>
      <w:r w:rsidR="008B2E8B">
        <w:t>nnen</w:t>
      </w:r>
      <w:r w:rsidR="008B2E8B" w:rsidRPr="008B2E8B">
        <w:t>, für</w:t>
      </w:r>
      <w:r w:rsidR="008B2E8B">
        <w:t xml:space="preserve"> welche die EL-Reform eine Ver</w:t>
      </w:r>
      <w:r w:rsidR="008B2E8B" w:rsidRPr="008B2E8B">
        <w:t>schlechterung zur Folge hat, während eine</w:t>
      </w:r>
      <w:r w:rsidR="008B2E8B">
        <w:t>r Übergangsfrist von drei Jahren, d.h. bis 1.1.2024,</w:t>
      </w:r>
      <w:r w:rsidR="008B2E8B" w:rsidRPr="008B2E8B">
        <w:t xml:space="preserve"> das bisherige Recht gilt.</w:t>
      </w:r>
    </w:p>
    <w:p w14:paraId="23269CD3" w14:textId="77777777" w:rsidR="00DD79E0" w:rsidRPr="00840006" w:rsidRDefault="00DD79E0" w:rsidP="00AB6003">
      <w:pPr>
        <w:pStyle w:val="Absatz0"/>
      </w:pPr>
    </w:p>
    <w:p w14:paraId="5EE26CF9" w14:textId="68448554" w:rsidR="001F48BC" w:rsidRDefault="00411043" w:rsidP="00DD79E0">
      <w:pPr>
        <w:pStyle w:val="Absatz0"/>
      </w:pPr>
      <w:r>
        <w:t>Den Klient*i</w:t>
      </w:r>
      <w:r w:rsidR="00DD79E0" w:rsidRPr="00840006">
        <w:t>nnen wird durch die Krankenkasse de</w:t>
      </w:r>
      <w:r w:rsidR="000F658C">
        <w:t>r</w:t>
      </w:r>
      <w:r w:rsidR="00DD79E0" w:rsidRPr="00840006">
        <w:t xml:space="preserve"> </w:t>
      </w:r>
      <w:r w:rsidR="005010A8" w:rsidRPr="00105864">
        <w:t>allfällige</w:t>
      </w:r>
      <w:r w:rsidR="005010A8" w:rsidRPr="00840006">
        <w:t xml:space="preserve"> </w:t>
      </w:r>
      <w:r w:rsidR="00DD79E0" w:rsidRPr="00840006">
        <w:t>Restbetrag in Rechnung gestellt. Das genaue</w:t>
      </w:r>
      <w:r w:rsidR="00F502D9" w:rsidRPr="00840006">
        <w:t xml:space="preserve"> </w:t>
      </w:r>
      <w:r w:rsidR="00DD79E0" w:rsidRPr="00840006">
        <w:t xml:space="preserve">Vorgehen mit Zahlungen ist in der KiSS-Bedienerhilfe </w:t>
      </w:r>
      <w:hyperlink r:id="rId23" w:history="1">
        <w:r w:rsidR="00DD79E0" w:rsidRPr="00457BFD">
          <w:rPr>
            <w:rStyle w:val="Hyperlink"/>
          </w:rPr>
          <w:t xml:space="preserve">Direktzahlung </w:t>
        </w:r>
        <w:r w:rsidR="00457BFD" w:rsidRPr="00457BFD">
          <w:rPr>
            <w:rStyle w:val="Hyperlink"/>
          </w:rPr>
          <w:t>Regionale Durchschnittsprämie ZL</w:t>
        </w:r>
      </w:hyperlink>
      <w:bookmarkStart w:id="2" w:name="_GoBack"/>
      <w:bookmarkEnd w:id="2"/>
      <w:r w:rsidR="000F658C">
        <w:t xml:space="preserve"> festgehalten</w:t>
      </w:r>
      <w:r w:rsidR="00DD79E0" w:rsidRPr="00840006">
        <w:t>.</w:t>
      </w:r>
    </w:p>
    <w:p w14:paraId="5D065C22" w14:textId="69B5E873" w:rsidR="00F34077" w:rsidRDefault="003432A3" w:rsidP="00F34077">
      <w:pPr>
        <w:pStyle w:val="berschrift1"/>
      </w:pPr>
      <w:r>
        <w:t>Zusatzversicherung VVG / Zahn</w:t>
      </w:r>
      <w:r w:rsidR="00F10A7C">
        <w:t>zusatz</w:t>
      </w:r>
      <w:r>
        <w:t>versicherung bei Kindern</w:t>
      </w:r>
    </w:p>
    <w:p w14:paraId="787E7C0A" w14:textId="43F326C5" w:rsidR="00630CE4" w:rsidRPr="006F7E34" w:rsidRDefault="00630CE4">
      <w:pPr>
        <w:pStyle w:val="Absatz0"/>
        <w:rPr>
          <w:szCs w:val="22"/>
          <w:lang w:eastAsia="en-US"/>
        </w:rPr>
      </w:pPr>
      <w:r w:rsidRPr="006F7E34">
        <w:rPr>
          <w:szCs w:val="22"/>
          <w:lang w:eastAsia="en-US"/>
        </w:rPr>
        <w:t xml:space="preserve">Die </w:t>
      </w:r>
      <w:r w:rsidR="00315D82">
        <w:rPr>
          <w:szCs w:val="22"/>
          <w:lang w:eastAsia="en-US"/>
        </w:rPr>
        <w:t>Übernahme von VVG-Versicherungen (Prämien)</w:t>
      </w:r>
      <w:r w:rsidRPr="006F7E34">
        <w:rPr>
          <w:szCs w:val="22"/>
          <w:lang w:eastAsia="en-US"/>
        </w:rPr>
        <w:t xml:space="preserve"> ist ausnahms</w:t>
      </w:r>
      <w:r w:rsidR="008540CB">
        <w:rPr>
          <w:szCs w:val="22"/>
          <w:lang w:eastAsia="en-US"/>
        </w:rPr>
        <w:t>weise mittels</w:t>
      </w:r>
      <w:r w:rsidRPr="006F7E34">
        <w:rPr>
          <w:szCs w:val="22"/>
          <w:lang w:eastAsia="en-US"/>
        </w:rPr>
        <w:t xml:space="preserve"> SIL möglich, wenn die persönlich</w:t>
      </w:r>
      <w:r w:rsidR="003E2C97" w:rsidRPr="006F7E34">
        <w:rPr>
          <w:szCs w:val="22"/>
          <w:lang w:eastAsia="en-US"/>
        </w:rPr>
        <w:t>e</w:t>
      </w:r>
      <w:r w:rsidR="00852117" w:rsidRPr="006F7E34">
        <w:rPr>
          <w:szCs w:val="22"/>
          <w:lang w:eastAsia="en-US"/>
        </w:rPr>
        <w:t>n</w:t>
      </w:r>
      <w:r w:rsidR="003E2C97" w:rsidRPr="006F7E34">
        <w:rPr>
          <w:szCs w:val="22"/>
          <w:lang w:eastAsia="en-US"/>
        </w:rPr>
        <w:t xml:space="preserve"> Umstände dies rechtfertigen (v</w:t>
      </w:r>
      <w:r w:rsidRPr="006F7E34">
        <w:rPr>
          <w:szCs w:val="22"/>
          <w:lang w:eastAsia="en-US"/>
        </w:rPr>
        <w:t>gl.</w:t>
      </w:r>
      <w:r w:rsidR="003E2C97" w:rsidRPr="006F7E34">
        <w:rPr>
          <w:szCs w:val="22"/>
          <w:lang w:eastAsia="en-US"/>
        </w:rPr>
        <w:t xml:space="preserve"> </w:t>
      </w:r>
      <w:hyperlink r:id="rId24" w:history="1">
        <w:r w:rsidR="003E2C97" w:rsidRPr="00873DF1">
          <w:rPr>
            <w:rStyle w:val="Hyperlink"/>
            <w:szCs w:val="22"/>
            <w:lang w:eastAsia="en-US"/>
          </w:rPr>
          <w:t>SKOS-Richtlinien, Kapitel C.6.5</w:t>
        </w:r>
      </w:hyperlink>
      <w:r w:rsidR="003E2C97" w:rsidRPr="006F7E34">
        <w:rPr>
          <w:szCs w:val="22"/>
          <w:lang w:eastAsia="en-US"/>
        </w:rPr>
        <w:t>,</w:t>
      </w:r>
      <w:r w:rsidR="003E2C97" w:rsidRPr="000A753F">
        <w:rPr>
          <w:szCs w:val="22"/>
          <w:lang w:eastAsia="en-US"/>
        </w:rPr>
        <w:t xml:space="preserve"> sowie</w:t>
      </w:r>
      <w:r w:rsidRPr="006F7E34">
        <w:rPr>
          <w:szCs w:val="22"/>
          <w:lang w:eastAsia="en-US"/>
        </w:rPr>
        <w:t xml:space="preserve"> </w:t>
      </w:r>
      <w:hyperlink r:id="rId25" w:history="1">
        <w:r w:rsidRPr="006F7E34">
          <w:rPr>
            <w:rStyle w:val="Hyperlink"/>
            <w:szCs w:val="22"/>
            <w:lang w:eastAsia="en-US"/>
          </w:rPr>
          <w:t>Behördenhandbuch Kanton Zürich, 8.1.02</w:t>
        </w:r>
      </w:hyperlink>
      <w:r w:rsidRPr="006F7E34">
        <w:rPr>
          <w:szCs w:val="22"/>
          <w:lang w:eastAsia="en-US"/>
        </w:rPr>
        <w:t xml:space="preserve">). </w:t>
      </w:r>
      <w:r w:rsidR="000A753F" w:rsidRPr="006F7E34">
        <w:rPr>
          <w:szCs w:val="22"/>
          <w:lang w:eastAsia="en-US"/>
        </w:rPr>
        <w:t>Die Kompetenz dafür liegt bei der Fallführung</w:t>
      </w:r>
      <w:r w:rsidR="00E7182D">
        <w:rPr>
          <w:szCs w:val="22"/>
          <w:lang w:eastAsia="en-US"/>
        </w:rPr>
        <w:t xml:space="preserve"> (</w:t>
      </w:r>
      <w:r w:rsidR="00657059">
        <w:rPr>
          <w:szCs w:val="22"/>
          <w:lang w:eastAsia="en-US"/>
        </w:rPr>
        <w:t xml:space="preserve">entsprechende </w:t>
      </w:r>
      <w:r w:rsidR="00E7182D">
        <w:rPr>
          <w:szCs w:val="22"/>
          <w:lang w:eastAsia="en-US"/>
        </w:rPr>
        <w:t xml:space="preserve">Aktennotiz </w:t>
      </w:r>
      <w:r w:rsidR="00657059">
        <w:rPr>
          <w:szCs w:val="22"/>
          <w:lang w:eastAsia="en-US"/>
        </w:rPr>
        <w:t>anfertigen</w:t>
      </w:r>
      <w:r w:rsidR="00E7182D">
        <w:rPr>
          <w:szCs w:val="22"/>
          <w:lang w:eastAsia="en-US"/>
        </w:rPr>
        <w:t>)</w:t>
      </w:r>
      <w:r w:rsidR="000A753F" w:rsidRPr="006F7E34">
        <w:rPr>
          <w:szCs w:val="22"/>
          <w:lang w:eastAsia="en-US"/>
        </w:rPr>
        <w:t xml:space="preserve">. </w:t>
      </w:r>
      <w:r w:rsidR="00ED2DC6">
        <w:rPr>
          <w:szCs w:val="22"/>
          <w:lang w:eastAsia="en-US"/>
        </w:rPr>
        <w:t xml:space="preserve">Eine Übernahme von Prämienausständen vor Unterstützungsbeginn ist bei VVG-Versicherungen, im </w:t>
      </w:r>
      <w:r w:rsidR="00FC3C5A">
        <w:rPr>
          <w:szCs w:val="22"/>
          <w:lang w:eastAsia="en-US"/>
        </w:rPr>
        <w:t>Gegensatz zur obligatorischen Krankenversicherung</w:t>
      </w:r>
      <w:r w:rsidR="00ED2DC6">
        <w:rPr>
          <w:szCs w:val="22"/>
          <w:lang w:eastAsia="en-US"/>
        </w:rPr>
        <w:t>, nicht möglich.</w:t>
      </w:r>
    </w:p>
    <w:p w14:paraId="1F7057BC" w14:textId="77777777" w:rsidR="000A753F" w:rsidRDefault="000A753F">
      <w:pPr>
        <w:pStyle w:val="Absatz0"/>
        <w:rPr>
          <w:szCs w:val="22"/>
          <w:highlight w:val="yellow"/>
        </w:rPr>
      </w:pPr>
    </w:p>
    <w:p w14:paraId="7BC338E3" w14:textId="0D8F7578" w:rsidR="000A753F" w:rsidRDefault="00315D82">
      <w:pPr>
        <w:pStyle w:val="Absatz0"/>
        <w:rPr>
          <w:szCs w:val="22"/>
          <w:lang w:eastAsia="en-US"/>
        </w:rPr>
      </w:pPr>
      <w:r>
        <w:rPr>
          <w:szCs w:val="22"/>
          <w:lang w:eastAsia="en-US"/>
        </w:rPr>
        <w:t>Der</w:t>
      </w:r>
      <w:r w:rsidR="0036325E">
        <w:rPr>
          <w:szCs w:val="22"/>
          <w:lang w:eastAsia="en-US"/>
        </w:rPr>
        <w:t xml:space="preserve"> Abschluss </w:t>
      </w:r>
      <w:r w:rsidR="00A166C5">
        <w:rPr>
          <w:szCs w:val="22"/>
          <w:lang w:eastAsia="en-US"/>
        </w:rPr>
        <w:t>einer kostengünstigen</w:t>
      </w:r>
      <w:r w:rsidR="00262FFD" w:rsidRPr="006F7E34">
        <w:rPr>
          <w:szCs w:val="22"/>
          <w:lang w:eastAsia="en-US"/>
        </w:rPr>
        <w:t xml:space="preserve"> Zahn</w:t>
      </w:r>
      <w:r w:rsidR="00F10A7C">
        <w:rPr>
          <w:szCs w:val="22"/>
          <w:lang w:eastAsia="en-US"/>
        </w:rPr>
        <w:t>zusatz</w:t>
      </w:r>
      <w:r w:rsidR="00262FFD" w:rsidRPr="006F7E34">
        <w:rPr>
          <w:szCs w:val="22"/>
          <w:lang w:eastAsia="en-US"/>
        </w:rPr>
        <w:t>versicherung</w:t>
      </w:r>
      <w:r w:rsidR="0036325E">
        <w:rPr>
          <w:szCs w:val="22"/>
          <w:lang w:eastAsia="en-US"/>
        </w:rPr>
        <w:t xml:space="preserve"> für Kinder, die das </w:t>
      </w:r>
      <w:r w:rsidR="000F75DB">
        <w:rPr>
          <w:szCs w:val="22"/>
          <w:lang w:eastAsia="en-US"/>
        </w:rPr>
        <w:t xml:space="preserve">3. </w:t>
      </w:r>
      <w:r w:rsidR="0036325E">
        <w:rPr>
          <w:szCs w:val="22"/>
          <w:lang w:eastAsia="en-US"/>
        </w:rPr>
        <w:t>Altersjahr noch nicht vollendet haben</w:t>
      </w:r>
      <w:r>
        <w:rPr>
          <w:szCs w:val="22"/>
          <w:lang w:eastAsia="en-US"/>
        </w:rPr>
        <w:t>, wird empfohlen</w:t>
      </w:r>
      <w:r w:rsidR="0036325E">
        <w:rPr>
          <w:rStyle w:val="Kommentarzeichen"/>
        </w:rPr>
        <w:t>.</w:t>
      </w:r>
      <w:r w:rsidR="00206C12">
        <w:rPr>
          <w:szCs w:val="22"/>
          <w:lang w:eastAsia="en-US"/>
        </w:rPr>
        <w:t xml:space="preserve"> Online-Versicherungsvergleichsportale können bei der Wahl der Versicherung helfen.</w:t>
      </w:r>
      <w:r w:rsidR="003523C0">
        <w:rPr>
          <w:szCs w:val="22"/>
          <w:lang w:eastAsia="en-US"/>
        </w:rPr>
        <w:t xml:space="preserve"> </w:t>
      </w:r>
      <w:r w:rsidR="00E110BD">
        <w:rPr>
          <w:szCs w:val="22"/>
          <w:lang w:eastAsia="en-US"/>
        </w:rPr>
        <w:t>Wenn eine Zahnzusatzversicherung abgeschlossen wird, werden d</w:t>
      </w:r>
      <w:r w:rsidR="003523C0">
        <w:rPr>
          <w:szCs w:val="22"/>
          <w:lang w:eastAsia="en-US"/>
        </w:rPr>
        <w:t xml:space="preserve">ie </w:t>
      </w:r>
      <w:r w:rsidR="00E110BD">
        <w:rPr>
          <w:szCs w:val="22"/>
          <w:lang w:eastAsia="en-US"/>
        </w:rPr>
        <w:t xml:space="preserve">Prämien </w:t>
      </w:r>
      <w:r w:rsidR="003523C0">
        <w:rPr>
          <w:szCs w:val="22"/>
          <w:lang w:eastAsia="en-US"/>
        </w:rPr>
        <w:t>bis zur Volljährigkeit übernommen.</w:t>
      </w:r>
    </w:p>
    <w:p w14:paraId="021235FA" w14:textId="64339A7A" w:rsidR="00075030" w:rsidRDefault="00075030">
      <w:pPr>
        <w:pStyle w:val="Absatz0"/>
        <w:rPr>
          <w:szCs w:val="22"/>
          <w:lang w:eastAsia="en-US"/>
        </w:rPr>
      </w:pPr>
    </w:p>
    <w:p w14:paraId="2ABA314F" w14:textId="73EBFB3A" w:rsidR="00075030" w:rsidRPr="009F71AB" w:rsidRDefault="00075030">
      <w:pPr>
        <w:pStyle w:val="Absatz0"/>
        <w:rPr>
          <w:szCs w:val="22"/>
        </w:rPr>
      </w:pPr>
      <w:r>
        <w:rPr>
          <w:szCs w:val="22"/>
          <w:lang w:eastAsia="en-US"/>
        </w:rPr>
        <w:lastRenderedPageBreak/>
        <w:t xml:space="preserve">Für die Übernahme von Kostenbeteiligungen und die ensprechenden Kompetenzen gilt Ziff. 3.1. der </w:t>
      </w:r>
      <w:hyperlink r:id="rId26" w:anchor="/archive/(188BE16B-40C6-2914-41C4-51B2F49C926E)" w:history="1">
        <w:r w:rsidRPr="007630C7">
          <w:rPr>
            <w:rStyle w:val="Hyperlink"/>
            <w:szCs w:val="22"/>
            <w:lang w:eastAsia="en-US"/>
          </w:rPr>
          <w:t>HAW Situationsbedingte Leistungen</w:t>
        </w:r>
      </w:hyperlink>
      <w:r>
        <w:rPr>
          <w:szCs w:val="22"/>
          <w:lang w:eastAsia="en-US"/>
        </w:rPr>
        <w:t xml:space="preserve">. Bei Zahnbehandlungen von Kindern und Jugendlichen ist Ziff. 2.6. der </w:t>
      </w:r>
      <w:hyperlink r:id="rId27" w:history="1">
        <w:r w:rsidRPr="007630C7">
          <w:rPr>
            <w:rStyle w:val="Hyperlink"/>
            <w:szCs w:val="22"/>
            <w:lang w:eastAsia="en-US"/>
          </w:rPr>
          <w:t>HAW Zahnbehandlungen</w:t>
        </w:r>
      </w:hyperlink>
      <w:r>
        <w:rPr>
          <w:szCs w:val="22"/>
          <w:lang w:eastAsia="en-US"/>
        </w:rPr>
        <w:t xml:space="preserve"> zu beachten. </w:t>
      </w:r>
    </w:p>
    <w:sectPr w:rsidR="00075030" w:rsidRPr="009F71AB" w:rsidSect="003415A9">
      <w:type w:val="continuous"/>
      <w:pgSz w:w="11906" w:h="16838" w:code="9"/>
      <w:pgMar w:top="1985" w:right="113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BCD59" w14:textId="77777777" w:rsidR="003D35B1" w:rsidRDefault="003D35B1">
      <w:r>
        <w:separator/>
      </w:r>
    </w:p>
    <w:p w14:paraId="16419BE9" w14:textId="77777777" w:rsidR="003D35B1" w:rsidRDefault="003D35B1"/>
  </w:endnote>
  <w:endnote w:type="continuationSeparator" w:id="0">
    <w:p w14:paraId="1E6CA5C7" w14:textId="77777777" w:rsidR="003D35B1" w:rsidRDefault="003D35B1">
      <w:r>
        <w:continuationSeparator/>
      </w:r>
    </w:p>
    <w:p w14:paraId="49207592" w14:textId="77777777" w:rsidR="003D35B1" w:rsidRDefault="003D35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63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</w:tblGrid>
    <w:tr w:rsidR="00DB6D9F" w14:paraId="079F4FDE" w14:textId="77777777" w:rsidTr="00DB6D9F">
      <w:trPr>
        <w:trHeight w:val="284"/>
      </w:trPr>
      <w:tc>
        <w:tcPr>
          <w:tcW w:w="5063" w:type="dxa"/>
        </w:tcPr>
        <w:p w14:paraId="079F4FDD" w14:textId="447C5F9D" w:rsidR="00DB6D9F" w:rsidRDefault="00DB6D9F" w:rsidP="005A5E69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</w:p>
      </w:tc>
    </w:tr>
  </w:tbl>
  <w:p w14:paraId="079F4FDF" w14:textId="77777777" w:rsidR="003775CA" w:rsidRDefault="003775C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Ind w:w="3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4"/>
      <w:gridCol w:w="1172"/>
      <w:gridCol w:w="2978"/>
    </w:tblGrid>
    <w:tr w:rsidR="003775CA" w14:paraId="079F4FEA" w14:textId="77777777" w:rsidTr="0004552C">
      <w:trPr>
        <w:trHeight w:val="284"/>
      </w:trPr>
      <w:tc>
        <w:tcPr>
          <w:tcW w:w="5063" w:type="dxa"/>
        </w:tcPr>
        <w:p w14:paraId="079F4FE7" w14:textId="72249EF7" w:rsidR="003775CA" w:rsidRPr="0004552C" w:rsidRDefault="00656DF0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>KVG-Prämien</w:t>
          </w:r>
        </w:p>
      </w:tc>
      <w:tc>
        <w:tcPr>
          <w:tcW w:w="1172" w:type="dxa"/>
        </w:tcPr>
        <w:p w14:paraId="079F4FE8" w14:textId="3BA877A1" w:rsidR="003775CA" w:rsidRDefault="001F415D" w:rsidP="00276720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248"/>
            <w:jc w:val="center"/>
            <w:rPr>
              <w:sz w:val="17"/>
            </w:rPr>
          </w:pPr>
          <w:r>
            <w:rPr>
              <w:sz w:val="17"/>
            </w:rPr>
            <w:t>Version 1.0</w:t>
          </w:r>
        </w:p>
      </w:tc>
      <w:tc>
        <w:tcPr>
          <w:tcW w:w="2977" w:type="dxa"/>
        </w:tcPr>
        <w:p w14:paraId="079F4FE9" w14:textId="145C0A7E" w:rsidR="003775CA" w:rsidRDefault="003775CA" w:rsidP="00276720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261" w:right="-82"/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VerfasserIn: </w:t>
          </w:r>
          <w:r w:rsidR="003175BC">
            <w:rPr>
              <w:sz w:val="17"/>
              <w:lang w:val="de-DE"/>
            </w:rPr>
            <w:t>Fachstab WH</w:t>
          </w:r>
        </w:p>
      </w:tc>
    </w:tr>
    <w:tr w:rsidR="0004552C" w14:paraId="4B60E45A" w14:textId="77777777" w:rsidTr="0004552C">
      <w:trPr>
        <w:trHeight w:val="284"/>
      </w:trPr>
      <w:tc>
        <w:tcPr>
          <w:tcW w:w="9212" w:type="dxa"/>
          <w:gridSpan w:val="3"/>
        </w:tcPr>
        <w:p w14:paraId="296CBB79" w14:textId="2710A271" w:rsidR="0004552C" w:rsidRPr="0004552C" w:rsidRDefault="0004552C" w:rsidP="0004552C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3" w:right="-82"/>
            <w:rPr>
              <w:sz w:val="17"/>
              <w:lang w:val="de-DE"/>
            </w:rPr>
          </w:pPr>
          <w:r w:rsidRPr="0004552C"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079F4FEB" w14:textId="77777777" w:rsidR="003775CA" w:rsidRDefault="003775CA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78243" w14:textId="77777777" w:rsidR="003D35B1" w:rsidRDefault="003D35B1">
      <w:r>
        <w:separator/>
      </w:r>
    </w:p>
    <w:p w14:paraId="48CCF7F7" w14:textId="77777777" w:rsidR="003D35B1" w:rsidRDefault="003D35B1"/>
  </w:footnote>
  <w:footnote w:type="continuationSeparator" w:id="0">
    <w:p w14:paraId="283440C1" w14:textId="77777777" w:rsidR="003D35B1" w:rsidRDefault="003D35B1">
      <w:r>
        <w:continuationSeparator/>
      </w:r>
    </w:p>
    <w:p w14:paraId="77A4FB29" w14:textId="77777777" w:rsidR="003D35B1" w:rsidRDefault="003D35B1"/>
  </w:footnote>
  <w:footnote w:id="1">
    <w:p w14:paraId="24DCA5C0" w14:textId="3EC5414F" w:rsidR="00546E00" w:rsidRDefault="00546E0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46E00">
        <w:rPr>
          <w:sz w:val="18"/>
          <w:szCs w:val="18"/>
        </w:rPr>
        <w:t>Übernahme von Schulden gemäss § 22 SHV als SIL (nicht LA 141)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3775CA" w14:paraId="079F4FD7" w14:textId="77777777">
      <w:tc>
        <w:tcPr>
          <w:tcW w:w="7257" w:type="dxa"/>
          <w:gridSpan w:val="2"/>
        </w:tcPr>
        <w:p w14:paraId="079F4FD4" w14:textId="7FAE3D3C" w:rsidR="003775CA" w:rsidRDefault="00E903B5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079F4FEC" wp14:editId="3BF8B69A">
                <wp:extent cx="1352550" cy="276225"/>
                <wp:effectExtent l="0" t="0" r="0" b="0"/>
                <wp:docPr id="3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79F4FD5" w14:textId="77777777" w:rsidR="003775CA" w:rsidRDefault="003775C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079F4FD6" w14:textId="77777777" w:rsidR="003775CA" w:rsidRDefault="003775CA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3775CA" w14:paraId="079F4FDA" w14:textId="77777777">
      <w:trPr>
        <w:trHeight w:val="210"/>
      </w:trPr>
      <w:tc>
        <w:tcPr>
          <w:tcW w:w="680" w:type="dxa"/>
        </w:tcPr>
        <w:p w14:paraId="079F4FD8" w14:textId="77777777" w:rsidR="003775CA" w:rsidRDefault="003775CA">
          <w:pPr>
            <w:pStyle w:val="Kopfzeile"/>
          </w:pPr>
        </w:p>
      </w:tc>
      <w:tc>
        <w:tcPr>
          <w:tcW w:w="9072" w:type="dxa"/>
          <w:gridSpan w:val="2"/>
        </w:tcPr>
        <w:p w14:paraId="079F4FD9" w14:textId="4BC7707E" w:rsidR="003775CA" w:rsidRDefault="003775CA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7BFD">
            <w:rPr>
              <w:noProof/>
            </w:rPr>
            <w:t>4</w:t>
          </w:r>
          <w:r>
            <w:fldChar w:fldCharType="end"/>
          </w:r>
          <w:r>
            <w:t>/</w:t>
          </w:r>
          <w:r w:rsidR="00E52911">
            <w:rPr>
              <w:noProof/>
            </w:rPr>
            <w:fldChar w:fldCharType="begin"/>
          </w:r>
          <w:r w:rsidR="00E52911">
            <w:rPr>
              <w:noProof/>
            </w:rPr>
            <w:instrText xml:space="preserve"> NUMPAGES   \* MERGEFORMAT </w:instrText>
          </w:r>
          <w:r w:rsidR="00E52911">
            <w:rPr>
              <w:noProof/>
            </w:rPr>
            <w:fldChar w:fldCharType="separate"/>
          </w:r>
          <w:r w:rsidR="00457BFD">
            <w:rPr>
              <w:noProof/>
            </w:rPr>
            <w:t>4</w:t>
          </w:r>
          <w:r w:rsidR="00E52911">
            <w:rPr>
              <w:noProof/>
            </w:rPr>
            <w:fldChar w:fldCharType="end"/>
          </w:r>
        </w:p>
      </w:tc>
    </w:tr>
  </w:tbl>
  <w:p w14:paraId="079F4FDB" w14:textId="77777777" w:rsidR="003775CA" w:rsidRDefault="003775CA">
    <w:pPr>
      <w:pStyle w:val="Kopfzeile"/>
      <w:tabs>
        <w:tab w:val="clear" w:pos="4536"/>
        <w:tab w:val="clear" w:pos="9072"/>
      </w:tabs>
      <w:rPr>
        <w:sz w:val="2"/>
      </w:rPr>
    </w:pPr>
  </w:p>
  <w:p w14:paraId="079F4FDC" w14:textId="77777777" w:rsidR="003775CA" w:rsidRDefault="003775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3775CA" w14:paraId="079F4FE2" w14:textId="77777777">
      <w:tc>
        <w:tcPr>
          <w:tcW w:w="7257" w:type="dxa"/>
        </w:tcPr>
        <w:p w14:paraId="079F4FE0" w14:textId="495DE21C" w:rsidR="003775CA" w:rsidRDefault="00E903B5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079F4FED" wp14:editId="08457EF6">
                <wp:extent cx="1352550" cy="276225"/>
                <wp:effectExtent l="0" t="0" r="0" b="0"/>
                <wp:docPr id="4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079F4FE1" w14:textId="77777777" w:rsidR="003775CA" w:rsidRDefault="003775CA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3775CA" w14:paraId="079F4FE5" w14:textId="77777777">
      <w:tc>
        <w:tcPr>
          <w:tcW w:w="7257" w:type="dxa"/>
        </w:tcPr>
        <w:p w14:paraId="079F4FE3" w14:textId="77777777" w:rsidR="003775CA" w:rsidRDefault="003775C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079F4FE4" w14:textId="77777777" w:rsidR="003775CA" w:rsidRDefault="003775CA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079F4FE6" w14:textId="77777777" w:rsidR="003775CA" w:rsidRDefault="003775CA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45015A9"/>
    <w:multiLevelType w:val="hybridMultilevel"/>
    <w:tmpl w:val="D764C712"/>
    <w:lvl w:ilvl="0" w:tplc="894230E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75DCF"/>
    <w:multiLevelType w:val="hybridMultilevel"/>
    <w:tmpl w:val="3AF0735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F48BA"/>
    <w:multiLevelType w:val="hybridMultilevel"/>
    <w:tmpl w:val="1D6AC22E"/>
    <w:lvl w:ilvl="0" w:tplc="34609C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D187ECD"/>
    <w:multiLevelType w:val="hybridMultilevel"/>
    <w:tmpl w:val="50BEF25C"/>
    <w:lvl w:ilvl="0" w:tplc="793C87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34BE"/>
    <w:multiLevelType w:val="hybridMultilevel"/>
    <w:tmpl w:val="5178EAEC"/>
    <w:lvl w:ilvl="0" w:tplc="DD8838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26AD3"/>
    <w:multiLevelType w:val="hybridMultilevel"/>
    <w:tmpl w:val="B9822A26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B15C3"/>
    <w:multiLevelType w:val="hybridMultilevel"/>
    <w:tmpl w:val="A52897C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5F2583"/>
    <w:multiLevelType w:val="hybridMultilevel"/>
    <w:tmpl w:val="97CA99C4"/>
    <w:lvl w:ilvl="0" w:tplc="95DE03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34C7C"/>
    <w:multiLevelType w:val="hybridMultilevel"/>
    <w:tmpl w:val="DD4C6EF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D1746A"/>
    <w:multiLevelType w:val="hybridMultilevel"/>
    <w:tmpl w:val="9992231E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94D27"/>
    <w:multiLevelType w:val="hybridMultilevel"/>
    <w:tmpl w:val="DAB2836C"/>
    <w:lvl w:ilvl="0" w:tplc="77A440E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2" w:hanging="360"/>
      </w:pPr>
    </w:lvl>
    <w:lvl w:ilvl="2" w:tplc="0807001B" w:tentative="1">
      <w:start w:val="1"/>
      <w:numFmt w:val="lowerRoman"/>
      <w:lvlText w:val="%3."/>
      <w:lvlJc w:val="right"/>
      <w:pPr>
        <w:ind w:left="1942" w:hanging="180"/>
      </w:pPr>
    </w:lvl>
    <w:lvl w:ilvl="3" w:tplc="0807000F" w:tentative="1">
      <w:start w:val="1"/>
      <w:numFmt w:val="decimal"/>
      <w:lvlText w:val="%4."/>
      <w:lvlJc w:val="left"/>
      <w:pPr>
        <w:ind w:left="2662" w:hanging="360"/>
      </w:pPr>
    </w:lvl>
    <w:lvl w:ilvl="4" w:tplc="08070019" w:tentative="1">
      <w:start w:val="1"/>
      <w:numFmt w:val="lowerLetter"/>
      <w:lvlText w:val="%5."/>
      <w:lvlJc w:val="left"/>
      <w:pPr>
        <w:ind w:left="3382" w:hanging="360"/>
      </w:pPr>
    </w:lvl>
    <w:lvl w:ilvl="5" w:tplc="0807001B" w:tentative="1">
      <w:start w:val="1"/>
      <w:numFmt w:val="lowerRoman"/>
      <w:lvlText w:val="%6."/>
      <w:lvlJc w:val="right"/>
      <w:pPr>
        <w:ind w:left="4102" w:hanging="180"/>
      </w:pPr>
    </w:lvl>
    <w:lvl w:ilvl="6" w:tplc="0807000F" w:tentative="1">
      <w:start w:val="1"/>
      <w:numFmt w:val="decimal"/>
      <w:lvlText w:val="%7."/>
      <w:lvlJc w:val="left"/>
      <w:pPr>
        <w:ind w:left="4822" w:hanging="360"/>
      </w:pPr>
    </w:lvl>
    <w:lvl w:ilvl="7" w:tplc="08070019" w:tentative="1">
      <w:start w:val="1"/>
      <w:numFmt w:val="lowerLetter"/>
      <w:lvlText w:val="%8."/>
      <w:lvlJc w:val="left"/>
      <w:pPr>
        <w:ind w:left="5542" w:hanging="360"/>
      </w:pPr>
    </w:lvl>
    <w:lvl w:ilvl="8" w:tplc="08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9A60857"/>
    <w:multiLevelType w:val="hybridMultilevel"/>
    <w:tmpl w:val="414EB9F0"/>
    <w:lvl w:ilvl="0" w:tplc="73C4A5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C664C"/>
    <w:multiLevelType w:val="hybridMultilevel"/>
    <w:tmpl w:val="BA8CFE9C"/>
    <w:lvl w:ilvl="0" w:tplc="2D708F3E">
      <w:start w:val="2"/>
      <w:numFmt w:val="bullet"/>
      <w:lvlText w:val=""/>
      <w:lvlJc w:val="left"/>
      <w:pPr>
        <w:ind w:left="1155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 w15:restartNumberingAfterBreak="0">
    <w:nsid w:val="357D3515"/>
    <w:multiLevelType w:val="hybridMultilevel"/>
    <w:tmpl w:val="634CBC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D3AE2"/>
    <w:multiLevelType w:val="hybridMultilevel"/>
    <w:tmpl w:val="16700970"/>
    <w:lvl w:ilvl="0" w:tplc="6F2A2B36">
      <w:start w:val="1"/>
      <w:numFmt w:val="decimal"/>
      <w:lvlText w:val="%1)"/>
      <w:lvlJc w:val="left"/>
      <w:pPr>
        <w:ind w:left="795" w:hanging="435"/>
      </w:pPr>
      <w:rPr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0395D"/>
    <w:multiLevelType w:val="hybridMultilevel"/>
    <w:tmpl w:val="BF60688E"/>
    <w:lvl w:ilvl="0" w:tplc="C43262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55D80"/>
    <w:multiLevelType w:val="hybridMultilevel"/>
    <w:tmpl w:val="900EF1A2"/>
    <w:lvl w:ilvl="0" w:tplc="35CC241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F331E"/>
    <w:multiLevelType w:val="hybridMultilevel"/>
    <w:tmpl w:val="EAB26FA8"/>
    <w:lvl w:ilvl="0" w:tplc="536A9EE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63623"/>
    <w:multiLevelType w:val="hybridMultilevel"/>
    <w:tmpl w:val="1EFC1E66"/>
    <w:lvl w:ilvl="0" w:tplc="BCAC95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C5DFA"/>
    <w:multiLevelType w:val="hybridMultilevel"/>
    <w:tmpl w:val="DA6608D8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457C7"/>
    <w:multiLevelType w:val="hybridMultilevel"/>
    <w:tmpl w:val="5AE09E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F92BD1"/>
    <w:multiLevelType w:val="hybridMultilevel"/>
    <w:tmpl w:val="05E45600"/>
    <w:lvl w:ilvl="0" w:tplc="97B4698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47499"/>
    <w:multiLevelType w:val="hybridMultilevel"/>
    <w:tmpl w:val="45D2D5C0"/>
    <w:lvl w:ilvl="0" w:tplc="DDDE1C5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650A2"/>
    <w:multiLevelType w:val="hybridMultilevel"/>
    <w:tmpl w:val="21A86AB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9A71A3"/>
    <w:multiLevelType w:val="hybridMultilevel"/>
    <w:tmpl w:val="A87886C0"/>
    <w:lvl w:ilvl="0" w:tplc="B46C43F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E478A"/>
    <w:multiLevelType w:val="hybridMultilevel"/>
    <w:tmpl w:val="584254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94D47"/>
    <w:multiLevelType w:val="hybridMultilevel"/>
    <w:tmpl w:val="BC42D702"/>
    <w:lvl w:ilvl="0" w:tplc="32AC620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A11F6"/>
    <w:multiLevelType w:val="multilevel"/>
    <w:tmpl w:val="8FD0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25"/>
  </w:num>
  <w:num w:numId="5">
    <w:abstractNumId w:val="31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24"/>
  </w:num>
  <w:num w:numId="12">
    <w:abstractNumId w:val="20"/>
  </w:num>
  <w:num w:numId="13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9"/>
  </w:num>
  <w:num w:numId="15">
    <w:abstractNumId w:val="20"/>
  </w:num>
  <w:num w:numId="16">
    <w:abstractNumId w:val="26"/>
  </w:num>
  <w:num w:numId="17">
    <w:abstractNumId w:val="2"/>
  </w:num>
  <w:num w:numId="18">
    <w:abstractNumId w:val="21"/>
  </w:num>
  <w:num w:numId="19">
    <w:abstractNumId w:val="28"/>
  </w:num>
  <w:num w:numId="20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3"/>
  </w:num>
  <w:num w:numId="22">
    <w:abstractNumId w:val="3"/>
  </w:num>
  <w:num w:numId="23">
    <w:abstractNumId w:val="8"/>
  </w:num>
  <w:num w:numId="24">
    <w:abstractNumId w:val="32"/>
  </w:num>
  <w:num w:numId="25">
    <w:abstractNumId w:val="18"/>
  </w:num>
  <w:num w:numId="26">
    <w:abstractNumId w:val="6"/>
  </w:num>
  <w:num w:numId="27">
    <w:abstractNumId w:val="17"/>
  </w:num>
  <w:num w:numId="28">
    <w:abstractNumId w:val="14"/>
  </w:num>
  <w:num w:numId="29">
    <w:abstractNumId w:val="15"/>
  </w:num>
  <w:num w:numId="30">
    <w:abstractNumId w:val="16"/>
  </w:num>
  <w:num w:numId="31">
    <w:abstractNumId w:val="4"/>
  </w:num>
  <w:num w:numId="32">
    <w:abstractNumId w:val="23"/>
  </w:num>
  <w:num w:numId="33">
    <w:abstractNumId w:val="11"/>
  </w:num>
  <w:num w:numId="34">
    <w:abstractNumId w:val="27"/>
  </w:num>
  <w:num w:numId="35">
    <w:abstractNumId w:val="19"/>
  </w:num>
  <w:num w:numId="36">
    <w:abstractNumId w:val="30"/>
  </w:num>
  <w:num w:numId="37">
    <w:abstractNumId w:val="33"/>
  </w:num>
  <w:num w:numId="38">
    <w:abstractNumId w:val="22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FF9DDD6-36A2-4552-BB04-565EE12E8288}"/>
    <w:docVar w:name="dgnword-eventsink" w:val="706928392"/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E557A8"/>
    <w:rsid w:val="00000AC6"/>
    <w:rsid w:val="00002914"/>
    <w:rsid w:val="0000332A"/>
    <w:rsid w:val="00004686"/>
    <w:rsid w:val="000106DB"/>
    <w:rsid w:val="00013290"/>
    <w:rsid w:val="00014428"/>
    <w:rsid w:val="000151B2"/>
    <w:rsid w:val="00021266"/>
    <w:rsid w:val="00024E14"/>
    <w:rsid w:val="0002586D"/>
    <w:rsid w:val="0002616C"/>
    <w:rsid w:val="00026D5F"/>
    <w:rsid w:val="000337B9"/>
    <w:rsid w:val="00034E62"/>
    <w:rsid w:val="00035554"/>
    <w:rsid w:val="00036774"/>
    <w:rsid w:val="0004496B"/>
    <w:rsid w:val="0004552C"/>
    <w:rsid w:val="000538C0"/>
    <w:rsid w:val="0005736E"/>
    <w:rsid w:val="000579EE"/>
    <w:rsid w:val="00073A59"/>
    <w:rsid w:val="00075030"/>
    <w:rsid w:val="00084290"/>
    <w:rsid w:val="000843C3"/>
    <w:rsid w:val="00085A2D"/>
    <w:rsid w:val="00095476"/>
    <w:rsid w:val="0009589B"/>
    <w:rsid w:val="000977EF"/>
    <w:rsid w:val="000A41BE"/>
    <w:rsid w:val="000A753F"/>
    <w:rsid w:val="000B0802"/>
    <w:rsid w:val="000B1DE2"/>
    <w:rsid w:val="000B2EE5"/>
    <w:rsid w:val="000C37E3"/>
    <w:rsid w:val="000C4B9A"/>
    <w:rsid w:val="000D5423"/>
    <w:rsid w:val="000D6D0D"/>
    <w:rsid w:val="000D7B6C"/>
    <w:rsid w:val="000E7E8C"/>
    <w:rsid w:val="000E7ECB"/>
    <w:rsid w:val="000F173C"/>
    <w:rsid w:val="000F658C"/>
    <w:rsid w:val="000F75DB"/>
    <w:rsid w:val="001015FD"/>
    <w:rsid w:val="001018A4"/>
    <w:rsid w:val="00101EAC"/>
    <w:rsid w:val="00102487"/>
    <w:rsid w:val="00104B6C"/>
    <w:rsid w:val="001053B6"/>
    <w:rsid w:val="00105864"/>
    <w:rsid w:val="0010692C"/>
    <w:rsid w:val="00111881"/>
    <w:rsid w:val="00116F81"/>
    <w:rsid w:val="00121313"/>
    <w:rsid w:val="00122679"/>
    <w:rsid w:val="0012335A"/>
    <w:rsid w:val="00124209"/>
    <w:rsid w:val="00130332"/>
    <w:rsid w:val="001309B6"/>
    <w:rsid w:val="001429E8"/>
    <w:rsid w:val="001435B5"/>
    <w:rsid w:val="00146D2C"/>
    <w:rsid w:val="001471B4"/>
    <w:rsid w:val="001529F2"/>
    <w:rsid w:val="00153FD3"/>
    <w:rsid w:val="00163404"/>
    <w:rsid w:val="00164BFC"/>
    <w:rsid w:val="00167378"/>
    <w:rsid w:val="00180674"/>
    <w:rsid w:val="00180B60"/>
    <w:rsid w:val="00182446"/>
    <w:rsid w:val="0018263B"/>
    <w:rsid w:val="00185B28"/>
    <w:rsid w:val="00191284"/>
    <w:rsid w:val="001912F7"/>
    <w:rsid w:val="00193B22"/>
    <w:rsid w:val="00193E8F"/>
    <w:rsid w:val="00195894"/>
    <w:rsid w:val="001968CD"/>
    <w:rsid w:val="001A1355"/>
    <w:rsid w:val="001A1F9C"/>
    <w:rsid w:val="001A65FF"/>
    <w:rsid w:val="001A785B"/>
    <w:rsid w:val="001B66A0"/>
    <w:rsid w:val="001C45BD"/>
    <w:rsid w:val="001C4D22"/>
    <w:rsid w:val="001C57DE"/>
    <w:rsid w:val="001D264B"/>
    <w:rsid w:val="001D2CF2"/>
    <w:rsid w:val="001D5835"/>
    <w:rsid w:val="001D5DDA"/>
    <w:rsid w:val="001E360F"/>
    <w:rsid w:val="001F415D"/>
    <w:rsid w:val="001F48BC"/>
    <w:rsid w:val="001F7379"/>
    <w:rsid w:val="001F7816"/>
    <w:rsid w:val="0020507D"/>
    <w:rsid w:val="00206C12"/>
    <w:rsid w:val="00207734"/>
    <w:rsid w:val="002109F8"/>
    <w:rsid w:val="00211562"/>
    <w:rsid w:val="002123CF"/>
    <w:rsid w:val="0021245A"/>
    <w:rsid w:val="002129A1"/>
    <w:rsid w:val="00220FD2"/>
    <w:rsid w:val="00221D48"/>
    <w:rsid w:val="002237BA"/>
    <w:rsid w:val="0022527D"/>
    <w:rsid w:val="002317FE"/>
    <w:rsid w:val="002341E4"/>
    <w:rsid w:val="0024293E"/>
    <w:rsid w:val="002458FC"/>
    <w:rsid w:val="0024687E"/>
    <w:rsid w:val="0024701D"/>
    <w:rsid w:val="00255403"/>
    <w:rsid w:val="00256666"/>
    <w:rsid w:val="00262FFD"/>
    <w:rsid w:val="00266C2C"/>
    <w:rsid w:val="00272BEB"/>
    <w:rsid w:val="00273C07"/>
    <w:rsid w:val="00273DB2"/>
    <w:rsid w:val="002746AD"/>
    <w:rsid w:val="00276720"/>
    <w:rsid w:val="00277377"/>
    <w:rsid w:val="0027778D"/>
    <w:rsid w:val="002802B3"/>
    <w:rsid w:val="00283285"/>
    <w:rsid w:val="002866BB"/>
    <w:rsid w:val="00287120"/>
    <w:rsid w:val="002875A2"/>
    <w:rsid w:val="00287CCD"/>
    <w:rsid w:val="00292914"/>
    <w:rsid w:val="00294A8D"/>
    <w:rsid w:val="002A0841"/>
    <w:rsid w:val="002A2DB6"/>
    <w:rsid w:val="002A592E"/>
    <w:rsid w:val="002B163F"/>
    <w:rsid w:val="002B25D2"/>
    <w:rsid w:val="002B3384"/>
    <w:rsid w:val="002B3B27"/>
    <w:rsid w:val="002B4853"/>
    <w:rsid w:val="002B6551"/>
    <w:rsid w:val="002C006A"/>
    <w:rsid w:val="002C1525"/>
    <w:rsid w:val="002C5A68"/>
    <w:rsid w:val="002D1F10"/>
    <w:rsid w:val="002D2170"/>
    <w:rsid w:val="002D3F10"/>
    <w:rsid w:val="002D64D3"/>
    <w:rsid w:val="002E07C8"/>
    <w:rsid w:val="002E09E7"/>
    <w:rsid w:val="002F00C8"/>
    <w:rsid w:val="002F6548"/>
    <w:rsid w:val="00311182"/>
    <w:rsid w:val="00311183"/>
    <w:rsid w:val="00313B79"/>
    <w:rsid w:val="00315CE9"/>
    <w:rsid w:val="00315D82"/>
    <w:rsid w:val="003165B6"/>
    <w:rsid w:val="00316701"/>
    <w:rsid w:val="003175BC"/>
    <w:rsid w:val="0032188A"/>
    <w:rsid w:val="00331020"/>
    <w:rsid w:val="003310AC"/>
    <w:rsid w:val="00336B90"/>
    <w:rsid w:val="00340F2F"/>
    <w:rsid w:val="003413A2"/>
    <w:rsid w:val="003415A9"/>
    <w:rsid w:val="00342FD3"/>
    <w:rsid w:val="003432A3"/>
    <w:rsid w:val="003523C0"/>
    <w:rsid w:val="00355004"/>
    <w:rsid w:val="003559C7"/>
    <w:rsid w:val="00357441"/>
    <w:rsid w:val="00360714"/>
    <w:rsid w:val="003612B9"/>
    <w:rsid w:val="0036325E"/>
    <w:rsid w:val="00367CAA"/>
    <w:rsid w:val="00371525"/>
    <w:rsid w:val="003739BE"/>
    <w:rsid w:val="00374E11"/>
    <w:rsid w:val="00375FC2"/>
    <w:rsid w:val="0037741F"/>
    <w:rsid w:val="003775CA"/>
    <w:rsid w:val="00380AD1"/>
    <w:rsid w:val="003813D5"/>
    <w:rsid w:val="003870E3"/>
    <w:rsid w:val="00387AC8"/>
    <w:rsid w:val="003A3389"/>
    <w:rsid w:val="003A3424"/>
    <w:rsid w:val="003A5368"/>
    <w:rsid w:val="003C4FB0"/>
    <w:rsid w:val="003C61AC"/>
    <w:rsid w:val="003D35B1"/>
    <w:rsid w:val="003D6E56"/>
    <w:rsid w:val="003E014F"/>
    <w:rsid w:val="003E0821"/>
    <w:rsid w:val="003E11E4"/>
    <w:rsid w:val="003E2C97"/>
    <w:rsid w:val="003E42B5"/>
    <w:rsid w:val="003E4E00"/>
    <w:rsid w:val="003E5E1E"/>
    <w:rsid w:val="003E5FC8"/>
    <w:rsid w:val="003F71E9"/>
    <w:rsid w:val="00400504"/>
    <w:rsid w:val="0040581A"/>
    <w:rsid w:val="00411043"/>
    <w:rsid w:val="00411C39"/>
    <w:rsid w:val="004145E6"/>
    <w:rsid w:val="004166E1"/>
    <w:rsid w:val="00420725"/>
    <w:rsid w:val="004212DE"/>
    <w:rsid w:val="00423673"/>
    <w:rsid w:val="00425992"/>
    <w:rsid w:val="00425F5E"/>
    <w:rsid w:val="004268C0"/>
    <w:rsid w:val="0043140D"/>
    <w:rsid w:val="00431533"/>
    <w:rsid w:val="00432338"/>
    <w:rsid w:val="00432BA2"/>
    <w:rsid w:val="00434BBB"/>
    <w:rsid w:val="004351FE"/>
    <w:rsid w:val="004359A5"/>
    <w:rsid w:val="00435B7C"/>
    <w:rsid w:val="00435CD3"/>
    <w:rsid w:val="00440841"/>
    <w:rsid w:val="004408E9"/>
    <w:rsid w:val="00441EF0"/>
    <w:rsid w:val="00443004"/>
    <w:rsid w:val="0044333E"/>
    <w:rsid w:val="00443967"/>
    <w:rsid w:val="00445874"/>
    <w:rsid w:val="00445D82"/>
    <w:rsid w:val="00446B53"/>
    <w:rsid w:val="004524FE"/>
    <w:rsid w:val="00455F64"/>
    <w:rsid w:val="00457BFD"/>
    <w:rsid w:val="00464278"/>
    <w:rsid w:val="00466E86"/>
    <w:rsid w:val="00467589"/>
    <w:rsid w:val="00467B61"/>
    <w:rsid w:val="0047381A"/>
    <w:rsid w:val="00480D43"/>
    <w:rsid w:val="0048134A"/>
    <w:rsid w:val="0048175B"/>
    <w:rsid w:val="00485A60"/>
    <w:rsid w:val="0048774D"/>
    <w:rsid w:val="00490271"/>
    <w:rsid w:val="00490A7B"/>
    <w:rsid w:val="00492C3E"/>
    <w:rsid w:val="00496136"/>
    <w:rsid w:val="00496FF2"/>
    <w:rsid w:val="004972E8"/>
    <w:rsid w:val="004B1800"/>
    <w:rsid w:val="004B2386"/>
    <w:rsid w:val="004B3C62"/>
    <w:rsid w:val="004B51C2"/>
    <w:rsid w:val="004B67FC"/>
    <w:rsid w:val="004C255F"/>
    <w:rsid w:val="004C5C8B"/>
    <w:rsid w:val="004D0F5F"/>
    <w:rsid w:val="004E19E2"/>
    <w:rsid w:val="004E3A10"/>
    <w:rsid w:val="004E4062"/>
    <w:rsid w:val="004F13F1"/>
    <w:rsid w:val="004F3328"/>
    <w:rsid w:val="004F384E"/>
    <w:rsid w:val="005010A8"/>
    <w:rsid w:val="00502007"/>
    <w:rsid w:val="00503D6D"/>
    <w:rsid w:val="00515AB9"/>
    <w:rsid w:val="00516BE9"/>
    <w:rsid w:val="00516C26"/>
    <w:rsid w:val="00520E1F"/>
    <w:rsid w:val="00522DCC"/>
    <w:rsid w:val="005248A9"/>
    <w:rsid w:val="0053312E"/>
    <w:rsid w:val="00543CBA"/>
    <w:rsid w:val="00546046"/>
    <w:rsid w:val="00546B7C"/>
    <w:rsid w:val="00546E00"/>
    <w:rsid w:val="005473D7"/>
    <w:rsid w:val="00552F5B"/>
    <w:rsid w:val="0057277C"/>
    <w:rsid w:val="005754A8"/>
    <w:rsid w:val="00580E8A"/>
    <w:rsid w:val="00585180"/>
    <w:rsid w:val="005905DA"/>
    <w:rsid w:val="005914CC"/>
    <w:rsid w:val="00593102"/>
    <w:rsid w:val="005A4394"/>
    <w:rsid w:val="005A45D4"/>
    <w:rsid w:val="005A5E69"/>
    <w:rsid w:val="005B1560"/>
    <w:rsid w:val="005B1E97"/>
    <w:rsid w:val="005B57B9"/>
    <w:rsid w:val="005B5ABD"/>
    <w:rsid w:val="005C12E1"/>
    <w:rsid w:val="005C2495"/>
    <w:rsid w:val="005C38B0"/>
    <w:rsid w:val="005C6C8F"/>
    <w:rsid w:val="005D09E3"/>
    <w:rsid w:val="005D3676"/>
    <w:rsid w:val="005D550D"/>
    <w:rsid w:val="005D75C6"/>
    <w:rsid w:val="005D7947"/>
    <w:rsid w:val="005E2CE6"/>
    <w:rsid w:val="005E6372"/>
    <w:rsid w:val="005F2AA1"/>
    <w:rsid w:val="005F6401"/>
    <w:rsid w:val="005F6C3D"/>
    <w:rsid w:val="005F7F20"/>
    <w:rsid w:val="006210C5"/>
    <w:rsid w:val="0062287E"/>
    <w:rsid w:val="00622E4E"/>
    <w:rsid w:val="006233F1"/>
    <w:rsid w:val="00630CE4"/>
    <w:rsid w:val="0063284A"/>
    <w:rsid w:val="00636E19"/>
    <w:rsid w:val="006402E3"/>
    <w:rsid w:val="00640433"/>
    <w:rsid w:val="00645F7F"/>
    <w:rsid w:val="006518A7"/>
    <w:rsid w:val="00652AB1"/>
    <w:rsid w:val="00653DB0"/>
    <w:rsid w:val="00656DF0"/>
    <w:rsid w:val="00657059"/>
    <w:rsid w:val="00660265"/>
    <w:rsid w:val="0066157F"/>
    <w:rsid w:val="006617F6"/>
    <w:rsid w:val="006630FF"/>
    <w:rsid w:val="00663E9F"/>
    <w:rsid w:val="0066584C"/>
    <w:rsid w:val="00666FDE"/>
    <w:rsid w:val="006677B8"/>
    <w:rsid w:val="00684176"/>
    <w:rsid w:val="0068789E"/>
    <w:rsid w:val="006908F1"/>
    <w:rsid w:val="006A1D71"/>
    <w:rsid w:val="006A302D"/>
    <w:rsid w:val="006A6466"/>
    <w:rsid w:val="006B047D"/>
    <w:rsid w:val="006B10BD"/>
    <w:rsid w:val="006B2CFF"/>
    <w:rsid w:val="006B6C60"/>
    <w:rsid w:val="006C018B"/>
    <w:rsid w:val="006C22EA"/>
    <w:rsid w:val="006C388C"/>
    <w:rsid w:val="006C5973"/>
    <w:rsid w:val="006D6F11"/>
    <w:rsid w:val="006E4CFF"/>
    <w:rsid w:val="006E5968"/>
    <w:rsid w:val="006E7C6F"/>
    <w:rsid w:val="006F4BB4"/>
    <w:rsid w:val="006F7BA7"/>
    <w:rsid w:val="006F7E34"/>
    <w:rsid w:val="0070695E"/>
    <w:rsid w:val="00706FB5"/>
    <w:rsid w:val="00710451"/>
    <w:rsid w:val="00711334"/>
    <w:rsid w:val="0071284D"/>
    <w:rsid w:val="007129DC"/>
    <w:rsid w:val="0072290C"/>
    <w:rsid w:val="00722A6F"/>
    <w:rsid w:val="00725AC5"/>
    <w:rsid w:val="007334B9"/>
    <w:rsid w:val="00734B4F"/>
    <w:rsid w:val="007421F7"/>
    <w:rsid w:val="00747759"/>
    <w:rsid w:val="007477CA"/>
    <w:rsid w:val="00753628"/>
    <w:rsid w:val="00753983"/>
    <w:rsid w:val="00754C86"/>
    <w:rsid w:val="007605B1"/>
    <w:rsid w:val="007608C1"/>
    <w:rsid w:val="00761584"/>
    <w:rsid w:val="007630C7"/>
    <w:rsid w:val="00767E86"/>
    <w:rsid w:val="0077278C"/>
    <w:rsid w:val="0077691A"/>
    <w:rsid w:val="00782C39"/>
    <w:rsid w:val="00787658"/>
    <w:rsid w:val="00787950"/>
    <w:rsid w:val="007944ED"/>
    <w:rsid w:val="00797939"/>
    <w:rsid w:val="00797FF3"/>
    <w:rsid w:val="007A1305"/>
    <w:rsid w:val="007A1802"/>
    <w:rsid w:val="007B1416"/>
    <w:rsid w:val="007C102C"/>
    <w:rsid w:val="007C38AC"/>
    <w:rsid w:val="007C3EBA"/>
    <w:rsid w:val="007C56CE"/>
    <w:rsid w:val="007D5C0E"/>
    <w:rsid w:val="007D6AF4"/>
    <w:rsid w:val="007E2C33"/>
    <w:rsid w:val="007F6270"/>
    <w:rsid w:val="008049AB"/>
    <w:rsid w:val="00805B72"/>
    <w:rsid w:val="00810DD8"/>
    <w:rsid w:val="008141F2"/>
    <w:rsid w:val="00817B05"/>
    <w:rsid w:val="00820DD6"/>
    <w:rsid w:val="00823193"/>
    <w:rsid w:val="0082352D"/>
    <w:rsid w:val="00825F96"/>
    <w:rsid w:val="00827C2B"/>
    <w:rsid w:val="0083223F"/>
    <w:rsid w:val="00833D73"/>
    <w:rsid w:val="00834BAC"/>
    <w:rsid w:val="00840006"/>
    <w:rsid w:val="00847367"/>
    <w:rsid w:val="00852117"/>
    <w:rsid w:val="00852308"/>
    <w:rsid w:val="008540CB"/>
    <w:rsid w:val="00857F0D"/>
    <w:rsid w:val="008621E4"/>
    <w:rsid w:val="008704F3"/>
    <w:rsid w:val="00870CC4"/>
    <w:rsid w:val="00873DF1"/>
    <w:rsid w:val="0087517D"/>
    <w:rsid w:val="00880DC7"/>
    <w:rsid w:val="00881E53"/>
    <w:rsid w:val="0088610A"/>
    <w:rsid w:val="0088669D"/>
    <w:rsid w:val="00886FA3"/>
    <w:rsid w:val="00897195"/>
    <w:rsid w:val="00897618"/>
    <w:rsid w:val="008B2E8B"/>
    <w:rsid w:val="008B7B52"/>
    <w:rsid w:val="008C5F4E"/>
    <w:rsid w:val="008C7CE2"/>
    <w:rsid w:val="008D13E4"/>
    <w:rsid w:val="008D1685"/>
    <w:rsid w:val="008D1B29"/>
    <w:rsid w:val="008D53FD"/>
    <w:rsid w:val="008E0E68"/>
    <w:rsid w:val="008E46C8"/>
    <w:rsid w:val="008E560D"/>
    <w:rsid w:val="008E62D1"/>
    <w:rsid w:val="008F0E3D"/>
    <w:rsid w:val="008F29F2"/>
    <w:rsid w:val="008F3739"/>
    <w:rsid w:val="008F5E34"/>
    <w:rsid w:val="008F6268"/>
    <w:rsid w:val="008F6D41"/>
    <w:rsid w:val="009016F0"/>
    <w:rsid w:val="00901CB5"/>
    <w:rsid w:val="00902524"/>
    <w:rsid w:val="00904B8B"/>
    <w:rsid w:val="009102DB"/>
    <w:rsid w:val="00916FCF"/>
    <w:rsid w:val="00917276"/>
    <w:rsid w:val="00921C98"/>
    <w:rsid w:val="0092219A"/>
    <w:rsid w:val="009248DC"/>
    <w:rsid w:val="00927440"/>
    <w:rsid w:val="00927A8B"/>
    <w:rsid w:val="009329C3"/>
    <w:rsid w:val="00933D47"/>
    <w:rsid w:val="00936629"/>
    <w:rsid w:val="00943A2F"/>
    <w:rsid w:val="00945273"/>
    <w:rsid w:val="009505B0"/>
    <w:rsid w:val="009604CD"/>
    <w:rsid w:val="00963670"/>
    <w:rsid w:val="00965E51"/>
    <w:rsid w:val="00974D0A"/>
    <w:rsid w:val="00975333"/>
    <w:rsid w:val="0098016A"/>
    <w:rsid w:val="009807F6"/>
    <w:rsid w:val="0098126F"/>
    <w:rsid w:val="0098299D"/>
    <w:rsid w:val="009837F7"/>
    <w:rsid w:val="00984508"/>
    <w:rsid w:val="009876B6"/>
    <w:rsid w:val="00990C05"/>
    <w:rsid w:val="00993D2A"/>
    <w:rsid w:val="009A225B"/>
    <w:rsid w:val="009B3FE1"/>
    <w:rsid w:val="009B49A8"/>
    <w:rsid w:val="009B6B3C"/>
    <w:rsid w:val="009C0C5F"/>
    <w:rsid w:val="009C139B"/>
    <w:rsid w:val="009C38F1"/>
    <w:rsid w:val="009C4F28"/>
    <w:rsid w:val="009C76D9"/>
    <w:rsid w:val="009C7B75"/>
    <w:rsid w:val="009D01AD"/>
    <w:rsid w:val="009D20A3"/>
    <w:rsid w:val="009D5ABB"/>
    <w:rsid w:val="009D7F60"/>
    <w:rsid w:val="009E0EE5"/>
    <w:rsid w:val="009E35CB"/>
    <w:rsid w:val="009E59D0"/>
    <w:rsid w:val="009E7508"/>
    <w:rsid w:val="009F359E"/>
    <w:rsid w:val="009F4BFE"/>
    <w:rsid w:val="009F6194"/>
    <w:rsid w:val="009F647C"/>
    <w:rsid w:val="009F71AB"/>
    <w:rsid w:val="009F72C0"/>
    <w:rsid w:val="009F7EF1"/>
    <w:rsid w:val="00A166C5"/>
    <w:rsid w:val="00A17098"/>
    <w:rsid w:val="00A244AB"/>
    <w:rsid w:val="00A3068D"/>
    <w:rsid w:val="00A3205C"/>
    <w:rsid w:val="00A35FD7"/>
    <w:rsid w:val="00A40CE4"/>
    <w:rsid w:val="00A40D0B"/>
    <w:rsid w:val="00A4264C"/>
    <w:rsid w:val="00A47193"/>
    <w:rsid w:val="00A5304B"/>
    <w:rsid w:val="00A53570"/>
    <w:rsid w:val="00A56765"/>
    <w:rsid w:val="00A57857"/>
    <w:rsid w:val="00A57901"/>
    <w:rsid w:val="00A57B1E"/>
    <w:rsid w:val="00A62587"/>
    <w:rsid w:val="00A673DC"/>
    <w:rsid w:val="00A75394"/>
    <w:rsid w:val="00A77A5E"/>
    <w:rsid w:val="00A82EA0"/>
    <w:rsid w:val="00A85AFF"/>
    <w:rsid w:val="00A9074D"/>
    <w:rsid w:val="00A9125F"/>
    <w:rsid w:val="00A9365A"/>
    <w:rsid w:val="00A942BA"/>
    <w:rsid w:val="00AA28B3"/>
    <w:rsid w:val="00AA3433"/>
    <w:rsid w:val="00AA369A"/>
    <w:rsid w:val="00AB3487"/>
    <w:rsid w:val="00AB55F4"/>
    <w:rsid w:val="00AB6003"/>
    <w:rsid w:val="00AB68C8"/>
    <w:rsid w:val="00AC518D"/>
    <w:rsid w:val="00AC5FCC"/>
    <w:rsid w:val="00AC7B25"/>
    <w:rsid w:val="00AD1E2D"/>
    <w:rsid w:val="00AD2F48"/>
    <w:rsid w:val="00AE607D"/>
    <w:rsid w:val="00AE6AFB"/>
    <w:rsid w:val="00AF2C56"/>
    <w:rsid w:val="00AF2FBD"/>
    <w:rsid w:val="00AF6E5C"/>
    <w:rsid w:val="00B04141"/>
    <w:rsid w:val="00B04F56"/>
    <w:rsid w:val="00B121C6"/>
    <w:rsid w:val="00B12A96"/>
    <w:rsid w:val="00B175CE"/>
    <w:rsid w:val="00B3392F"/>
    <w:rsid w:val="00B369FD"/>
    <w:rsid w:val="00B41792"/>
    <w:rsid w:val="00B53CB0"/>
    <w:rsid w:val="00B54693"/>
    <w:rsid w:val="00B56C5A"/>
    <w:rsid w:val="00B61D4B"/>
    <w:rsid w:val="00B633D8"/>
    <w:rsid w:val="00B67984"/>
    <w:rsid w:val="00B70168"/>
    <w:rsid w:val="00B724A5"/>
    <w:rsid w:val="00B73E63"/>
    <w:rsid w:val="00B76F69"/>
    <w:rsid w:val="00B82F6A"/>
    <w:rsid w:val="00B84268"/>
    <w:rsid w:val="00B868E8"/>
    <w:rsid w:val="00B92738"/>
    <w:rsid w:val="00B947B6"/>
    <w:rsid w:val="00B96AC9"/>
    <w:rsid w:val="00B97AD8"/>
    <w:rsid w:val="00BA04B7"/>
    <w:rsid w:val="00BA0804"/>
    <w:rsid w:val="00BA3D25"/>
    <w:rsid w:val="00BA4C5C"/>
    <w:rsid w:val="00BB2512"/>
    <w:rsid w:val="00BB317B"/>
    <w:rsid w:val="00BB50F9"/>
    <w:rsid w:val="00BB76FC"/>
    <w:rsid w:val="00BB7CEE"/>
    <w:rsid w:val="00BC06BC"/>
    <w:rsid w:val="00BC0F94"/>
    <w:rsid w:val="00BC34DC"/>
    <w:rsid w:val="00BD6FB8"/>
    <w:rsid w:val="00BE5157"/>
    <w:rsid w:val="00BE5A25"/>
    <w:rsid w:val="00BE6411"/>
    <w:rsid w:val="00BE68E5"/>
    <w:rsid w:val="00BE6CCF"/>
    <w:rsid w:val="00BE7595"/>
    <w:rsid w:val="00BF67E2"/>
    <w:rsid w:val="00BF7D51"/>
    <w:rsid w:val="00C00E5F"/>
    <w:rsid w:val="00C070AC"/>
    <w:rsid w:val="00C108FB"/>
    <w:rsid w:val="00C150B9"/>
    <w:rsid w:val="00C20F10"/>
    <w:rsid w:val="00C261A7"/>
    <w:rsid w:val="00C2704A"/>
    <w:rsid w:val="00C327BE"/>
    <w:rsid w:val="00C32D73"/>
    <w:rsid w:val="00C35B75"/>
    <w:rsid w:val="00C41F37"/>
    <w:rsid w:val="00C4620E"/>
    <w:rsid w:val="00C4733F"/>
    <w:rsid w:val="00C53B0E"/>
    <w:rsid w:val="00C578C4"/>
    <w:rsid w:val="00C630A7"/>
    <w:rsid w:val="00C63AD1"/>
    <w:rsid w:val="00C64CC6"/>
    <w:rsid w:val="00C7109F"/>
    <w:rsid w:val="00C71609"/>
    <w:rsid w:val="00C74C3D"/>
    <w:rsid w:val="00C76327"/>
    <w:rsid w:val="00C841D0"/>
    <w:rsid w:val="00C85E3F"/>
    <w:rsid w:val="00C86CCC"/>
    <w:rsid w:val="00C907A6"/>
    <w:rsid w:val="00C94342"/>
    <w:rsid w:val="00CA070F"/>
    <w:rsid w:val="00CA5CC4"/>
    <w:rsid w:val="00CA5D01"/>
    <w:rsid w:val="00CA6491"/>
    <w:rsid w:val="00CA7ADD"/>
    <w:rsid w:val="00CB0FD3"/>
    <w:rsid w:val="00CB2B46"/>
    <w:rsid w:val="00CB3D32"/>
    <w:rsid w:val="00CB4E98"/>
    <w:rsid w:val="00CB5347"/>
    <w:rsid w:val="00CB7AC2"/>
    <w:rsid w:val="00CC713C"/>
    <w:rsid w:val="00CD0429"/>
    <w:rsid w:val="00CD4DDB"/>
    <w:rsid w:val="00CE07D5"/>
    <w:rsid w:val="00CE4506"/>
    <w:rsid w:val="00CF08ED"/>
    <w:rsid w:val="00CF66B2"/>
    <w:rsid w:val="00CF676B"/>
    <w:rsid w:val="00D02FC8"/>
    <w:rsid w:val="00D0749D"/>
    <w:rsid w:val="00D076E2"/>
    <w:rsid w:val="00D12AAB"/>
    <w:rsid w:val="00D1611A"/>
    <w:rsid w:val="00D16CE6"/>
    <w:rsid w:val="00D20518"/>
    <w:rsid w:val="00D2608F"/>
    <w:rsid w:val="00D26B44"/>
    <w:rsid w:val="00D33E12"/>
    <w:rsid w:val="00D360EF"/>
    <w:rsid w:val="00D43CBD"/>
    <w:rsid w:val="00D4426A"/>
    <w:rsid w:val="00D44989"/>
    <w:rsid w:val="00D44BFA"/>
    <w:rsid w:val="00D46899"/>
    <w:rsid w:val="00D5221D"/>
    <w:rsid w:val="00D535F0"/>
    <w:rsid w:val="00D57A96"/>
    <w:rsid w:val="00D709A4"/>
    <w:rsid w:val="00D7401E"/>
    <w:rsid w:val="00D75AB4"/>
    <w:rsid w:val="00D7651F"/>
    <w:rsid w:val="00DA024F"/>
    <w:rsid w:val="00DA489C"/>
    <w:rsid w:val="00DB18F2"/>
    <w:rsid w:val="00DB6D9F"/>
    <w:rsid w:val="00DB78D6"/>
    <w:rsid w:val="00DC0394"/>
    <w:rsid w:val="00DC4EF8"/>
    <w:rsid w:val="00DC5A80"/>
    <w:rsid w:val="00DD1237"/>
    <w:rsid w:val="00DD4A5E"/>
    <w:rsid w:val="00DD79E0"/>
    <w:rsid w:val="00DE0C7E"/>
    <w:rsid w:val="00DE19A6"/>
    <w:rsid w:val="00DE38BC"/>
    <w:rsid w:val="00DE4AC2"/>
    <w:rsid w:val="00DE5794"/>
    <w:rsid w:val="00DF11EB"/>
    <w:rsid w:val="00E01C15"/>
    <w:rsid w:val="00E03650"/>
    <w:rsid w:val="00E06707"/>
    <w:rsid w:val="00E110BD"/>
    <w:rsid w:val="00E136BB"/>
    <w:rsid w:val="00E20BBB"/>
    <w:rsid w:val="00E22FDA"/>
    <w:rsid w:val="00E26C78"/>
    <w:rsid w:val="00E30797"/>
    <w:rsid w:val="00E30874"/>
    <w:rsid w:val="00E30D8F"/>
    <w:rsid w:val="00E32DBB"/>
    <w:rsid w:val="00E33764"/>
    <w:rsid w:val="00E35331"/>
    <w:rsid w:val="00E37ED8"/>
    <w:rsid w:val="00E40D26"/>
    <w:rsid w:val="00E4420B"/>
    <w:rsid w:val="00E455A5"/>
    <w:rsid w:val="00E52911"/>
    <w:rsid w:val="00E532E0"/>
    <w:rsid w:val="00E557A8"/>
    <w:rsid w:val="00E56726"/>
    <w:rsid w:val="00E64D7A"/>
    <w:rsid w:val="00E66363"/>
    <w:rsid w:val="00E7182D"/>
    <w:rsid w:val="00E71EE5"/>
    <w:rsid w:val="00E727FF"/>
    <w:rsid w:val="00E743DC"/>
    <w:rsid w:val="00E84F2C"/>
    <w:rsid w:val="00E903B5"/>
    <w:rsid w:val="00E90A4A"/>
    <w:rsid w:val="00E93A07"/>
    <w:rsid w:val="00E95728"/>
    <w:rsid w:val="00EA122A"/>
    <w:rsid w:val="00EA33D7"/>
    <w:rsid w:val="00EA6547"/>
    <w:rsid w:val="00EA795A"/>
    <w:rsid w:val="00EB1023"/>
    <w:rsid w:val="00EB1F22"/>
    <w:rsid w:val="00EB2887"/>
    <w:rsid w:val="00EB4AB4"/>
    <w:rsid w:val="00EB5EE9"/>
    <w:rsid w:val="00EC489A"/>
    <w:rsid w:val="00EC5C4E"/>
    <w:rsid w:val="00ED0C9F"/>
    <w:rsid w:val="00ED2DC6"/>
    <w:rsid w:val="00EE2253"/>
    <w:rsid w:val="00EE4747"/>
    <w:rsid w:val="00EF5491"/>
    <w:rsid w:val="00EF63FD"/>
    <w:rsid w:val="00F10A7C"/>
    <w:rsid w:val="00F13907"/>
    <w:rsid w:val="00F15420"/>
    <w:rsid w:val="00F16812"/>
    <w:rsid w:val="00F17A92"/>
    <w:rsid w:val="00F17ACB"/>
    <w:rsid w:val="00F20F28"/>
    <w:rsid w:val="00F25505"/>
    <w:rsid w:val="00F25A4F"/>
    <w:rsid w:val="00F27990"/>
    <w:rsid w:val="00F30EF6"/>
    <w:rsid w:val="00F327A5"/>
    <w:rsid w:val="00F33F19"/>
    <w:rsid w:val="00F34077"/>
    <w:rsid w:val="00F34D6C"/>
    <w:rsid w:val="00F34FA0"/>
    <w:rsid w:val="00F352F4"/>
    <w:rsid w:val="00F45DFA"/>
    <w:rsid w:val="00F502D9"/>
    <w:rsid w:val="00F52A24"/>
    <w:rsid w:val="00F5636C"/>
    <w:rsid w:val="00F577E2"/>
    <w:rsid w:val="00F6041D"/>
    <w:rsid w:val="00F67478"/>
    <w:rsid w:val="00F72636"/>
    <w:rsid w:val="00F731C7"/>
    <w:rsid w:val="00F7434A"/>
    <w:rsid w:val="00F744C3"/>
    <w:rsid w:val="00F748CC"/>
    <w:rsid w:val="00F76420"/>
    <w:rsid w:val="00F77D28"/>
    <w:rsid w:val="00F9487A"/>
    <w:rsid w:val="00FA1CB3"/>
    <w:rsid w:val="00FC1E16"/>
    <w:rsid w:val="00FC3383"/>
    <w:rsid w:val="00FC3C5A"/>
    <w:rsid w:val="00FD39C9"/>
    <w:rsid w:val="00FE0B8F"/>
    <w:rsid w:val="00FE2AFC"/>
    <w:rsid w:val="00FE47D0"/>
    <w:rsid w:val="00FF0312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79F4FA5"/>
  <w15:docId w15:val="{BD82EFE0-2E27-40B6-8F0D-70FB513F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styleId="Kommentarzeichen">
    <w:name w:val="annotation reference"/>
    <w:semiHidden/>
    <w:rsid w:val="0047381A"/>
    <w:rPr>
      <w:sz w:val="16"/>
      <w:szCs w:val="16"/>
    </w:rPr>
  </w:style>
  <w:style w:type="paragraph" w:styleId="Kommentartext">
    <w:name w:val="annotation text"/>
    <w:basedOn w:val="Standard"/>
    <w:semiHidden/>
    <w:rsid w:val="0047381A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47381A"/>
    <w:rPr>
      <w:b/>
      <w:bCs/>
    </w:rPr>
  </w:style>
  <w:style w:type="character" w:styleId="Hyperlink">
    <w:name w:val="Hyperlink"/>
    <w:rsid w:val="00EB1F22"/>
    <w:rPr>
      <w:color w:val="0000FF"/>
      <w:u w:val="single"/>
    </w:rPr>
  </w:style>
  <w:style w:type="character" w:styleId="BesuchterLink">
    <w:name w:val="FollowedHyperlink"/>
    <w:basedOn w:val="Absatz-Standardschriftart"/>
    <w:rsid w:val="004B51C2"/>
    <w:rPr>
      <w:color w:val="800080" w:themeColor="followedHyperlink"/>
      <w:u w:val="single"/>
    </w:rPr>
  </w:style>
  <w:style w:type="paragraph" w:customStyle="1" w:styleId="StadtZrichInhalt">
    <w:name w:val="Stadt Zürich Inhalt"/>
    <w:basedOn w:val="StandardWeb"/>
    <w:rsid w:val="00E93A07"/>
    <w:pPr>
      <w:spacing w:line="260" w:lineRule="atLeast"/>
      <w:ind w:left="720"/>
      <w:jc w:val="both"/>
    </w:pPr>
    <w:rPr>
      <w:rFonts w:ascii="Arial" w:hAnsi="Arial" w:cs="Arial"/>
      <w:color w:val="000000"/>
      <w:sz w:val="22"/>
      <w:szCs w:val="22"/>
      <w:lang w:eastAsia="de-CH"/>
    </w:rPr>
  </w:style>
  <w:style w:type="paragraph" w:styleId="StandardWeb">
    <w:name w:val="Normal (Web)"/>
    <w:basedOn w:val="Standard"/>
    <w:semiHidden/>
    <w:unhideWhenUsed/>
    <w:rsid w:val="00E93A07"/>
    <w:rPr>
      <w:rFonts w:ascii="Times New Roman" w:hAnsi="Times New Roman" w:cs="Times New Roman"/>
      <w:sz w:val="24"/>
      <w:szCs w:val="24"/>
    </w:rPr>
  </w:style>
  <w:style w:type="paragraph" w:styleId="berarbeitung">
    <w:name w:val="Revision"/>
    <w:hidden/>
    <w:uiPriority w:val="99"/>
    <w:semiHidden/>
    <w:rsid w:val="00283285"/>
    <w:rPr>
      <w:rFonts w:ascii="Arial" w:hAnsi="Arial" w:cs="Arial"/>
      <w:sz w:val="22"/>
      <w:lang w:eastAsia="de-DE"/>
    </w:rPr>
  </w:style>
  <w:style w:type="paragraph" w:customStyle="1" w:styleId="normal-p1">
    <w:name w:val="normal-p1"/>
    <w:basedOn w:val="Standard"/>
    <w:rsid w:val="00D26B44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1"/>
      <w:szCs w:val="21"/>
      <w:lang w:eastAsia="de-CH"/>
    </w:rPr>
  </w:style>
  <w:style w:type="paragraph" w:styleId="Listenabsatz">
    <w:name w:val="List Paragraph"/>
    <w:basedOn w:val="Standard"/>
    <w:uiPriority w:val="34"/>
    <w:qFormat/>
    <w:rsid w:val="00D26B44"/>
    <w:pPr>
      <w:ind w:left="720"/>
      <w:contextualSpacing/>
    </w:pPr>
  </w:style>
  <w:style w:type="table" w:styleId="Tabellenraster">
    <w:name w:val="Table Grid"/>
    <w:basedOn w:val="NormaleTabelle"/>
    <w:rsid w:val="00164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semiHidden/>
    <w:unhideWhenUsed/>
    <w:rsid w:val="00546E00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46E00"/>
    <w:rPr>
      <w:rFonts w:ascii="Arial" w:hAnsi="Arial" w:cs="Arial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546E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5690">
          <w:marLeft w:val="45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2483">
              <w:marLeft w:val="41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sod.intranet.stzh.ch/fachressorts/wirtschaftliche-hilfe-(wh)/vermitteln-finanzieller-leistungen/sozialversicherungen" TargetMode="External"/><Relationship Id="rId18" Type="http://schemas.openxmlformats.org/officeDocument/2006/relationships/hyperlink" Target="https://kollaboration.intranet.stzh.ch/orga/sod-team/fo/puma/PumaProzesse/Prozessbeschreibung_Sicherstellung_IPV_bei_Neuanmeldung_WH.pdf" TargetMode="External"/><Relationship Id="rId26" Type="http://schemas.openxmlformats.org/officeDocument/2006/relationships/hyperlink" Target="https://sozeloixps.global.szh.loc/ix-SOZ_ELO_DM01/plugin/de.elo.ix.plugin.proxy/web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od.intranet.stzh.ch/Documents/ELO%20Links/150.500.100%20HAWs/Fachressort%20WH/Fachstab%20WH%20HAWs/HAW%20Wechsel%20in%20eine%20g%C3%BCnstige%20Krankenversicherung.ecd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hyperlink" Target="http://sozialhilfe.zh.ch/Handbuch/8.1.02.%20Krankheits-%20und%20behinderungsbedingte%20Spezialauslagen%20-%20Zusatzversicherungen.aspx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://kollaboration.intranet.stzh.ch/orga/sod-team/fo/puma/PumaProzesse/Prozessbeschreibung_Bezahlung_KVG-Pr%C3%A4mie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rl.skos.ch/lexoverview-home/lex-RL_C_6_5?effective-from=20210101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s://sozeloixps.global.szh.loc/ix-SOZ_ELO_DM01/plugin/de.elo.ix.plugin.proxy/web/pages/startup.jsp?useSSO=true&amp;guid=(B714549C-02F4-C163-C027-C8890A64FF0C)" TargetMode="External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s://kollaboration.intranet.stzh.ch/orga/sod-team/fo/regelwerk/_layouts/15/WopiFrame.aspx?sourcedoc=%7b8f909378-4348-46fc-ac4e-455bba60d346%7d&amp;action=view&amp;source=https%3A%2F%2Fkollaboration%2Eintranet%2Estzh%2Ech%2Forga%2Fsod%2Dteam%2Ffo%2Fregelwerk%2FRegelwerk%2520gueltig%2FForms%2FZuletzt%2520gendert%2Easpx%23InplviewHash36fcf75f%2Da2b8%2D40a3%2Da6ef%2D1b992c7a3440%3D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hyperlink" Target="https://kollaboration.intranet.stzh.ch/orga/sod-team/fo/puma/PumaProzesse/Prozessbeschreibung_Sicherstellung_IPV_bei_Neuanmeldung_WH.pdf" TargetMode="External"/><Relationship Id="rId27" Type="http://schemas.openxmlformats.org/officeDocument/2006/relationships/hyperlink" Target="https://sod.intranet.stzh.ch/SODRegelwerk/Documents/Regelwerk/HAW_Zahnbehandlunge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</Zu_x0020_konsultierende_x002f_-s_x0020_Fachressort_x002f_-s>
    <Version_x0020_des_x0020_Dokuments xmlns="3905ffbc-9aeb-4d51-937e-ee1e2cf00671">1.2</Version_x0020_des_x0020_Dokuments>
    <Gültig_x0020_bis xmlns="3905ffbc-9aeb-4d51-937e-ee1e2cf00671" xsi:nil="true"/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2020-12-31T23:00:00+00:00</Gültig_x0020_von>
    <Dokumentenart1 xmlns="3905ffbc-9aeb-4d51-937e-ee1e2cf00671" xsi:nil="true"/>
    <Federführende_x002f_s_x0020_Fachressort_x002f_Einheit xmlns="f3b92940-74e1-4b32-811a-cd501d17ae23" xsi:nil="true"/>
    <Herausgabe_x0020_bei_x0020_Informationszugangsgesuchen xmlns="f3b92940-74e1-4b32-811a-cd501d17ae23">kann herausgegeben werden</Herausgabe_x0020_bei_x0020_Informationszugangsgesuchen>
    <SKOS-Kapitel xmlns="f3b92940-74e1-4b32-811a-cd501d17ae23"/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</Thematische_x0020_Zuordnung_x0020_Fachressort_x0028_s_x0029_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A9D3-C3D9-49CB-B24C-AAFD3D6244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40110-3D7E-4D7B-8305-08EB611C8E2E}">
  <ds:schemaRefs>
    <ds:schemaRef ds:uri="http://schemas.microsoft.com/office/2006/metadata/properties"/>
    <ds:schemaRef ds:uri="http://schemas.microsoft.com/office/infopath/2007/PartnerControls"/>
    <ds:schemaRef ds:uri="f3b92940-74e1-4b32-811a-cd501d17ae23"/>
    <ds:schemaRef ds:uri="3905ffbc-9aeb-4d51-937e-ee1e2cf00671"/>
  </ds:schemaRefs>
</ds:datastoreItem>
</file>

<file path=customXml/itemProps3.xml><?xml version="1.0" encoding="utf-8"?>
<ds:datastoreItem xmlns:ds="http://schemas.openxmlformats.org/officeDocument/2006/customXml" ds:itemID="{9DCA8B5B-2CED-4CC0-9274-D0793DCD7E04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01E86226-576D-4FB5-8278-DCFE7EE6E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B39038-90B0-4B17-A15C-F19955BF399C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1BFE2BB3-C122-4D2F-9D23-1A7B1BC2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Teilrevision Einführungsgesetz zum Krankenversicherungsgesetz (EG KVG) und Verordnung (VEG KVG): Inkraftsetzung per 1. Januar 2014</vt:lpstr>
    </vt:vector>
  </TitlesOfParts>
  <Company>Soziale Dienste Stadt Zürich</Company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Teilrevision Einführungsgesetz zum Krankenversicherungsgesetz (EG KVG) und Verordnung (VEG KVG): Inkraftsetzung per 1. Januar 2014</dc:title>
  <dc:creator>sozgen</dc:creator>
  <cp:lastModifiedBy>Thomas Villiger (sozvlt)</cp:lastModifiedBy>
  <cp:revision>26</cp:revision>
  <cp:lastPrinted>2011-12-21T14:26:00Z</cp:lastPrinted>
  <dcterms:created xsi:type="dcterms:W3CDTF">2022-12-14T12:16:00Z</dcterms:created>
  <dcterms:modified xsi:type="dcterms:W3CDTF">2023-08-08T07:15:00Z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0x01010012DCBF5558F0D14AB1FD168DE6C7A40C0100309021253101A04D9D9A7096FBAB356B</vt:lpwstr>
  </property>
  <property fmtid="{D5CDD505-2E9C-101B-9397-08002B2CF9AE}" pid="3" name="_dlc_DocId">
    <vt:lpwstr>SDSOD-119-440</vt:lpwstr>
  </property>
  <property fmtid="{D5CDD505-2E9C-101B-9397-08002B2CF9AE}" pid="4" name="_dlc_DocIdUrl">
    <vt:lpwstr>http://portal.sd.intra.stzh.ch/sod/regelwerk/_layouts/DocIdRedir.aspx?ID=SDSOD-119-440, SDSOD-119-440</vt:lpwstr>
  </property>
  <property fmtid="{D5CDD505-2E9C-101B-9397-08002B2CF9AE}" pid="5" name="_dlc_DocIdItemGuid">
    <vt:lpwstr>82f2b7b2-aeb1-48a2-b446-fa860c7fdbda</vt:lpwstr>
  </property>
  <property fmtid="{D5CDD505-2E9C-101B-9397-08002B2CF9AE}" pid="6" name="Order">
    <vt:r8>44000</vt:r8>
  </property>
  <property fmtid="{D5CDD505-2E9C-101B-9397-08002B2CF9AE}" pid="7" name="Dokumentenart0">
    <vt:lpwstr>5</vt:lpwstr>
  </property>
  <property fmtid="{D5CDD505-2E9C-101B-9397-08002B2CF9AE}" pid="8" name="WorkflowChangePath">
    <vt:lpwstr>1dbebda2-0151-441b-bad0-3a4bc52a6e32,4;7dbe9e3d-1110-41fa-836b-195a3e49061c,6;7dbe9e3d-1110-41fa-836b-195a3e49061c,8;</vt:lpwstr>
  </property>
  <property fmtid="{D5CDD505-2E9C-101B-9397-08002B2CF9AE}" pid="9" name="Kontaktperson für SOD KOM">
    <vt:lpwstr>6;#i:0#.w|global\sozhhi</vt:lpwstr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Bemerkungen">
    <vt:lpwstr/>
  </property>
  <property fmtid="{D5CDD505-2E9C-101B-9397-08002B2CF9AE}" pid="13" name="IntraZueriMandant">
    <vt:lpwstr>1;#SOD|d2ca4cc4-367d-4a9a-a3b2-38906409b4ae</vt:lpwstr>
  </property>
  <property fmtid="{D5CDD505-2E9C-101B-9397-08002B2CF9AE}" pid="14" name="Federführende/s Fachressort/Einheit">
    <vt:lpwstr>5</vt:lpwstr>
  </property>
  <property fmtid="{D5CDD505-2E9C-101B-9397-08002B2CF9AE}" pid="15" name="Herausgabe bei Informationszugangsgesuchen">
    <vt:lpwstr>kann herausgegeben werden</vt:lpwstr>
  </property>
  <property fmtid="{D5CDD505-2E9C-101B-9397-08002B2CF9AE}" pid="16" name="Thematische Zuordnung Fachressort(s)">
    <vt:lpwstr>5;#</vt:lpwstr>
  </property>
</Properties>
</file>