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181988">
        <w:tblPrEx>
          <w:tblCellMar>
            <w:top w:w="0" w:type="dxa"/>
            <w:bottom w:w="0" w:type="dxa"/>
          </w:tblCellMar>
        </w:tblPrEx>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rsidR="00181988" w:rsidRDefault="00181988">
            <w:pPr>
              <w:pStyle w:val="WeisungKopfteil"/>
              <w:framePr w:hSpace="0" w:wrap="auto" w:vAnchor="margin" w:hAnchor="text" w:xAlign="left" w:yAlign="inline"/>
              <w:spacing w:after="0"/>
              <w:rPr>
                <w:b w:val="0"/>
                <w:bCs/>
                <w:sz w:val="20"/>
              </w:rPr>
            </w:pPr>
            <w:r>
              <w:t>Z</w:t>
            </w:r>
            <w:bookmarkStart w:id="0" w:name="Text3"/>
            <w:r>
              <w:t xml:space="preserve">uordnung: </w:t>
            </w:r>
            <w:r w:rsidR="00694BA6">
              <w:br/>
            </w:r>
            <w:hyperlink r:id="rId13" w:history="1">
              <w:r w:rsidR="00694BA6" w:rsidRPr="00681CA7">
                <w:rPr>
                  <w:rStyle w:val="Hyperlink"/>
                  <w:b w:val="0"/>
                  <w:sz w:val="20"/>
                  <w:szCs w:val="20"/>
                </w:rPr>
                <w:t>Falladministration</w:t>
              </w:r>
            </w:hyperlink>
          </w:p>
        </w:tc>
        <w:bookmarkEnd w:id="0"/>
        <w:tc>
          <w:tcPr>
            <w:tcW w:w="4453" w:type="dxa"/>
            <w:vMerge w:val="restart"/>
            <w:tcBorders>
              <w:top w:val="single" w:sz="4" w:space="0" w:color="808080"/>
              <w:left w:val="single" w:sz="6" w:space="0" w:color="808080"/>
              <w:right w:val="single" w:sz="6" w:space="0" w:color="808080"/>
            </w:tcBorders>
            <w:shd w:val="clear" w:color="auto" w:fill="F3F3F3"/>
          </w:tcPr>
          <w:p w:rsidR="00B710FA" w:rsidRDefault="00B710FA">
            <w:pPr>
              <w:pStyle w:val="WeisungKopfteil"/>
              <w:framePr w:hSpace="0" w:wrap="auto" w:vAnchor="margin" w:hAnchor="text" w:xAlign="left" w:yAlign="inline"/>
              <w:spacing w:after="0"/>
              <w:jc w:val="center"/>
            </w:pPr>
            <w:r>
              <w:t>Praxishilfe</w:t>
            </w:r>
          </w:p>
          <w:p w:rsidR="00181988" w:rsidRDefault="00181988">
            <w:pPr>
              <w:pStyle w:val="WeisungKopfteil"/>
              <w:framePr w:hSpace="0" w:wrap="auto" w:vAnchor="margin" w:hAnchor="text" w:xAlign="left" w:yAlign="inline"/>
              <w:spacing w:after="0"/>
              <w:jc w:val="center"/>
              <w:rPr>
                <w:sz w:val="20"/>
              </w:rPr>
            </w:pPr>
            <w:r>
              <w:t xml:space="preserve"> </w:t>
            </w:r>
          </w:p>
        </w:tc>
        <w:tc>
          <w:tcPr>
            <w:tcW w:w="2414" w:type="dxa"/>
            <w:tcBorders>
              <w:top w:val="single" w:sz="4" w:space="0" w:color="808080"/>
              <w:left w:val="single" w:sz="6" w:space="0" w:color="808080"/>
              <w:bottom w:val="nil"/>
              <w:right w:val="single" w:sz="4" w:space="0" w:color="808080"/>
            </w:tcBorders>
            <w:shd w:val="clear" w:color="auto" w:fill="F3F3F3"/>
          </w:tcPr>
          <w:p w:rsidR="00181988" w:rsidRPr="00694BA6" w:rsidRDefault="00181988">
            <w:pPr>
              <w:pStyle w:val="WeisungKopfteil"/>
              <w:framePr w:hSpace="0" w:wrap="auto" w:vAnchor="margin" w:hAnchor="text" w:xAlign="left" w:yAlign="inline"/>
              <w:spacing w:after="0"/>
              <w:ind w:right="45"/>
              <w:jc w:val="right"/>
            </w:pPr>
            <w:r>
              <w:t>Gültig ab:</w:t>
            </w:r>
            <w:r w:rsidR="00694BA6">
              <w:br/>
            </w:r>
            <w:r w:rsidR="0019051A" w:rsidRPr="00694BA6">
              <w:rPr>
                <w:b w:val="0"/>
                <w:sz w:val="20"/>
                <w:szCs w:val="20"/>
              </w:rPr>
              <w:t>1.5.2009</w:t>
            </w:r>
            <w:r w:rsidRPr="00694BA6">
              <w:rPr>
                <w:b w:val="0"/>
                <w:sz w:val="20"/>
                <w:szCs w:val="20"/>
              </w:rPr>
              <w:t xml:space="preserve"> </w:t>
            </w:r>
          </w:p>
        </w:tc>
      </w:tr>
      <w:tr w:rsidR="00181988">
        <w:tblPrEx>
          <w:tblCellMar>
            <w:top w:w="0" w:type="dxa"/>
            <w:bottom w:w="0" w:type="dxa"/>
          </w:tblCellMar>
        </w:tblPrEx>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rsidR="00181988" w:rsidRDefault="00181988">
            <w:pPr>
              <w:pStyle w:val="WeisungKopfteil"/>
              <w:framePr w:hSpace="0" w:wrap="auto" w:vAnchor="margin" w:hAnchor="text" w:xAlign="left" w:yAlign="inline"/>
              <w:spacing w:before="0" w:after="0" w:line="360" w:lineRule="auto"/>
            </w:pPr>
          </w:p>
        </w:tc>
        <w:tc>
          <w:tcPr>
            <w:tcW w:w="4453" w:type="dxa"/>
            <w:vMerge/>
            <w:tcBorders>
              <w:left w:val="single" w:sz="6" w:space="0" w:color="808080"/>
              <w:bottom w:val="single" w:sz="6" w:space="0" w:color="808080"/>
              <w:right w:val="single" w:sz="6" w:space="0" w:color="808080"/>
            </w:tcBorders>
            <w:shd w:val="clear" w:color="auto" w:fill="F3F3F3"/>
          </w:tcPr>
          <w:p w:rsidR="00181988" w:rsidRDefault="00181988">
            <w:pPr>
              <w:pStyle w:val="WeisungKopfteil"/>
              <w:framePr w:hSpace="0" w:wrap="auto" w:vAnchor="margin" w:hAnchor="text" w:xAlign="left" w:yAlign="inline"/>
              <w:spacing w:after="0"/>
              <w:jc w:val="center"/>
            </w:pPr>
          </w:p>
        </w:tc>
        <w:tc>
          <w:tcPr>
            <w:tcW w:w="2414" w:type="dxa"/>
            <w:tcBorders>
              <w:top w:val="nil"/>
              <w:left w:val="single" w:sz="6" w:space="0" w:color="808080"/>
              <w:bottom w:val="single" w:sz="6" w:space="0" w:color="808080"/>
              <w:right w:val="single" w:sz="4" w:space="0" w:color="808080"/>
            </w:tcBorders>
            <w:shd w:val="clear" w:color="auto" w:fill="F3F3F3"/>
          </w:tcPr>
          <w:p w:rsidR="00181988" w:rsidRDefault="00B710FA">
            <w:pPr>
              <w:pStyle w:val="WeisungKopfteil"/>
              <w:framePr w:hSpace="0" w:wrap="auto" w:vAnchor="margin" w:hAnchor="text" w:xAlign="left" w:yAlign="inline"/>
              <w:spacing w:before="0" w:after="0" w:line="360" w:lineRule="auto"/>
              <w:ind w:right="45"/>
              <w:jc w:val="right"/>
            </w:pPr>
            <w:r>
              <w:rPr>
                <w:b w:val="0"/>
                <w:bCs/>
                <w:sz w:val="20"/>
              </w:rPr>
              <w:t xml:space="preserve">ersetzt </w:t>
            </w:r>
            <w:r w:rsidR="00181988">
              <w:rPr>
                <w:b w:val="0"/>
                <w:bCs/>
                <w:sz w:val="20"/>
              </w:rPr>
              <w:t>1.4.2007</w:t>
            </w:r>
          </w:p>
        </w:tc>
      </w:tr>
      <w:tr w:rsidR="00181988">
        <w:tblPrEx>
          <w:tblCellMar>
            <w:top w:w="0" w:type="dxa"/>
            <w:bottom w:w="0" w:type="dxa"/>
          </w:tblCellMar>
        </w:tblPrEx>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rsidR="00181988" w:rsidRDefault="00511674">
            <w:pPr>
              <w:pStyle w:val="WeisungKopfteil"/>
              <w:framePr w:hSpace="0" w:wrap="auto" w:vAnchor="margin" w:hAnchor="text" w:xAlign="left" w:yAlign="inline"/>
            </w:pPr>
            <w:r>
              <w:t>Klientenkontoabrech</w:t>
            </w:r>
            <w:r w:rsidR="00181988">
              <w:t>nung</w:t>
            </w:r>
            <w:r>
              <w:t xml:space="preserve"> in der wirtschaftlichen Hilfe</w:t>
            </w:r>
          </w:p>
        </w:tc>
      </w:tr>
    </w:tbl>
    <w:p w:rsidR="00181988" w:rsidRDefault="00181988">
      <w:pPr>
        <w:pStyle w:val="berschrift1"/>
        <w:rPr>
          <w:lang w:val="de-DE"/>
        </w:rPr>
      </w:pPr>
      <w:r>
        <w:rPr>
          <w:lang w:val="de-DE"/>
        </w:rPr>
        <w:t>A</w:t>
      </w:r>
      <w:r w:rsidR="00E11D30">
        <w:rPr>
          <w:lang w:val="de-DE"/>
        </w:rPr>
        <w:t>brechnung von Klientenkonten</w:t>
      </w:r>
    </w:p>
    <w:p w:rsidR="00181988" w:rsidRDefault="00181988">
      <w:pPr>
        <w:numPr>
          <w:ilvl w:val="0"/>
          <w:numId w:val="8"/>
        </w:numPr>
        <w:autoSpaceDE w:val="0"/>
        <w:autoSpaceDN w:val="0"/>
        <w:adjustRightInd w:val="0"/>
        <w:rPr>
          <w:szCs w:val="22"/>
          <w:lang w:val="de-DE"/>
        </w:rPr>
      </w:pPr>
      <w:r>
        <w:rPr>
          <w:szCs w:val="22"/>
          <w:lang w:val="de-DE"/>
        </w:rPr>
        <w:t>Wann ist eine Abrechnung zu erstellen?</w:t>
      </w:r>
    </w:p>
    <w:p w:rsidR="00181988" w:rsidRDefault="00181988">
      <w:pPr>
        <w:numPr>
          <w:ilvl w:val="0"/>
          <w:numId w:val="8"/>
        </w:numPr>
        <w:autoSpaceDE w:val="0"/>
        <w:autoSpaceDN w:val="0"/>
        <w:adjustRightInd w:val="0"/>
        <w:rPr>
          <w:szCs w:val="22"/>
          <w:lang w:val="de-DE"/>
        </w:rPr>
      </w:pPr>
      <w:r>
        <w:rPr>
          <w:szCs w:val="22"/>
          <w:lang w:val="de-DE"/>
        </w:rPr>
        <w:t>Mit welchen Unterstützungsauslagen dürfen eingehende Versicherungsleistungen</w:t>
      </w:r>
    </w:p>
    <w:p w:rsidR="00181988" w:rsidRDefault="00181988">
      <w:pPr>
        <w:autoSpaceDE w:val="0"/>
        <w:autoSpaceDN w:val="0"/>
        <w:adjustRightInd w:val="0"/>
        <w:ind w:left="440"/>
        <w:rPr>
          <w:szCs w:val="22"/>
          <w:lang w:val="de-DE"/>
        </w:rPr>
      </w:pPr>
      <w:r>
        <w:rPr>
          <w:szCs w:val="22"/>
          <w:lang w:val="de-DE"/>
        </w:rPr>
        <w:t>verrechnet werden?</w:t>
      </w:r>
    </w:p>
    <w:p w:rsidR="00181988" w:rsidRDefault="00181988">
      <w:pPr>
        <w:numPr>
          <w:ilvl w:val="0"/>
          <w:numId w:val="8"/>
        </w:numPr>
        <w:autoSpaceDE w:val="0"/>
        <w:autoSpaceDN w:val="0"/>
        <w:adjustRightInd w:val="0"/>
        <w:rPr>
          <w:szCs w:val="22"/>
          <w:lang w:val="de-DE"/>
        </w:rPr>
      </w:pPr>
      <w:r>
        <w:rPr>
          <w:szCs w:val="22"/>
          <w:lang w:val="de-DE"/>
        </w:rPr>
        <w:t>Wie sind die Perioden zu bestimmen?</w:t>
      </w:r>
    </w:p>
    <w:p w:rsidR="00181988" w:rsidRDefault="00181988">
      <w:pPr>
        <w:autoSpaceDE w:val="0"/>
        <w:autoSpaceDN w:val="0"/>
        <w:adjustRightInd w:val="0"/>
        <w:rPr>
          <w:szCs w:val="22"/>
          <w:lang w:val="de-DE"/>
        </w:rPr>
      </w:pPr>
    </w:p>
    <w:p w:rsidR="00181988" w:rsidRDefault="00181988" w:rsidP="00694BA6">
      <w:pPr>
        <w:autoSpaceDE w:val="0"/>
        <w:autoSpaceDN w:val="0"/>
        <w:adjustRightInd w:val="0"/>
        <w:rPr>
          <w:rFonts w:ascii="Arial,Bold" w:hAnsi="Arial,Bold" w:cs="Times New Roman"/>
          <w:sz w:val="20"/>
          <w:lang w:val="de-DE"/>
        </w:rPr>
      </w:pPr>
      <w:r>
        <w:rPr>
          <w:szCs w:val="22"/>
          <w:lang w:val="de-DE"/>
        </w:rPr>
        <w:t>Diese und andere Fragen stellen sich immer wieder im Zusammenhang mit Nachzahlungen der Alters-, Hinterlassenen- und Invalidenversicherung, der Zusatzleistungen zur AHV und IV, der Arbeitslosenversicherung, der Unfallversicherung, der Krankenkassen und der beruflichen Vorsorge.</w:t>
      </w:r>
    </w:p>
    <w:p w:rsidR="00181988" w:rsidRDefault="00181988" w:rsidP="00694BA6">
      <w:pPr>
        <w:pStyle w:val="Absatz0"/>
      </w:pPr>
    </w:p>
    <w:p w:rsidR="00181988" w:rsidRDefault="00181988" w:rsidP="00694BA6">
      <w:pPr>
        <w:pStyle w:val="berschrift2"/>
        <w:rPr>
          <w:lang w:val="de-DE"/>
        </w:rPr>
      </w:pPr>
      <w:r>
        <w:rPr>
          <w:lang w:val="de-DE"/>
        </w:rPr>
        <w:t>Rechtliche Bestimmungen</w:t>
      </w:r>
    </w:p>
    <w:p w:rsidR="00181988" w:rsidRDefault="00181988" w:rsidP="00694BA6">
      <w:pPr>
        <w:autoSpaceDE w:val="0"/>
        <w:autoSpaceDN w:val="0"/>
        <w:adjustRightInd w:val="0"/>
        <w:rPr>
          <w:szCs w:val="22"/>
          <w:lang w:val="de-DE"/>
        </w:rPr>
      </w:pPr>
      <w:r>
        <w:rPr>
          <w:szCs w:val="22"/>
          <w:lang w:val="de-DE"/>
        </w:rPr>
        <w:t>Grundlage für</w:t>
      </w:r>
      <w:r w:rsidR="00B710FA">
        <w:rPr>
          <w:szCs w:val="22"/>
          <w:lang w:val="de-DE"/>
        </w:rPr>
        <w:t xml:space="preserve"> eine korrekte Abrechnung bilden </w:t>
      </w:r>
      <w:r>
        <w:rPr>
          <w:szCs w:val="22"/>
          <w:lang w:val="de-DE"/>
        </w:rPr>
        <w:t xml:space="preserve">die §§ 19/20 und 27 des Gesetzes über die öffentliche Sozialhilfe (SHG) </w:t>
      </w:r>
    </w:p>
    <w:p w:rsidR="00181988" w:rsidRDefault="00181988" w:rsidP="00694BA6">
      <w:pPr>
        <w:autoSpaceDE w:val="0"/>
        <w:autoSpaceDN w:val="0"/>
        <w:adjustRightInd w:val="0"/>
        <w:rPr>
          <w:szCs w:val="22"/>
          <w:lang w:val="de-DE"/>
        </w:rPr>
      </w:pPr>
    </w:p>
    <w:p w:rsidR="00181988" w:rsidRDefault="00181988" w:rsidP="00694BA6">
      <w:pPr>
        <w:autoSpaceDE w:val="0"/>
        <w:autoSpaceDN w:val="0"/>
        <w:adjustRightInd w:val="0"/>
        <w:rPr>
          <w:szCs w:val="22"/>
          <w:lang w:val="de-DE"/>
        </w:rPr>
      </w:pPr>
      <w:r>
        <w:rPr>
          <w:szCs w:val="22"/>
          <w:lang w:val="de-DE"/>
        </w:rPr>
        <w:t>Gemäss § 19 SHG kann die wirtschaftliche Leistung davon abhängig gemacht werden, dass der oder die Hilfesuchende vermögensrechtliche Ansprüche gegenüber Dritten an die Fürsorgebehörde abtritt, soweit sie nicht von Gesetzes wegen übergehen. Insoweit eine Abtretung nicht erfolgte, muss rechtmässig bezogene wirtschaftliche Hilfe zurückerstattet werden, wenn der/die HilfeempfängerIn aus Erbs</w:t>
      </w:r>
      <w:bookmarkStart w:id="1" w:name="_GoBack"/>
      <w:bookmarkEnd w:id="1"/>
      <w:r>
        <w:rPr>
          <w:szCs w:val="22"/>
          <w:lang w:val="de-DE"/>
        </w:rPr>
        <w:t>chaft, Lotteriegewinn oder anderen nicht auf eigene Arbeitsleistung zurückzuführenden Gründen in finanziell günstige Verhältnisse gelangt oder wenn die Voraussetzungen zur Rückerstattung nach § 20 SHG erfüllt sind.</w:t>
      </w:r>
    </w:p>
    <w:p w:rsidR="00181988" w:rsidRDefault="00181988" w:rsidP="00694BA6">
      <w:pPr>
        <w:autoSpaceDE w:val="0"/>
        <w:autoSpaceDN w:val="0"/>
        <w:adjustRightInd w:val="0"/>
        <w:rPr>
          <w:szCs w:val="22"/>
          <w:lang w:val="de-DE"/>
        </w:rPr>
      </w:pPr>
    </w:p>
    <w:p w:rsidR="00181988" w:rsidRDefault="00181988" w:rsidP="00694BA6">
      <w:pPr>
        <w:autoSpaceDE w:val="0"/>
        <w:autoSpaceDN w:val="0"/>
        <w:adjustRightInd w:val="0"/>
        <w:rPr>
          <w:sz w:val="20"/>
          <w:lang w:val="de-DE"/>
        </w:rPr>
      </w:pPr>
      <w:r>
        <w:rPr>
          <w:szCs w:val="22"/>
          <w:lang w:val="de-DE"/>
        </w:rPr>
        <w:t>Gestützt auf die von den Unterstützten im Sinne von § 19 SHG unterzeichneten Zahlungsermächtigungen / Formulare für die Drittauszahlung an eine Behörde (AHVG, IVG, ALVG) bzw. Abtretungserklärungen (KVG) überweisen die Versicherungen ihre Leistungen an die Sozialen Dienste Zürich. Weigert sich die unterstützte Person, die Zahlungsermächtigung bzw. das Formular für die Drittauszahlung zu unterzeichnen, ist ein Entscheid der Einzelfallkommission zu erlassen. In diesem ist der Rückerstattungstatbestand festzuhalten und die entsprechende Sozialversicherung anzuweisen, die Nachzahlungen direkt an die Sozialen Dienste Zürich zu überweisen.</w:t>
      </w:r>
    </w:p>
    <w:p w:rsidR="00181988" w:rsidRDefault="00181988" w:rsidP="00694BA6">
      <w:pPr>
        <w:pStyle w:val="Absatz0"/>
      </w:pPr>
    </w:p>
    <w:p w:rsidR="00181988" w:rsidRDefault="00181988" w:rsidP="00694BA6">
      <w:pPr>
        <w:autoSpaceDE w:val="0"/>
        <w:autoSpaceDN w:val="0"/>
        <w:adjustRightInd w:val="0"/>
        <w:rPr>
          <w:szCs w:val="22"/>
          <w:lang w:val="de-DE"/>
        </w:rPr>
      </w:pPr>
      <w:r>
        <w:rPr>
          <w:szCs w:val="22"/>
          <w:lang w:val="de-DE"/>
        </w:rPr>
        <w:t>Das Subsidiaritätsprinzip in § 2 Abs. 2 SHG bringt zum Ausdruck, dass andere gesetzliche Leistungen sowie die Leistungen Dritter und sozialer Institutionen den Leistungen der Sozialhilfe vorgehen. Versicherungsleistungen sind demnach primär zur Sicherung des Lebensunterhaltes bestimmt. Grundsätzlich sind rückwirkend ausbezahlte Versicherungs</w:t>
      </w:r>
      <w:r>
        <w:rPr>
          <w:szCs w:val="22"/>
          <w:lang w:val="de-DE"/>
        </w:rPr>
        <w:softHyphen/>
        <w:t>leistungen nur mit in der gleichen Zeitperiode entstandenen Unterstützungs</w:t>
      </w:r>
      <w:r>
        <w:rPr>
          <w:szCs w:val="22"/>
          <w:lang w:val="de-DE"/>
        </w:rPr>
        <w:softHyphen/>
        <w:t xml:space="preserve">leistungen zu verrechnen. </w:t>
      </w:r>
    </w:p>
    <w:p w:rsidR="00181988" w:rsidRDefault="00181988" w:rsidP="00694BA6">
      <w:pPr>
        <w:autoSpaceDE w:val="0"/>
        <w:autoSpaceDN w:val="0"/>
        <w:adjustRightInd w:val="0"/>
        <w:rPr>
          <w:szCs w:val="22"/>
          <w:lang w:val="de-DE"/>
        </w:rPr>
      </w:pPr>
    </w:p>
    <w:p w:rsidR="00181988" w:rsidRDefault="00181988" w:rsidP="00694BA6">
      <w:pPr>
        <w:autoSpaceDE w:val="0"/>
        <w:autoSpaceDN w:val="0"/>
        <w:adjustRightInd w:val="0"/>
        <w:rPr>
          <w:szCs w:val="22"/>
          <w:lang w:val="de-DE"/>
        </w:rPr>
      </w:pPr>
      <w:r>
        <w:rPr>
          <w:szCs w:val="22"/>
          <w:lang w:val="de-DE"/>
        </w:rPr>
        <w:t xml:space="preserve">Besteht eine unterstützte Person auf der Auszahlung des Überschusses, muss diesem Begehren stattgegeben werden, auch wenn damit zu rechnen ist, dass das Geld innert kürzester Zeit verbraucht sein wird. Wurde im konkreten Fall von Verwandten </w:t>
      </w:r>
      <w:r>
        <w:rPr>
          <w:szCs w:val="22"/>
          <w:lang w:val="de-DE"/>
        </w:rPr>
        <w:lastRenderedPageBreak/>
        <w:t>Verwandtenunterstützung geltend gemacht, ist diesen ein allfälliger Überschuss bis zum Umfang der geleisteten Verwandtenunterstützung auszuzahlen.</w:t>
      </w:r>
    </w:p>
    <w:p w:rsidR="00181988" w:rsidRDefault="00181988" w:rsidP="00694BA6">
      <w:pPr>
        <w:autoSpaceDE w:val="0"/>
        <w:autoSpaceDN w:val="0"/>
        <w:adjustRightInd w:val="0"/>
        <w:rPr>
          <w:szCs w:val="22"/>
          <w:lang w:val="de-DE"/>
        </w:rPr>
      </w:pPr>
      <w:r>
        <w:rPr>
          <w:szCs w:val="22"/>
          <w:lang w:val="de-DE"/>
        </w:rPr>
        <w:t>Eine allfällig geleistet Mietzinsdepot-Zahlungen bzw. Mietzinsgarantie ist ebenfalls</w:t>
      </w:r>
    </w:p>
    <w:p w:rsidR="00181988" w:rsidRDefault="00181988" w:rsidP="00694BA6">
      <w:pPr>
        <w:autoSpaceDE w:val="0"/>
        <w:autoSpaceDN w:val="0"/>
        <w:adjustRightInd w:val="0"/>
        <w:rPr>
          <w:sz w:val="20"/>
          <w:lang w:val="de-DE"/>
        </w:rPr>
      </w:pPr>
      <w:r>
        <w:rPr>
          <w:szCs w:val="22"/>
          <w:lang w:val="de-DE"/>
        </w:rPr>
        <w:t>zu verrechnen.</w:t>
      </w:r>
    </w:p>
    <w:p w:rsidR="00181988" w:rsidRDefault="00181988" w:rsidP="00694BA6">
      <w:pPr>
        <w:pStyle w:val="berschrift2"/>
        <w:rPr>
          <w:lang w:val="de-DE"/>
        </w:rPr>
      </w:pPr>
      <w:r>
        <w:rPr>
          <w:lang w:val="de-DE"/>
        </w:rPr>
        <w:t>Abrechnungsverfahren</w:t>
      </w:r>
    </w:p>
    <w:p w:rsidR="00181988" w:rsidRDefault="00181988" w:rsidP="00694BA6">
      <w:pPr>
        <w:autoSpaceDE w:val="0"/>
        <w:autoSpaceDN w:val="0"/>
        <w:adjustRightInd w:val="0"/>
        <w:rPr>
          <w:szCs w:val="22"/>
          <w:lang w:val="de-DE"/>
        </w:rPr>
      </w:pPr>
      <w:r>
        <w:rPr>
          <w:szCs w:val="22"/>
          <w:lang w:val="de-DE"/>
        </w:rPr>
        <w:t>Abrechnungen sind notwendig für alle UnterstützungsbezügerInnen,</w:t>
      </w:r>
    </w:p>
    <w:p w:rsidR="00181988" w:rsidRDefault="00181988" w:rsidP="00694BA6">
      <w:pPr>
        <w:autoSpaceDE w:val="0"/>
        <w:autoSpaceDN w:val="0"/>
        <w:adjustRightInd w:val="0"/>
        <w:rPr>
          <w:szCs w:val="22"/>
          <w:lang w:val="de-DE"/>
        </w:rPr>
      </w:pPr>
    </w:p>
    <w:p w:rsidR="00181988" w:rsidRDefault="00181988" w:rsidP="00694BA6">
      <w:pPr>
        <w:numPr>
          <w:ilvl w:val="0"/>
          <w:numId w:val="8"/>
        </w:numPr>
        <w:autoSpaceDE w:val="0"/>
        <w:autoSpaceDN w:val="0"/>
        <w:adjustRightInd w:val="0"/>
        <w:rPr>
          <w:szCs w:val="22"/>
          <w:lang w:val="de-DE"/>
        </w:rPr>
      </w:pPr>
      <w:r>
        <w:rPr>
          <w:szCs w:val="22"/>
          <w:lang w:val="de-DE"/>
        </w:rPr>
        <w:t>die Leistungen von Dritten an die Sozialen Dienste Zürich abgetreten haben bzw. Zahlungsermächtigungen unterschrieben haben und Nachzahlungen erfolgen</w:t>
      </w:r>
    </w:p>
    <w:p w:rsidR="00181988" w:rsidRDefault="00181988" w:rsidP="00694BA6">
      <w:pPr>
        <w:autoSpaceDE w:val="0"/>
        <w:autoSpaceDN w:val="0"/>
        <w:adjustRightInd w:val="0"/>
        <w:rPr>
          <w:szCs w:val="22"/>
          <w:lang w:val="de-DE"/>
        </w:rPr>
      </w:pPr>
    </w:p>
    <w:p w:rsidR="00181988" w:rsidRDefault="00181988" w:rsidP="00694BA6">
      <w:pPr>
        <w:autoSpaceDE w:val="0"/>
        <w:autoSpaceDN w:val="0"/>
        <w:adjustRightInd w:val="0"/>
        <w:rPr>
          <w:szCs w:val="22"/>
          <w:lang w:val="de-DE"/>
        </w:rPr>
      </w:pPr>
      <w:r>
        <w:rPr>
          <w:szCs w:val="22"/>
          <w:lang w:val="de-DE"/>
        </w:rPr>
        <w:t>oder</w:t>
      </w:r>
    </w:p>
    <w:p w:rsidR="00181988" w:rsidRDefault="00181988" w:rsidP="00694BA6">
      <w:pPr>
        <w:autoSpaceDE w:val="0"/>
        <w:autoSpaceDN w:val="0"/>
        <w:adjustRightInd w:val="0"/>
        <w:rPr>
          <w:szCs w:val="22"/>
          <w:lang w:val="de-DE"/>
        </w:rPr>
      </w:pPr>
    </w:p>
    <w:p w:rsidR="00181988" w:rsidRDefault="00181988" w:rsidP="00694BA6">
      <w:pPr>
        <w:numPr>
          <w:ilvl w:val="0"/>
          <w:numId w:val="8"/>
        </w:numPr>
        <w:autoSpaceDE w:val="0"/>
        <w:autoSpaceDN w:val="0"/>
        <w:adjustRightInd w:val="0"/>
        <w:rPr>
          <w:sz w:val="20"/>
          <w:lang w:val="de-DE"/>
        </w:rPr>
      </w:pPr>
      <w:r>
        <w:rPr>
          <w:szCs w:val="22"/>
          <w:lang w:val="de-DE"/>
        </w:rPr>
        <w:t>die Versicherungsleistungen wieder direkt ausbezahlt erhalten sollen (z.B. bei Ablösung von den Sozialen Diensten Zürich)</w:t>
      </w:r>
    </w:p>
    <w:p w:rsidR="00181988" w:rsidRDefault="00181988" w:rsidP="00694BA6">
      <w:pPr>
        <w:autoSpaceDE w:val="0"/>
        <w:autoSpaceDN w:val="0"/>
        <w:adjustRightInd w:val="0"/>
        <w:rPr>
          <w:sz w:val="20"/>
          <w:lang w:val="de-DE"/>
        </w:rPr>
      </w:pPr>
    </w:p>
    <w:p w:rsidR="00181988" w:rsidRDefault="00181988" w:rsidP="00694BA6">
      <w:pPr>
        <w:autoSpaceDE w:val="0"/>
        <w:autoSpaceDN w:val="0"/>
        <w:adjustRightInd w:val="0"/>
        <w:rPr>
          <w:szCs w:val="22"/>
          <w:lang w:val="de-DE"/>
        </w:rPr>
      </w:pPr>
      <w:r>
        <w:rPr>
          <w:szCs w:val="22"/>
          <w:lang w:val="de-DE"/>
        </w:rPr>
        <w:t>Bei der Abrechnung ist grundsätzlich nicht von einzelnen Monaten oder Jahren, sondern von ganzen Zeitperioden auszugehen. Eine Zeitperiode entspricht einer Zeitspanne mit gleichbleibenden Verhältnissen. Jede Veränderung der Verhältnisse wie die Änderung des IV-Grades oder das Hinzukommen von zusätzlichen Einkommen bzw. von Versicherungsleistungen sowie das Wegfallen von zusätzlichen Einkommen bzw. von Versicherungsleistungen begründet eine neue Zeitperiode.</w:t>
      </w:r>
    </w:p>
    <w:p w:rsidR="00181988" w:rsidRDefault="00181988" w:rsidP="00694BA6">
      <w:pPr>
        <w:autoSpaceDE w:val="0"/>
        <w:autoSpaceDN w:val="0"/>
        <w:adjustRightInd w:val="0"/>
        <w:rPr>
          <w:szCs w:val="22"/>
          <w:lang w:val="de-DE"/>
        </w:rPr>
      </w:pPr>
    </w:p>
    <w:p w:rsidR="00181988" w:rsidRDefault="00181988" w:rsidP="00694BA6">
      <w:pPr>
        <w:autoSpaceDE w:val="0"/>
        <w:autoSpaceDN w:val="0"/>
        <w:adjustRightInd w:val="0"/>
        <w:rPr>
          <w:szCs w:val="22"/>
          <w:lang w:val="de-DE"/>
        </w:rPr>
      </w:pPr>
    </w:p>
    <w:p w:rsidR="00181988" w:rsidRDefault="00181988" w:rsidP="00694BA6">
      <w:pPr>
        <w:autoSpaceDE w:val="0"/>
        <w:autoSpaceDN w:val="0"/>
        <w:adjustRightInd w:val="0"/>
        <w:rPr>
          <w:szCs w:val="22"/>
          <w:lang w:val="it-IT"/>
        </w:rPr>
      </w:pPr>
      <w:r>
        <w:rPr>
          <w:szCs w:val="22"/>
          <w:lang w:val="it-IT"/>
        </w:rPr>
        <w:t xml:space="preserve">01.05.1994 </w:t>
      </w:r>
      <w:r>
        <w:rPr>
          <w:szCs w:val="22"/>
          <w:lang w:val="it-IT"/>
        </w:rPr>
        <w:tab/>
      </w:r>
      <w:r>
        <w:rPr>
          <w:szCs w:val="22"/>
          <w:lang w:val="it-IT"/>
        </w:rPr>
        <w:tab/>
        <w:t xml:space="preserve">01.06.1996 </w:t>
      </w:r>
      <w:r>
        <w:rPr>
          <w:szCs w:val="22"/>
          <w:lang w:val="it-IT"/>
        </w:rPr>
        <w:tab/>
      </w:r>
      <w:r>
        <w:rPr>
          <w:szCs w:val="22"/>
          <w:lang w:val="it-IT"/>
        </w:rPr>
        <w:tab/>
        <w:t xml:space="preserve">01.10.1998 </w:t>
      </w:r>
      <w:r>
        <w:rPr>
          <w:szCs w:val="22"/>
          <w:lang w:val="it-IT"/>
        </w:rPr>
        <w:tab/>
      </w:r>
      <w:r>
        <w:rPr>
          <w:szCs w:val="22"/>
          <w:lang w:val="it-IT"/>
        </w:rPr>
        <w:tab/>
        <w:t>10.07.1999</w:t>
      </w:r>
    </w:p>
    <w:p w:rsidR="00181988" w:rsidRDefault="00181988" w:rsidP="00694BA6">
      <w:pPr>
        <w:autoSpaceDE w:val="0"/>
        <w:autoSpaceDN w:val="0"/>
        <w:adjustRightInd w:val="0"/>
        <w:rPr>
          <w:szCs w:val="22"/>
          <w:lang w:val="it-IT"/>
        </w:rPr>
      </w:pPr>
      <w:r>
        <w:rPr>
          <w:szCs w:val="22"/>
          <w:lang w:val="it-IT"/>
        </w:rPr>
        <w:t>____________I______________I______________I______________I___________</w:t>
      </w:r>
    </w:p>
    <w:p w:rsidR="00181988" w:rsidRDefault="00181988" w:rsidP="00694BA6">
      <w:pPr>
        <w:autoSpaceDE w:val="0"/>
        <w:autoSpaceDN w:val="0"/>
        <w:adjustRightInd w:val="0"/>
        <w:rPr>
          <w:szCs w:val="22"/>
          <w:lang w:val="de-DE"/>
        </w:rPr>
      </w:pPr>
      <w:r>
        <w:rPr>
          <w:szCs w:val="22"/>
          <w:lang w:val="de-DE"/>
        </w:rPr>
        <w:t xml:space="preserve">Unterstützungsbeginn </w:t>
      </w:r>
      <w:r>
        <w:rPr>
          <w:szCs w:val="22"/>
          <w:lang w:val="de-DE"/>
        </w:rPr>
        <w:tab/>
        <w:t xml:space="preserve">½ IV-Rente </w:t>
      </w:r>
      <w:r>
        <w:rPr>
          <w:szCs w:val="22"/>
          <w:lang w:val="de-DE"/>
        </w:rPr>
        <w:tab/>
        <w:t xml:space="preserve">ganze IV-Rente </w:t>
      </w:r>
      <w:r>
        <w:rPr>
          <w:szCs w:val="22"/>
          <w:lang w:val="de-DE"/>
        </w:rPr>
        <w:tab/>
        <w:t>IV-Rente/EL</w:t>
      </w:r>
    </w:p>
    <w:p w:rsidR="00181988" w:rsidRDefault="00181988" w:rsidP="00694BA6">
      <w:pPr>
        <w:autoSpaceDE w:val="0"/>
        <w:autoSpaceDN w:val="0"/>
        <w:adjustRightInd w:val="0"/>
        <w:rPr>
          <w:szCs w:val="22"/>
          <w:lang w:val="de-DE"/>
        </w:rPr>
      </w:pPr>
    </w:p>
    <w:p w:rsidR="00181988" w:rsidRDefault="00181988" w:rsidP="00694BA6">
      <w:pPr>
        <w:autoSpaceDE w:val="0"/>
        <w:autoSpaceDN w:val="0"/>
        <w:adjustRightInd w:val="0"/>
        <w:rPr>
          <w:szCs w:val="22"/>
          <w:lang w:val="it-IT"/>
        </w:rPr>
      </w:pPr>
      <w:r>
        <w:rPr>
          <w:szCs w:val="22"/>
          <w:lang w:val="it-IT"/>
        </w:rPr>
        <w:t>oder</w:t>
      </w:r>
    </w:p>
    <w:p w:rsidR="00181988" w:rsidRDefault="00181988" w:rsidP="00694BA6">
      <w:pPr>
        <w:autoSpaceDE w:val="0"/>
        <w:autoSpaceDN w:val="0"/>
        <w:adjustRightInd w:val="0"/>
        <w:rPr>
          <w:szCs w:val="22"/>
          <w:lang w:val="it-IT"/>
        </w:rPr>
      </w:pPr>
    </w:p>
    <w:p w:rsidR="00181988" w:rsidRDefault="00181988" w:rsidP="00694BA6">
      <w:pPr>
        <w:autoSpaceDE w:val="0"/>
        <w:autoSpaceDN w:val="0"/>
        <w:adjustRightInd w:val="0"/>
        <w:rPr>
          <w:szCs w:val="22"/>
          <w:lang w:val="de-DE"/>
        </w:rPr>
      </w:pPr>
      <w:r>
        <w:rPr>
          <w:szCs w:val="22"/>
          <w:lang w:val="it-IT"/>
        </w:rPr>
        <w:tab/>
      </w:r>
      <w:r>
        <w:rPr>
          <w:szCs w:val="22"/>
          <w:lang w:val="de-DE"/>
        </w:rPr>
        <w:t xml:space="preserve">01.04.1996 </w:t>
      </w:r>
      <w:r>
        <w:rPr>
          <w:szCs w:val="22"/>
          <w:lang w:val="de-DE"/>
        </w:rPr>
        <w:tab/>
      </w:r>
      <w:r>
        <w:rPr>
          <w:szCs w:val="22"/>
          <w:lang w:val="de-DE"/>
        </w:rPr>
        <w:tab/>
        <w:t xml:space="preserve">01.07.1997 </w:t>
      </w:r>
      <w:r>
        <w:rPr>
          <w:szCs w:val="22"/>
          <w:lang w:val="de-DE"/>
        </w:rPr>
        <w:tab/>
      </w:r>
      <w:r>
        <w:rPr>
          <w:szCs w:val="22"/>
          <w:lang w:val="de-DE"/>
        </w:rPr>
        <w:tab/>
      </w:r>
      <w:r>
        <w:rPr>
          <w:szCs w:val="22"/>
          <w:lang w:val="de-DE"/>
        </w:rPr>
        <w:tab/>
      </w:r>
      <w:r>
        <w:rPr>
          <w:szCs w:val="22"/>
          <w:lang w:val="de-DE"/>
        </w:rPr>
        <w:tab/>
        <w:t>02.02.2000</w:t>
      </w:r>
    </w:p>
    <w:p w:rsidR="00181988" w:rsidRDefault="00181988" w:rsidP="00694BA6">
      <w:pPr>
        <w:autoSpaceDE w:val="0"/>
        <w:autoSpaceDN w:val="0"/>
        <w:adjustRightInd w:val="0"/>
        <w:rPr>
          <w:szCs w:val="22"/>
          <w:lang w:val="de-DE"/>
        </w:rPr>
      </w:pPr>
      <w:r>
        <w:rPr>
          <w:szCs w:val="22"/>
          <w:lang w:val="de-DE"/>
        </w:rPr>
        <w:t>____________I______________I_____________________________I__________</w:t>
      </w:r>
    </w:p>
    <w:p w:rsidR="00181988" w:rsidRDefault="00181988" w:rsidP="00694BA6">
      <w:pPr>
        <w:autoSpaceDE w:val="0"/>
        <w:autoSpaceDN w:val="0"/>
        <w:adjustRightInd w:val="0"/>
        <w:rPr>
          <w:szCs w:val="22"/>
          <w:lang w:val="de-DE"/>
        </w:rPr>
      </w:pPr>
      <w:r>
        <w:rPr>
          <w:szCs w:val="22"/>
          <w:lang w:val="de-DE"/>
        </w:rPr>
        <w:tab/>
        <w:t xml:space="preserve">IV-Rente + EL </w:t>
      </w:r>
      <w:r>
        <w:rPr>
          <w:szCs w:val="22"/>
          <w:lang w:val="de-DE"/>
        </w:rPr>
        <w:tab/>
        <w:t xml:space="preserve">Unterstützungsbeginn </w:t>
      </w:r>
      <w:r>
        <w:rPr>
          <w:szCs w:val="22"/>
          <w:lang w:val="de-DE"/>
        </w:rPr>
        <w:tab/>
      </w:r>
      <w:r>
        <w:rPr>
          <w:szCs w:val="22"/>
          <w:lang w:val="de-DE"/>
        </w:rPr>
        <w:tab/>
        <w:t>Ablösung</w:t>
      </w:r>
    </w:p>
    <w:p w:rsidR="00181988" w:rsidRDefault="00181988" w:rsidP="00694BA6">
      <w:pPr>
        <w:autoSpaceDE w:val="0"/>
        <w:autoSpaceDN w:val="0"/>
        <w:adjustRightInd w:val="0"/>
        <w:rPr>
          <w:szCs w:val="22"/>
          <w:lang w:val="de-DE"/>
        </w:rPr>
      </w:pPr>
    </w:p>
    <w:p w:rsidR="00181988" w:rsidRDefault="00181988" w:rsidP="00694BA6">
      <w:pPr>
        <w:autoSpaceDE w:val="0"/>
        <w:autoSpaceDN w:val="0"/>
        <w:adjustRightInd w:val="0"/>
        <w:rPr>
          <w:szCs w:val="22"/>
          <w:lang w:val="de-DE"/>
        </w:rPr>
      </w:pPr>
      <w:r>
        <w:rPr>
          <w:szCs w:val="22"/>
          <w:lang w:val="de-DE"/>
        </w:rPr>
        <w:t>In komplizierten oder unklaren Fällen kann die Abrechnung in Zusammenarbeit mit</w:t>
      </w:r>
    </w:p>
    <w:p w:rsidR="00181988" w:rsidRDefault="00181988" w:rsidP="00694BA6">
      <w:pPr>
        <w:autoSpaceDE w:val="0"/>
        <w:autoSpaceDN w:val="0"/>
        <w:adjustRightInd w:val="0"/>
        <w:rPr>
          <w:sz w:val="20"/>
          <w:lang w:val="de-DE"/>
        </w:rPr>
      </w:pPr>
      <w:r>
        <w:rPr>
          <w:szCs w:val="22"/>
          <w:lang w:val="de-DE"/>
        </w:rPr>
        <w:t>dem Rechtsdienst erstellt werden.</w:t>
      </w:r>
    </w:p>
    <w:p w:rsidR="00181988" w:rsidRDefault="00181988" w:rsidP="00694BA6">
      <w:pPr>
        <w:pStyle w:val="Absatz0"/>
        <w:rPr>
          <w:lang w:val="de-DE"/>
        </w:rPr>
      </w:pPr>
    </w:p>
    <w:p w:rsidR="00181988" w:rsidRDefault="00181988" w:rsidP="00694BA6">
      <w:pPr>
        <w:pStyle w:val="berschrift2"/>
        <w:rPr>
          <w:lang w:val="de-DE"/>
        </w:rPr>
      </w:pPr>
      <w:r>
        <w:rPr>
          <w:lang w:val="de-DE"/>
        </w:rPr>
        <w:t>Rechtsmittelverfahren</w:t>
      </w:r>
    </w:p>
    <w:p w:rsidR="00181988" w:rsidRDefault="00181988" w:rsidP="00694BA6">
      <w:pPr>
        <w:autoSpaceDE w:val="0"/>
        <w:autoSpaceDN w:val="0"/>
        <w:adjustRightInd w:val="0"/>
        <w:rPr>
          <w:szCs w:val="22"/>
          <w:lang w:val="de-DE"/>
        </w:rPr>
      </w:pPr>
      <w:r>
        <w:rPr>
          <w:szCs w:val="22"/>
          <w:lang w:val="de-DE"/>
        </w:rPr>
        <w:t xml:space="preserve">Die Abrechnung ist </w:t>
      </w:r>
      <w:r w:rsidR="00694BA6">
        <w:rPr>
          <w:szCs w:val="22"/>
          <w:lang w:val="de-DE"/>
        </w:rPr>
        <w:t xml:space="preserve">von der/dem fallführenden Sozialarbeitenden </w:t>
      </w:r>
      <w:r>
        <w:rPr>
          <w:szCs w:val="22"/>
          <w:lang w:val="de-DE"/>
        </w:rPr>
        <w:t>zu unterzeichnen und mit einer Rechtsmittelbelehrung zu versehen, wonach der/die KlientIn gegen die Abrechnung innert 30 Tagen bei der Einspracheinstanz und Geschäftsprüfungskommission der Fürsorgebehörde der Stadt Zürich Einsprache erheben kann.</w:t>
      </w:r>
    </w:p>
    <w:p w:rsidR="00181988" w:rsidRDefault="00181988" w:rsidP="00694BA6">
      <w:pPr>
        <w:autoSpaceDE w:val="0"/>
        <w:autoSpaceDN w:val="0"/>
        <w:adjustRightInd w:val="0"/>
        <w:rPr>
          <w:szCs w:val="22"/>
          <w:lang w:val="de-DE"/>
        </w:rPr>
      </w:pPr>
    </w:p>
    <w:p w:rsidR="00181988" w:rsidRPr="00E11D30" w:rsidRDefault="00181988" w:rsidP="00694BA6">
      <w:pPr>
        <w:spacing w:before="100" w:beforeAutospacing="1" w:after="100" w:afterAutospacing="1"/>
        <w:rPr>
          <w:rFonts w:ascii="Arial Unicode MS" w:hAnsi="Arial Unicode MS" w:cs="Arial Unicode MS"/>
          <w:color w:val="000000"/>
          <w:sz w:val="24"/>
          <w:szCs w:val="24"/>
        </w:rPr>
      </w:pPr>
      <w:r>
        <w:t xml:space="preserve">KlientInnenkontoabrechnungen sollen wenn möglich </w:t>
      </w:r>
      <w:r w:rsidRPr="00E11D30">
        <w:rPr>
          <w:bCs/>
        </w:rPr>
        <w:t>persönlich</w:t>
      </w:r>
      <w:r w:rsidRPr="00E11D30">
        <w:t xml:space="preserve"> </w:t>
      </w:r>
      <w:r>
        <w:t>an den Klienten / die Klien</w:t>
      </w:r>
      <w:r>
        <w:softHyphen/>
        <w:t xml:space="preserve">tin abgegeben und dabei gegengezeichnet werden. </w:t>
      </w:r>
      <w:r w:rsidRPr="00E11D30">
        <w:rPr>
          <w:bCs/>
          <w:color w:val="000000"/>
        </w:rPr>
        <w:t xml:space="preserve">Ist dies nicht möglich, so sind sie </w:t>
      </w:r>
      <w:r w:rsidR="007C77E9">
        <w:rPr>
          <w:bCs/>
          <w:color w:val="000000"/>
        </w:rPr>
        <w:t>per Einschreiben</w:t>
      </w:r>
      <w:r w:rsidRPr="00E11D30">
        <w:rPr>
          <w:bCs/>
          <w:color w:val="000000"/>
        </w:rPr>
        <w:t xml:space="preserve"> zu versenden.</w:t>
      </w:r>
    </w:p>
    <w:p w:rsidR="00181988" w:rsidRDefault="00181988" w:rsidP="00694BA6">
      <w:pPr>
        <w:spacing w:before="100" w:beforeAutospacing="1" w:after="100" w:afterAutospacing="1"/>
        <w:rPr>
          <w:szCs w:val="22"/>
          <w:lang w:val="de-DE"/>
        </w:rPr>
      </w:pPr>
      <w:r>
        <w:rPr>
          <w:color w:val="000000"/>
        </w:rPr>
        <w:t>Dieses Vorgehen ist wichtig, da sonst im Falle einer Einsprache die Einsprachefrist massiv verlängert wird.</w:t>
      </w:r>
    </w:p>
    <w:sectPr w:rsidR="00181988">
      <w:headerReference w:type="default" r:id="rId14"/>
      <w:footerReference w:type="default" r:id="rId15"/>
      <w:headerReference w:type="first" r:id="rId16"/>
      <w:footerReference w:type="first" r:id="rId17"/>
      <w:pgSz w:w="11906" w:h="16838" w:code="9"/>
      <w:pgMar w:top="1985" w:right="1134" w:bottom="851"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566" w:rsidRDefault="00F07566">
      <w:r>
        <w:separator/>
      </w:r>
    </w:p>
  </w:endnote>
  <w:endnote w:type="continuationSeparator" w:id="0">
    <w:p w:rsidR="00F07566" w:rsidRDefault="00F07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W1)">
    <w:altName w:val="Arial"/>
    <w:charset w:val="00"/>
    <w:family w:val="swiss"/>
    <w:pitch w:val="variable"/>
    <w:sig w:usb0="20007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873031">
      <w:tblPrEx>
        <w:tblCellMar>
          <w:top w:w="0" w:type="dxa"/>
          <w:bottom w:w="0" w:type="dxa"/>
        </w:tblCellMar>
      </w:tblPrEx>
      <w:trPr>
        <w:trHeight w:val="284"/>
      </w:trPr>
      <w:tc>
        <w:tcPr>
          <w:tcW w:w="5063" w:type="dxa"/>
        </w:tcPr>
        <w:p w:rsidR="00873031" w:rsidRDefault="00873031">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sidR="00117320">
            <w:rPr>
              <w:noProof/>
              <w:sz w:val="17"/>
            </w:rPr>
            <w:t>PRA_Klientenkontoabrechnung.doc</w:t>
          </w:r>
          <w:r>
            <w:rPr>
              <w:sz w:val="17"/>
            </w:rPr>
            <w:fldChar w:fldCharType="end"/>
          </w:r>
        </w:p>
      </w:tc>
      <w:tc>
        <w:tcPr>
          <w:tcW w:w="1430" w:type="dxa"/>
        </w:tcPr>
        <w:p w:rsidR="00873031" w:rsidRDefault="00873031">
          <w:pPr>
            <w:pStyle w:val="Fuzeile"/>
            <w:tabs>
              <w:tab w:val="clear" w:pos="4536"/>
              <w:tab w:val="clear" w:pos="9072"/>
              <w:tab w:val="right" w:pos="8504"/>
            </w:tabs>
            <w:jc w:val="center"/>
            <w:rPr>
              <w:sz w:val="17"/>
            </w:rPr>
          </w:pPr>
        </w:p>
      </w:tc>
      <w:tc>
        <w:tcPr>
          <w:tcW w:w="2640" w:type="dxa"/>
        </w:tcPr>
        <w:p w:rsidR="00873031" w:rsidRDefault="00873031">
          <w:pPr>
            <w:pStyle w:val="Fuzeile"/>
            <w:tabs>
              <w:tab w:val="clear" w:pos="4536"/>
              <w:tab w:val="clear" w:pos="9072"/>
              <w:tab w:val="right" w:pos="8504"/>
            </w:tabs>
            <w:jc w:val="center"/>
            <w:rPr>
              <w:sz w:val="17"/>
              <w:lang w:val="de-DE"/>
            </w:rPr>
          </w:pPr>
        </w:p>
      </w:tc>
    </w:tr>
  </w:tbl>
  <w:p w:rsidR="00873031" w:rsidRDefault="0087303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873031">
      <w:tblPrEx>
        <w:tblCellMar>
          <w:top w:w="0" w:type="dxa"/>
          <w:bottom w:w="0" w:type="dxa"/>
        </w:tblCellMar>
      </w:tblPrEx>
      <w:trPr>
        <w:trHeight w:val="284"/>
      </w:trPr>
      <w:tc>
        <w:tcPr>
          <w:tcW w:w="5063" w:type="dxa"/>
        </w:tcPr>
        <w:p w:rsidR="00873031" w:rsidRDefault="00873031">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sidR="00117320">
            <w:rPr>
              <w:noProof/>
              <w:sz w:val="17"/>
            </w:rPr>
            <w:t>PRA_Klientenkontoabrechnung.doc</w:t>
          </w:r>
          <w:r>
            <w:rPr>
              <w:sz w:val="17"/>
            </w:rPr>
            <w:fldChar w:fldCharType="end"/>
          </w:r>
        </w:p>
      </w:tc>
      <w:tc>
        <w:tcPr>
          <w:tcW w:w="1430" w:type="dxa"/>
        </w:tcPr>
        <w:p w:rsidR="00873031" w:rsidRDefault="00873031" w:rsidP="00694BA6">
          <w:pPr>
            <w:pStyle w:val="Fuzeile"/>
            <w:tabs>
              <w:tab w:val="clear" w:pos="4536"/>
              <w:tab w:val="clear" w:pos="9072"/>
              <w:tab w:val="right" w:pos="8504"/>
            </w:tabs>
            <w:jc w:val="center"/>
            <w:rPr>
              <w:sz w:val="17"/>
            </w:rPr>
          </w:pPr>
          <w:r>
            <w:rPr>
              <w:sz w:val="17"/>
            </w:rPr>
            <w:t>Version 1.</w:t>
          </w:r>
          <w:r w:rsidR="00694BA6">
            <w:rPr>
              <w:sz w:val="17"/>
            </w:rPr>
            <w:t>2</w:t>
          </w:r>
        </w:p>
      </w:tc>
      <w:tc>
        <w:tcPr>
          <w:tcW w:w="2640" w:type="dxa"/>
        </w:tcPr>
        <w:p w:rsidR="00873031" w:rsidRDefault="00873031">
          <w:pPr>
            <w:pStyle w:val="Fuzeile"/>
            <w:tabs>
              <w:tab w:val="clear" w:pos="4536"/>
              <w:tab w:val="clear" w:pos="9072"/>
              <w:tab w:val="right" w:pos="8504"/>
            </w:tabs>
            <w:jc w:val="center"/>
            <w:rPr>
              <w:sz w:val="17"/>
              <w:lang w:val="de-DE"/>
            </w:rPr>
          </w:pPr>
          <w:r>
            <w:rPr>
              <w:sz w:val="17"/>
              <w:lang w:val="de-DE"/>
            </w:rPr>
            <w:t xml:space="preserve">VerfasserIn: KPZ </w:t>
          </w:r>
          <w:r w:rsidR="00694BA6">
            <w:rPr>
              <w:sz w:val="17"/>
              <w:lang w:val="de-DE"/>
            </w:rPr>
            <w:t>Team FG</w:t>
          </w:r>
        </w:p>
      </w:tc>
    </w:tr>
    <w:tr w:rsidR="00D8190B" w:rsidTr="00F07566">
      <w:tblPrEx>
        <w:tblCellMar>
          <w:top w:w="0" w:type="dxa"/>
          <w:bottom w:w="0" w:type="dxa"/>
        </w:tblCellMar>
      </w:tblPrEx>
      <w:trPr>
        <w:trHeight w:val="284"/>
      </w:trPr>
      <w:tc>
        <w:tcPr>
          <w:tcW w:w="9133" w:type="dxa"/>
          <w:gridSpan w:val="3"/>
        </w:tcPr>
        <w:p w:rsidR="00D8190B" w:rsidRDefault="00D8190B" w:rsidP="00D8190B">
          <w:pPr>
            <w:pStyle w:val="Fuzeile"/>
            <w:tabs>
              <w:tab w:val="clear" w:pos="4536"/>
              <w:tab w:val="clear" w:pos="9072"/>
              <w:tab w:val="right" w:pos="8504"/>
            </w:tabs>
            <w:rPr>
              <w:sz w:val="17"/>
              <w:lang w:val="de-DE"/>
            </w:rPr>
          </w:pPr>
          <w:r>
            <w:rPr>
              <w:sz w:val="17"/>
              <w:lang w:val="de-DE"/>
            </w:rPr>
            <w:t>© Das Copyright liegt bei den Sozialen Diensten. Eine Weiterverwendung ist nur mit dem Zusatz «Soziale Dienste Stadt Zürich» erlaubt.</w:t>
          </w:r>
        </w:p>
      </w:tc>
    </w:tr>
  </w:tbl>
  <w:p w:rsidR="00873031" w:rsidRDefault="008730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566" w:rsidRDefault="00F07566">
      <w:r>
        <w:separator/>
      </w:r>
    </w:p>
  </w:footnote>
  <w:footnote w:type="continuationSeparator" w:id="0">
    <w:p w:rsidR="00F07566" w:rsidRDefault="00F07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873031">
      <w:tblPrEx>
        <w:tblCellMar>
          <w:top w:w="0" w:type="dxa"/>
          <w:bottom w:w="0" w:type="dxa"/>
        </w:tblCellMar>
      </w:tblPrEx>
      <w:tc>
        <w:tcPr>
          <w:tcW w:w="7257" w:type="dxa"/>
          <w:gridSpan w:val="2"/>
        </w:tcPr>
        <w:p w:rsidR="00873031" w:rsidRDefault="009F2099">
          <w:pPr>
            <w:pStyle w:val="Kopfzeile"/>
            <w:tabs>
              <w:tab w:val="clear" w:pos="4536"/>
              <w:tab w:val="clear" w:pos="9072"/>
            </w:tabs>
            <w:rPr>
              <w:szCs w:val="22"/>
            </w:rPr>
          </w:pPr>
          <w:bookmarkStart w:id="2" w:name="OLE_LINK1"/>
          <w:r>
            <w:rPr>
              <w:noProof/>
              <w:szCs w:val="22"/>
              <w:lang w:eastAsia="de-CH"/>
            </w:rPr>
            <w:drawing>
              <wp:inline distT="0" distB="0" distL="0" distR="0">
                <wp:extent cx="1345565"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565" cy="276225"/>
                        </a:xfrm>
                        <a:prstGeom prst="rect">
                          <a:avLst/>
                        </a:prstGeom>
                        <a:noFill/>
                        <a:ln>
                          <a:noFill/>
                        </a:ln>
                      </pic:spPr>
                    </pic:pic>
                  </a:graphicData>
                </a:graphic>
              </wp:inline>
            </w:drawing>
          </w:r>
        </w:p>
        <w:p w:rsidR="00873031" w:rsidRDefault="00873031">
          <w:pPr>
            <w:pStyle w:val="Kopfzeile"/>
            <w:tabs>
              <w:tab w:val="clear" w:pos="4536"/>
              <w:tab w:val="clear" w:pos="9072"/>
            </w:tabs>
            <w:rPr>
              <w:szCs w:val="22"/>
            </w:rPr>
          </w:pPr>
        </w:p>
      </w:tc>
      <w:tc>
        <w:tcPr>
          <w:tcW w:w="2495" w:type="dxa"/>
        </w:tcPr>
        <w:p w:rsidR="00873031" w:rsidRDefault="00873031">
          <w:pPr>
            <w:pStyle w:val="Kopfzeile"/>
            <w:tabs>
              <w:tab w:val="clear" w:pos="4536"/>
              <w:tab w:val="clear" w:pos="9072"/>
            </w:tabs>
            <w:rPr>
              <w:sz w:val="17"/>
              <w:szCs w:val="17"/>
            </w:rPr>
          </w:pPr>
        </w:p>
      </w:tc>
    </w:tr>
    <w:tr w:rsidR="00873031">
      <w:tblPrEx>
        <w:tblCellMar>
          <w:top w:w="0" w:type="dxa"/>
          <w:bottom w:w="0" w:type="dxa"/>
        </w:tblCellMar>
      </w:tblPrEx>
      <w:trPr>
        <w:trHeight w:val="210"/>
      </w:trPr>
      <w:tc>
        <w:tcPr>
          <w:tcW w:w="680" w:type="dxa"/>
        </w:tcPr>
        <w:p w:rsidR="00873031" w:rsidRDefault="00873031">
          <w:pPr>
            <w:pStyle w:val="Kopfzeile"/>
          </w:pPr>
        </w:p>
      </w:tc>
      <w:tc>
        <w:tcPr>
          <w:tcW w:w="9072" w:type="dxa"/>
          <w:gridSpan w:val="2"/>
        </w:tcPr>
        <w:p w:rsidR="00873031" w:rsidRDefault="00873031">
          <w:pPr>
            <w:pStyle w:val="Kopfzeile"/>
          </w:pPr>
          <w:r>
            <w:fldChar w:fldCharType="begin"/>
          </w:r>
          <w:r>
            <w:instrText xml:space="preserve"> PAGE   \* MERGEFORMAT </w:instrText>
          </w:r>
          <w:r>
            <w:fldChar w:fldCharType="separate"/>
          </w:r>
          <w:r w:rsidR="009F2099">
            <w:rPr>
              <w:noProof/>
            </w:rPr>
            <w:t>2</w:t>
          </w:r>
          <w:r>
            <w:fldChar w:fldCharType="end"/>
          </w:r>
          <w:r>
            <w:t>/</w:t>
          </w:r>
          <w:fldSimple w:instr=" NUMPAGES   \* MERGEFORMAT ">
            <w:r w:rsidR="009F2099">
              <w:rPr>
                <w:noProof/>
              </w:rPr>
              <w:t>2</w:t>
            </w:r>
          </w:fldSimple>
        </w:p>
      </w:tc>
    </w:tr>
    <w:bookmarkEnd w:id="2"/>
  </w:tbl>
  <w:p w:rsidR="00873031" w:rsidRDefault="00873031">
    <w:pPr>
      <w:pStyle w:val="Kopfzeile"/>
      <w:tabs>
        <w:tab w:val="clear" w:pos="4536"/>
        <w:tab w:val="clear" w:pos="9072"/>
      </w:tabs>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873031">
      <w:tblPrEx>
        <w:tblCellMar>
          <w:top w:w="0" w:type="dxa"/>
          <w:bottom w:w="0" w:type="dxa"/>
        </w:tblCellMar>
      </w:tblPrEx>
      <w:tc>
        <w:tcPr>
          <w:tcW w:w="7257" w:type="dxa"/>
        </w:tcPr>
        <w:p w:rsidR="00873031" w:rsidRDefault="009F2099">
          <w:pPr>
            <w:pStyle w:val="Kopfzeile"/>
            <w:tabs>
              <w:tab w:val="clear" w:pos="4536"/>
              <w:tab w:val="clear" w:pos="9072"/>
            </w:tabs>
            <w:rPr>
              <w:szCs w:val="22"/>
            </w:rPr>
          </w:pPr>
          <w:r>
            <w:rPr>
              <w:noProof/>
              <w:szCs w:val="22"/>
              <w:lang w:eastAsia="de-CH"/>
            </w:rPr>
            <w:drawing>
              <wp:inline distT="0" distB="0" distL="0" distR="0">
                <wp:extent cx="1345565" cy="276225"/>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565" cy="276225"/>
                        </a:xfrm>
                        <a:prstGeom prst="rect">
                          <a:avLst/>
                        </a:prstGeom>
                        <a:noFill/>
                        <a:ln>
                          <a:noFill/>
                        </a:ln>
                      </pic:spPr>
                    </pic:pic>
                  </a:graphicData>
                </a:graphic>
              </wp:inline>
            </w:drawing>
          </w:r>
        </w:p>
      </w:tc>
      <w:tc>
        <w:tcPr>
          <w:tcW w:w="2495" w:type="dxa"/>
        </w:tcPr>
        <w:p w:rsidR="00873031" w:rsidRDefault="00873031">
          <w:pPr>
            <w:pStyle w:val="Kopfzeile"/>
            <w:tabs>
              <w:tab w:val="clear" w:pos="4536"/>
              <w:tab w:val="clear" w:pos="9072"/>
            </w:tabs>
            <w:rPr>
              <w:sz w:val="17"/>
              <w:szCs w:val="17"/>
            </w:rPr>
          </w:pPr>
        </w:p>
      </w:tc>
    </w:tr>
    <w:tr w:rsidR="00873031">
      <w:tblPrEx>
        <w:tblCellMar>
          <w:top w:w="0" w:type="dxa"/>
          <w:bottom w:w="0" w:type="dxa"/>
        </w:tblCellMar>
      </w:tblPrEx>
      <w:tc>
        <w:tcPr>
          <w:tcW w:w="7257" w:type="dxa"/>
        </w:tcPr>
        <w:p w:rsidR="00873031" w:rsidRDefault="00873031">
          <w:pPr>
            <w:pStyle w:val="Kopfzeile"/>
            <w:tabs>
              <w:tab w:val="clear" w:pos="4536"/>
              <w:tab w:val="clear" w:pos="9072"/>
            </w:tabs>
            <w:rPr>
              <w:szCs w:val="22"/>
            </w:rPr>
          </w:pPr>
        </w:p>
      </w:tc>
      <w:tc>
        <w:tcPr>
          <w:tcW w:w="2495" w:type="dxa"/>
        </w:tcPr>
        <w:p w:rsidR="00873031" w:rsidRDefault="00873031">
          <w:pPr>
            <w:pStyle w:val="Kopfzeile"/>
            <w:tabs>
              <w:tab w:val="clear" w:pos="4536"/>
              <w:tab w:val="clear" w:pos="9072"/>
            </w:tabs>
            <w:rPr>
              <w:noProof/>
              <w:sz w:val="17"/>
              <w:szCs w:val="17"/>
              <w:lang w:val="de-DE"/>
            </w:rPr>
          </w:pPr>
        </w:p>
      </w:tc>
    </w:tr>
  </w:tbl>
  <w:p w:rsidR="00873031" w:rsidRDefault="00873031">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F409B3"/>
    <w:multiLevelType w:val="hybridMultilevel"/>
    <w:tmpl w:val="B29A5AF2"/>
    <w:lvl w:ilvl="0" w:tplc="33AA4812">
      <w:start w:val="1"/>
      <w:numFmt w:val="bullet"/>
      <w:lvlText w:val=""/>
      <w:lvlJc w:val="left"/>
      <w:pPr>
        <w:tabs>
          <w:tab w:val="num" w:pos="454"/>
        </w:tabs>
        <w:ind w:left="454" w:hanging="39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
  </w:num>
  <w:num w:numId="4">
    <w:abstractNumId w:val="5"/>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181988"/>
    <w:rsid w:val="00117320"/>
    <w:rsid w:val="00127555"/>
    <w:rsid w:val="00181988"/>
    <w:rsid w:val="0019051A"/>
    <w:rsid w:val="00301957"/>
    <w:rsid w:val="00476C16"/>
    <w:rsid w:val="00511674"/>
    <w:rsid w:val="00681CA7"/>
    <w:rsid w:val="00694BA6"/>
    <w:rsid w:val="00746074"/>
    <w:rsid w:val="007C77E9"/>
    <w:rsid w:val="00873031"/>
    <w:rsid w:val="009F2099"/>
    <w:rsid w:val="00B710FA"/>
    <w:rsid w:val="00C61675"/>
    <w:rsid w:val="00D8190B"/>
    <w:rsid w:val="00D93FB1"/>
    <w:rsid w:val="00E11D30"/>
    <w:rsid w:val="00F075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3CD06FE"/>
  <w15:chartTrackingRefBased/>
  <w15:docId w15:val="{7E66AD29-345A-4035-A150-3679DB05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autoRedefine/>
    <w:qFormat/>
    <w:pPr>
      <w:numPr>
        <w:numId w:val="1"/>
      </w:numPr>
      <w:shd w:val="clear" w:color="auto" w:fill="99CCFF"/>
      <w:tabs>
        <w:tab w:val="left" w:pos="709"/>
      </w:tabs>
      <w:spacing w:before="240" w:after="240"/>
      <w:ind w:left="431" w:hanging="431"/>
      <w:outlineLvl w:val="0"/>
    </w:pPr>
    <w:rPr>
      <w:rFonts w:cs="Times New Roman"/>
      <w:b/>
      <w:szCs w:val="24"/>
    </w:rPr>
  </w:style>
  <w:style w:type="paragraph" w:styleId="berschrift2">
    <w:name w:val="heading 2"/>
    <w:basedOn w:val="berschrift1"/>
    <w:next w:val="Absatz0"/>
    <w:qFormat/>
    <w:pPr>
      <w:numPr>
        <w:ilvl w:val="1"/>
      </w:numPr>
      <w:tabs>
        <w:tab w:val="clear" w:pos="576"/>
      </w:tabs>
      <w:ind w:left="709" w:hanging="709"/>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
    <w:name w:val="Body Text"/>
    <w:basedOn w:val="Standard"/>
    <w:pPr>
      <w:ind w:left="709"/>
    </w:pPr>
  </w:style>
  <w:style w:type="paragraph" w:styleId="Verzeichnis1">
    <w:name w:val="toc 1"/>
    <w:basedOn w:val="Standard"/>
    <w:next w:val="Standard"/>
    <w:semiHidden/>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character" w:styleId="Hyperlink">
    <w:name w:val="Hyperlink"/>
    <w:rsid w:val="00694B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d.intra.stzh.ch/intranet/sd/sod/home/Falladministration/KiSS.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V:\SOD\SOD-Wordvorlagen\1_Dokumentenstandard_SoD_hoch.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LongProp xmlns="" name="WorkflowChangePath"><![CDATA[52675646-02d6-422a-bf6f-0a8dd6281eff,6;52675646-02d6-422a-bf6f-0a8dd6281eff,8;52675646-02d6-422a-bf6f-0a8dd6281eff,10;0d2b39e8-dd18-4502-a924-40335b5a9ad4,12;0d2b39e8-dd18-4502-a924-40335b5a9ad4,14;1dbebda2-0151-441b-bad0-3a4bc52a6e32,20;7dbe9e3d-1110-41fa-836b-195a3e49061c,6;7dbe9e3d-1110-41fa-836b-195a3e49061c,8;]]></LongProp>
</LongProperties>
</file>

<file path=customXml/item2.xml><?xml version="1.0" encoding="utf-8"?>
<ct:contentTypeSchema xmlns:ct="http://schemas.microsoft.com/office/2006/metadata/contentType" xmlns:ma="http://schemas.microsoft.com/office/2006/metadata/properties/metaAttributes" ct:_="" ma:_="" ma:contentTypeName="SOD Praxishilfe (PRA)" ma:contentTypeID="0x01010012DCBF5558F0D14AB1FD168DE6C7A40C0100309021253101A04D9D9A7096FBAB356B" ma:contentTypeVersion="18" ma:contentTypeDescription="" ma:contentTypeScope="" ma:versionID="7acbe78d3abde7301c4c51a88e734ebb">
  <xsd:schema xmlns:xsd="http://www.w3.org/2001/XMLSchema" xmlns:xs="http://www.w3.org/2001/XMLSchema" xmlns:p="http://schemas.microsoft.com/office/2006/metadata/properties" xmlns:ns2="f3b92940-74e1-4b32-811a-cd501d17ae23" xmlns:ns3="3905ffbc-9aeb-4d51-937e-ee1e2cf00671" targetNamespace="http://schemas.microsoft.com/office/2006/metadata/properties" ma:root="true" ma:fieldsID="396aa12fd7e4edf08136839ced376dc1" ns2:_="" ns3:_="">
    <xsd:import namespace="f3b92940-74e1-4b32-811a-cd501d17ae23"/>
    <xsd:import namespace="3905ffbc-9aeb-4d51-937e-ee1e2cf00671"/>
    <xsd:element name="properties">
      <xsd:complexType>
        <xsd:sequence>
          <xsd:element name="documentManagement">
            <xsd:complexType>
              <xsd:all>
                <xsd:element ref="ns2:Fachkonzept" minOccurs="0"/>
                <xsd:element ref="ns3:Gültig_x0020_von" minOccurs="0"/>
                <xsd:element ref="ns3:Gültig_x0020_bis" minOccurs="0"/>
                <xsd:element ref="ns2:Leistung" minOccurs="0"/>
                <xsd:element ref="ns3:Kurzbeschreibung_x0020_Dokument" minOccurs="0"/>
                <xsd:element ref="ns2:Gesetzliche_x0020_Grundlage" minOccurs="0"/>
                <xsd:element ref="ns2:Dokumentenstatus" minOccurs="0"/>
                <xsd:element ref="ns2:Federführende_x002f_s_x0020_Fachressort_x002f_Einheit" minOccurs="0"/>
                <xsd:element ref="ns3:Verantwortliche_x002f_r_x0020_Autor_x002f_in" minOccurs="0"/>
                <xsd:element ref="ns3:Version_x0020_des_x0020_Dokuments" minOccurs="0"/>
                <xsd:element ref="ns2:Zu_x0020_konsultierende_x002f_-s_x0020_Fachressort_x002f_-s" minOccurs="0"/>
                <xsd:element ref="ns3:Dokumentenart1" minOccurs="0"/>
                <xsd:element ref="ns2:Herausgabe_x0020_bei_x0020_Informationszugangsgesuchen" minOccurs="0"/>
                <xsd:element ref="ns2:Thematische_x0020_Zuordnung_x0020_Fachressort_x0028_s_x0029_" minOccurs="0"/>
                <xsd:element ref="ns2:SKOS-Kapitel" minOccurs="0"/>
                <xsd:element ref="ns3:Kontaktperson_x0020_für_x0020_SOD_x0020_KO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2"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Federführende_x002f_s_x0020_Fachressort_x002f_Einheit" ma:index="15"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Zu_x0020_konsultierende_x002f_-s_x0020_Fachressort_x002f_-s" ma:index="18"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0"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element name="Thematische_x0020_Zuordnung_x0020_Fachressort_x0028_s_x0029_" ma:index="21"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SKOS-Kapitel" ma:index="22"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3" nillable="true" ma:displayName="Gültig von" ma:description="Ab wann gilt das Dokument?" ma:format="DateOnly" ma:internalName="G_x00fc_ltig_x0020_von">
      <xsd:simpleType>
        <xsd:restriction base="dms:DateTime"/>
      </xsd:simpleType>
    </xsd:element>
    <xsd:element name="Gültig_x0020_bis" ma:index="4"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6"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7"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9" nillable="true" ma:displayName="Dokumentenart" ma:indexed="true" ma:internalName="Dokumentenart1" ma:readOnly="false">
      <xsd:simpleType>
        <xsd:restriction base="dms:Text">
          <xsd:maxLength value="255"/>
        </xsd:restriction>
      </xsd:simpleType>
    </xsd:element>
    <xsd:element name="Kontaktperson_x0020_für_x0020_SOD_x0020_KOM" ma:index="23" nillable="true" ma:displayName="Kontaktperson für SOD KOM" ma:description="Wer ist Ansprechperson zu diesem Dokument für das KOM-Team?" ma:list="UserInfo" ma:SharePointGroup="0" ma:internalName="Kontaktperson_x0020_f_x00fc_r_x0020_SOD_x0020_KOM" ma:readOnly="false"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635509714904620989</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Thematische_x0020_Zuordnung_x0020_Fachressort_x0028_s_x0029_ xmlns="f3b92940-74e1-4b32-811a-cd501d17ae23">
      <Value>2</Value>
      <Value>5</Value>
    </Thematische_x0020_Zuordnung_x0020_Fachressort_x0028_s_x0029_>
    <Zu_x0020_konsultierende_x002f_-s_x0020_Fachressort_x002f_-s xmlns="f3b92940-74e1-4b32-811a-cd501d17ae23">
      <Value>2</Value>
      <Value>5</Value>
    </Zu_x0020_konsultierende_x002f_-s_x0020_Fachressort_x002f_-s>
    <Gesetzliche_x0020_Grundlage xmlns="f3b92940-74e1-4b32-811a-cd501d17ae23" xsi:nil="true"/>
    <Version_x0020_des_x0020_Dokuments xmlns="3905ffbc-9aeb-4d51-937e-ee1e2cf00671" xsi:nil="true"/>
    <Gültig_x0020_bis xmlns="3905ffbc-9aeb-4d51-937e-ee1e2cf00671" xsi:nil="true"/>
    <Herausgabe_x0020_bei_x0020_Informationszugangsgesuchen xmlns="f3b92940-74e1-4b32-811a-cd501d17ae23">kann herausgegeben werden</Herausgabe_x0020_bei_x0020_Informationszugangsgesuchen>
    <Kontaktperson_x0020_für_x0020_SOD_x0020_KOM xmlns="3905ffbc-9aeb-4d51-937e-ee1e2cf00671">
      <UserInfo>
        <DisplayName>i:0#.w|global\sozhhi</DisplayName>
        <AccountId>6</AccountId>
        <AccountType/>
      </UserInfo>
    </Kontaktperson_x0020_für_x0020_SOD_x0020_KOM>
    <SKOS-Kapitel xmlns="f3b92940-74e1-4b32-811a-cd501d17ae23"/>
    <Kurzbeschreibung_x0020_Dokument xmlns="3905ffbc-9aeb-4d51-937e-ee1e2cf00671" xsi:nil="true"/>
    <Fachkonzept xmlns="f3b92940-74e1-4b32-811a-cd501d17ae23">9</Fachkonzept>
    <Leistung xmlns="f3b92940-74e1-4b32-811a-cd501d17ae23">8</Leistung>
    <Dokumentenstatus xmlns="f3b92940-74e1-4b32-811a-cd501d17ae23">3</Dokumentenstatus>
    <Verantwortliche_x002f_r_x0020_Autor_x002f_in xmlns="3905ffbc-9aeb-4d51-937e-ee1e2cf00671">
      <UserInfo>
        <DisplayName/>
        <AccountId xsi:nil="true"/>
        <AccountType/>
      </UserInfo>
    </Verantwortliche_x002f_r_x0020_Autor_x002f_in>
    <Gültig_x0020_von xmlns="3905ffbc-9aeb-4d51-937e-ee1e2cf00671" xsi:nil="true"/>
    <Federführende_x002f_s_x0020_Fachressort_x002f_Einheit xmlns="f3b92940-74e1-4b32-811a-cd501d17ae23">5</Federführende_x002f_s_x0020_Fachressort_x002f_Einheit>
    <Dokumentenart1 xmlns="3905ffbc-9aeb-4d51-937e-ee1e2cf00671">SOD Praxishilfe (PRA)</Dokumentenart1>
  </documentManagement>
</p:properties>
</file>

<file path=customXml/itemProps1.xml><?xml version="1.0" encoding="utf-8"?>
<ds:datastoreItem xmlns:ds="http://schemas.openxmlformats.org/officeDocument/2006/customXml" ds:itemID="{0A4CD36E-01CD-4538-8978-50BEA923803D}">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1978612C-4E95-44A4-9B73-F3AA72914B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92940-74e1-4b32-811a-cd501d17ae23"/>
    <ds:schemaRef ds:uri="3905ffbc-9aeb-4d51-937e-ee1e2cf00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BA7443-78A5-4911-83FD-CDA08AD4FF98}">
  <ds:schemaRefs>
    <ds:schemaRef ds:uri="http://schemas.microsoft.com/sharepoint/v3/contenttype/forms"/>
  </ds:schemaRefs>
</ds:datastoreItem>
</file>

<file path=customXml/itemProps4.xml><?xml version="1.0" encoding="utf-8"?>
<ds:datastoreItem xmlns:ds="http://schemas.openxmlformats.org/officeDocument/2006/customXml" ds:itemID="{0B0F5290-D1FD-49E0-BA29-B3497D783997}">
  <ds:schemaRefs>
    <ds:schemaRef ds:uri="http://schemas.microsoft.com/office/2006/metadata/customXsn"/>
  </ds:schemaRefs>
</ds:datastoreItem>
</file>

<file path=customXml/itemProps5.xml><?xml version="1.0" encoding="utf-8"?>
<ds:datastoreItem xmlns:ds="http://schemas.openxmlformats.org/officeDocument/2006/customXml" ds:itemID="{E18E79EA-6D97-4C3D-9E9D-64C9239775BB}">
  <ds:schemaRefs>
    <ds:schemaRef ds:uri="http://schemas.microsoft.com/sharepoint/events"/>
  </ds:schemaRefs>
</ds:datastoreItem>
</file>

<file path=customXml/itemProps6.xml><?xml version="1.0" encoding="utf-8"?>
<ds:datastoreItem xmlns:ds="http://schemas.openxmlformats.org/officeDocument/2006/customXml" ds:itemID="{1141C9B5-0CFE-4215-A503-ED75EEFD98CB}">
  <ds:schemaRefs>
    <ds:schemaRef ds:uri="http://schemas.openxmlformats.org/package/2006/metadata/core-properties"/>
    <ds:schemaRef ds:uri="f3b92940-74e1-4b32-811a-cd501d17ae23"/>
    <ds:schemaRef ds:uri="http://purl.org/dc/terms/"/>
    <ds:schemaRef ds:uri="3905ffbc-9aeb-4d51-937e-ee1e2cf00671"/>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1_Dokumentenstandard_SoD_hoch.dot</Template>
  <TotalTime>0</TotalTime>
  <Pages>2</Pages>
  <Words>682</Words>
  <Characters>4298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PRA Klientenkontoabrechnung</vt:lpstr>
    </vt:vector>
  </TitlesOfParts>
  <Company>Stadt Zürich</Company>
  <LinksUpToDate>false</LinksUpToDate>
  <CharactersWithSpaces>4971</CharactersWithSpaces>
  <SharedDoc>false</SharedDoc>
  <HLinks>
    <vt:vector size="6" baseType="variant">
      <vt:variant>
        <vt:i4>4587528</vt:i4>
      </vt:variant>
      <vt:variant>
        <vt:i4>0</vt:i4>
      </vt:variant>
      <vt:variant>
        <vt:i4>0</vt:i4>
      </vt:variant>
      <vt:variant>
        <vt:i4>5</vt:i4>
      </vt:variant>
      <vt:variant>
        <vt:lpwstr>http://sd.intra.stzh.ch/intranet/sd/sod/home/Falladministration/KiSS.html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Klientenkontoabrechnung</dc:title>
  <dc:subject/>
  <dc:creator>KPZ Team FG</dc:creator>
  <cp:keywords/>
  <cp:lastModifiedBy>Nadine Grunder (sozgnn)</cp:lastModifiedBy>
  <cp:revision>2</cp:revision>
  <cp:lastPrinted>2011-04-27T09:41:00Z</cp:lastPrinted>
  <dcterms:created xsi:type="dcterms:W3CDTF">2021-06-21T06:35:00Z</dcterms:created>
  <dcterms:modified xsi:type="dcterms:W3CDTF">2021-06-21T06:35:00Z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0x01010012DCBF5558F0D14AB1FD168DE6C7A40C0100309021253101A04D9D9A7096FBAB356B</vt:lpwstr>
  </property>
  <property fmtid="{D5CDD505-2E9C-101B-9397-08002B2CF9AE}" pid="3" name="Dokumentenart">
    <vt:lpwstr>4</vt:lpwstr>
  </property>
  <property fmtid="{D5CDD505-2E9C-101B-9397-08002B2CF9AE}" pid="4" name="Bemerkungen">
    <vt:lpwstr/>
  </property>
  <property fmtid="{D5CDD505-2E9C-101B-9397-08002B2CF9AE}" pid="5" name="Intranetverlinkung">
    <vt:lpwstr>Nein</vt:lpwstr>
  </property>
  <property fmtid="{D5CDD505-2E9C-101B-9397-08002B2CF9AE}" pid="6" name="PublishingContact">
    <vt:lpwstr/>
  </property>
  <property fmtid="{D5CDD505-2E9C-101B-9397-08002B2CF9AE}" pid="7" name="Document Owner">
    <vt:lpwstr/>
  </property>
  <property fmtid="{D5CDD505-2E9C-101B-9397-08002B2CF9AE}" pid="8" name="SKOS Kapitel">
    <vt:lpwstr/>
  </property>
  <property fmtid="{D5CDD505-2E9C-101B-9397-08002B2CF9AE}" pid="9" name="Spezialdienste">
    <vt:lpwstr/>
  </property>
  <property fmtid="{D5CDD505-2E9C-101B-9397-08002B2CF9AE}" pid="10" name="ContentType">
    <vt:lpwstr>SOD Praxishilfe (PRA)</vt:lpwstr>
  </property>
  <property fmtid="{D5CDD505-2E9C-101B-9397-08002B2CF9AE}" pid="11" name="Inhaltliche Verknüpfungen">
    <vt:lpwstr/>
  </property>
  <property fmtid="{D5CDD505-2E9C-101B-9397-08002B2CF9AE}" pid="12" name="Überarbeitungsdatum">
    <vt:lpwstr>2012-03-02T00:00:00Z</vt:lpwstr>
  </property>
  <property fmtid="{D5CDD505-2E9C-101B-9397-08002B2CF9AE}" pid="13" name="Zielgruppe(n)">
    <vt:lpwstr/>
  </property>
  <property fmtid="{D5CDD505-2E9C-101B-9397-08002B2CF9AE}" pid="14" name="Thema">
    <vt:lpwstr/>
  </property>
  <property fmtid="{D5CDD505-2E9C-101B-9397-08002B2CF9AE}" pid="15" name="display_urn:schemas-microsoft-com:office:office#Editor">
    <vt:lpwstr>Hohermuth Ivo (SD)</vt:lpwstr>
  </property>
  <property fmtid="{D5CDD505-2E9C-101B-9397-08002B2CF9AE}" pid="16" name="TemplateUrl">
    <vt:lpwstr/>
  </property>
  <property fmtid="{D5CDD505-2E9C-101B-9397-08002B2CF9AE}" pid="17" name="Order">
    <vt:lpwstr>38200.0000000000</vt:lpwstr>
  </property>
  <property fmtid="{D5CDD505-2E9C-101B-9397-08002B2CF9AE}" pid="18" name="xd_ProgID">
    <vt:lpwstr/>
  </property>
  <property fmtid="{D5CDD505-2E9C-101B-9397-08002B2CF9AE}" pid="19" name="display_urn:schemas-microsoft-com:office:office#Author">
    <vt:lpwstr>Hohermuth Ivo (SD)</vt:lpwstr>
  </property>
  <property fmtid="{D5CDD505-2E9C-101B-9397-08002B2CF9AE}" pid="20" name="_dlc_DocId">
    <vt:lpwstr>SDSOD-119-96</vt:lpwstr>
  </property>
  <property fmtid="{D5CDD505-2E9C-101B-9397-08002B2CF9AE}" pid="21" name="_dlc_DocIdItemGuid">
    <vt:lpwstr>fd4cb009-e1c7-47d9-a9d7-4bc94ea52dab</vt:lpwstr>
  </property>
  <property fmtid="{D5CDD505-2E9C-101B-9397-08002B2CF9AE}" pid="22" name="_dlc_DocIdUrl">
    <vt:lpwstr>http://portal.sd.intra.stzh.ch/sod/regelwerk/_layouts/DocIdRedir.aspx?ID=SDSOD-119-96, SDSOD-119-96</vt:lpwstr>
  </property>
  <property fmtid="{D5CDD505-2E9C-101B-9397-08002B2CF9AE}" pid="23" name="WorkflowChangePath">
    <vt:lpwstr>52675646-02d6-422a-bf6f-0a8dd6281eff,6;52675646-02d6-422a-bf6f-0a8dd6281eff,8;52675646-02d6-422a-bf6f-0a8dd6281eff,10;0d2b39e8-dd18-4502-a924-40335b5a9ad4,12;0d2b39e8-dd18-4502-a924-40335b5a9ad4,14;1dbebda2-0151-441b-bad0-3a4bc52a6e32,20;7dbe9e3d-1110-41f</vt:lpwstr>
  </property>
  <property fmtid="{D5CDD505-2E9C-101B-9397-08002B2CF9AE}" pid="24" name="Fachressorts">
    <vt:lpwstr>2;#Kinder- und Jugendhilfe;#5;#Wirtschaftliche Hilfe</vt:lpwstr>
  </property>
  <property fmtid="{D5CDD505-2E9C-101B-9397-08002B2CF9AE}" pid="25" name="Dokumentenart0">
    <vt:lpwstr>5</vt:lpwstr>
  </property>
  <property fmtid="{D5CDD505-2E9C-101B-9397-08002B2CF9AE}" pid="26" name="display_urn:schemas-microsoft-com:office:office#Kontaktperson_x0020_f_x00fc_r_x0020_SOD_x0020_KOM">
    <vt:lpwstr>Hohermuth Ivo (SD)</vt:lpwstr>
  </property>
</Properties>
</file>