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="70" w:tblpY="2"/>
        <w:tblW w:w="90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3"/>
        <w:gridCol w:w="4453"/>
        <w:gridCol w:w="2414"/>
      </w:tblGrid>
      <w:tr w:rsidR="002129A1" w14:paraId="56E29DF8" w14:textId="77777777">
        <w:trPr>
          <w:cantSplit/>
          <w:trHeight w:val="443"/>
        </w:trPr>
        <w:tc>
          <w:tcPr>
            <w:tcW w:w="2223" w:type="dxa"/>
            <w:tcBorders>
              <w:top w:val="single" w:sz="4" w:space="0" w:color="808080"/>
              <w:left w:val="single" w:sz="4" w:space="0" w:color="808080"/>
              <w:bottom w:val="nil"/>
              <w:right w:val="single" w:sz="6" w:space="0" w:color="808080"/>
            </w:tcBorders>
            <w:shd w:val="clear" w:color="auto" w:fill="F3F3F3"/>
          </w:tcPr>
          <w:p w14:paraId="714D7D36" w14:textId="77777777" w:rsidR="002129A1" w:rsidRDefault="002129A1">
            <w:pPr>
              <w:pStyle w:val="WeisungKopfteil"/>
              <w:framePr w:hSpace="0" w:wrap="auto" w:vAnchor="margin" w:hAnchor="text" w:xAlign="left" w:yAlign="inline"/>
              <w:spacing w:after="0"/>
              <w:rPr>
                <w:b w:val="0"/>
                <w:bCs/>
                <w:sz w:val="20"/>
              </w:rPr>
            </w:pPr>
            <w:r>
              <w:t xml:space="preserve">Zuordnung: </w:t>
            </w:r>
          </w:p>
        </w:tc>
        <w:tc>
          <w:tcPr>
            <w:tcW w:w="4453" w:type="dxa"/>
            <w:vMerge w:val="restart"/>
            <w:tcBorders>
              <w:top w:val="single" w:sz="4" w:space="0" w:color="808080"/>
              <w:left w:val="single" w:sz="6" w:space="0" w:color="808080"/>
              <w:right w:val="single" w:sz="6" w:space="0" w:color="808080"/>
            </w:tcBorders>
            <w:shd w:val="clear" w:color="auto" w:fill="F3F3F3"/>
          </w:tcPr>
          <w:p w14:paraId="44C97C79" w14:textId="77777777" w:rsidR="002129A1" w:rsidRDefault="0054589B">
            <w:pPr>
              <w:pStyle w:val="WeisungKopfteil"/>
              <w:framePr w:hSpace="0" w:wrap="auto" w:vAnchor="margin" w:hAnchor="text" w:xAlign="left" w:yAlign="inline"/>
              <w:spacing w:after="0"/>
              <w:jc w:val="center"/>
              <w:rPr>
                <w:sz w:val="20"/>
              </w:rPr>
            </w:pPr>
            <w:r>
              <w:t>Praxishilfe</w:t>
            </w:r>
            <w:r w:rsidR="002129A1">
              <w:br/>
            </w:r>
          </w:p>
        </w:tc>
        <w:tc>
          <w:tcPr>
            <w:tcW w:w="2414" w:type="dxa"/>
            <w:tcBorders>
              <w:top w:val="single" w:sz="4" w:space="0" w:color="808080"/>
              <w:left w:val="single" w:sz="6" w:space="0" w:color="808080"/>
              <w:bottom w:val="nil"/>
              <w:right w:val="single" w:sz="4" w:space="0" w:color="808080"/>
            </w:tcBorders>
            <w:shd w:val="clear" w:color="auto" w:fill="F3F3F3"/>
          </w:tcPr>
          <w:p w14:paraId="00B9118A" w14:textId="77777777" w:rsidR="002129A1" w:rsidRDefault="002129A1" w:rsidP="00C4164B">
            <w:pPr>
              <w:pStyle w:val="WeisungKopfteil"/>
              <w:framePr w:hSpace="0" w:wrap="auto" w:vAnchor="margin" w:hAnchor="text" w:xAlign="left" w:yAlign="inline"/>
              <w:spacing w:after="0"/>
              <w:ind w:right="45"/>
              <w:jc w:val="right"/>
              <w:rPr>
                <w:b w:val="0"/>
                <w:bCs/>
                <w:sz w:val="20"/>
              </w:rPr>
            </w:pPr>
            <w:r>
              <w:t xml:space="preserve">Gültig ab: </w:t>
            </w:r>
          </w:p>
        </w:tc>
      </w:tr>
      <w:tr w:rsidR="002129A1" w14:paraId="2F0D3FF9" w14:textId="77777777">
        <w:trPr>
          <w:cantSplit/>
          <w:trHeight w:val="502"/>
        </w:trPr>
        <w:tc>
          <w:tcPr>
            <w:tcW w:w="2223" w:type="dxa"/>
            <w:tcBorders>
              <w:top w:val="nil"/>
              <w:left w:val="single" w:sz="4" w:space="0" w:color="808080"/>
              <w:bottom w:val="single" w:sz="6" w:space="0" w:color="808080"/>
              <w:right w:val="single" w:sz="6" w:space="0" w:color="808080"/>
            </w:tcBorders>
            <w:shd w:val="clear" w:color="auto" w:fill="F3F3F3"/>
          </w:tcPr>
          <w:p w14:paraId="4ED30DD5" w14:textId="77777777" w:rsidR="0014395B" w:rsidRDefault="00F40440" w:rsidP="002E4F69">
            <w:r w:rsidRPr="00C747F4">
              <w:rPr>
                <w:sz w:val="20"/>
              </w:rPr>
              <w:t>SKOS C</w:t>
            </w:r>
          </w:p>
        </w:tc>
        <w:tc>
          <w:tcPr>
            <w:tcW w:w="4453" w:type="dxa"/>
            <w:vMerge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3F3F3"/>
          </w:tcPr>
          <w:p w14:paraId="11C68869" w14:textId="77777777" w:rsidR="002129A1" w:rsidRDefault="002129A1">
            <w:pPr>
              <w:pStyle w:val="WeisungKopfteil"/>
              <w:framePr w:hSpace="0" w:wrap="auto" w:vAnchor="margin" w:hAnchor="text" w:xAlign="left" w:yAlign="inline"/>
              <w:spacing w:after="0"/>
              <w:jc w:val="center"/>
            </w:pPr>
          </w:p>
        </w:tc>
        <w:tc>
          <w:tcPr>
            <w:tcW w:w="2414" w:type="dxa"/>
            <w:tcBorders>
              <w:top w:val="nil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3F3F3"/>
          </w:tcPr>
          <w:p w14:paraId="086BEA6E" w14:textId="02DE0B55" w:rsidR="004A4B93" w:rsidRPr="004A4B93" w:rsidRDefault="00C4164B" w:rsidP="00C747F4">
            <w:pPr>
              <w:jc w:val="right"/>
            </w:pPr>
            <w:r w:rsidRPr="002E4F69">
              <w:rPr>
                <w:sz w:val="20"/>
              </w:rPr>
              <w:br/>
            </w:r>
            <w:r w:rsidR="00C747F4">
              <w:rPr>
                <w:sz w:val="20"/>
              </w:rPr>
              <w:t>1.06.2023</w:t>
            </w:r>
          </w:p>
        </w:tc>
      </w:tr>
      <w:tr w:rsidR="002129A1" w14:paraId="289C4C9A" w14:textId="77777777">
        <w:trPr>
          <w:cantSplit/>
          <w:trHeight w:val="410"/>
        </w:trPr>
        <w:tc>
          <w:tcPr>
            <w:tcW w:w="9090" w:type="dxa"/>
            <w:gridSpan w:val="3"/>
            <w:tcBorders>
              <w:top w:val="single" w:sz="6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A5C0E46" w14:textId="41CB0C6F" w:rsidR="002129A1" w:rsidRDefault="008D590F">
            <w:pPr>
              <w:pStyle w:val="WeisungKopfteil"/>
              <w:framePr w:hSpace="0" w:wrap="auto" w:vAnchor="margin" w:hAnchor="text" w:xAlign="left" w:yAlign="inline"/>
            </w:pPr>
            <w:r>
              <w:t>Mietzinserhöhung</w:t>
            </w:r>
            <w:r w:rsidR="00C747F4">
              <w:t xml:space="preserve"> infolge gestiegenem Referenzzinssatz</w:t>
            </w:r>
          </w:p>
        </w:tc>
      </w:tr>
    </w:tbl>
    <w:p w14:paraId="0F337A21" w14:textId="28B88517" w:rsidR="0014395B" w:rsidRDefault="0014395B" w:rsidP="00836E1F">
      <w:pPr>
        <w:pStyle w:val="berschrift1"/>
      </w:pPr>
      <w:r>
        <w:t xml:space="preserve">1 </w:t>
      </w:r>
      <w:r w:rsidR="00FB2F47">
        <w:t>Ausgangslage</w:t>
      </w:r>
    </w:p>
    <w:p w14:paraId="01A7E8D0" w14:textId="446F1D9D" w:rsidR="00B16517" w:rsidRDefault="00B16517" w:rsidP="00B16517">
      <w:pPr>
        <w:spacing w:after="240"/>
        <w:jc w:val="both"/>
        <w:rPr>
          <w:lang w:val="de-DE"/>
        </w:rPr>
      </w:pPr>
      <w:r>
        <w:t xml:space="preserve">Seit dem 10. September 2008 gilt für Mietzinsanpassungen </w:t>
      </w:r>
      <w:r w:rsidR="00FE4BE3">
        <w:t>in der</w:t>
      </w:r>
      <w:r>
        <w:t xml:space="preserve"> Schweiz ein einheitlicher Referenzzinssatz. Dieser stützt sich auf den hypothekarischen Durchschnittszinssatz der Banken. </w:t>
      </w:r>
      <w:r w:rsidRPr="00AA073D">
        <w:rPr>
          <w:lang w:val="de-DE"/>
        </w:rPr>
        <w:t xml:space="preserve">Der Stand des Referenzzinssatzes wird vierteljährlich </w:t>
      </w:r>
      <w:r>
        <w:rPr>
          <w:lang w:val="de-DE"/>
        </w:rPr>
        <w:t xml:space="preserve">(1. März/1. Juni/1. September/1. Dezember) </w:t>
      </w:r>
      <w:r w:rsidRPr="00AA073D">
        <w:rPr>
          <w:lang w:val="de-DE"/>
        </w:rPr>
        <w:t xml:space="preserve">durch das Bundesamt für Wohnungswesen mitgeteilt. </w:t>
      </w:r>
    </w:p>
    <w:p w14:paraId="30C24A01" w14:textId="17E4FAE8" w:rsidR="00B16517" w:rsidRPr="00EA386C" w:rsidRDefault="0014395B" w:rsidP="0014395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Der Mietzins (MZ) ist an den Referenzzinssatz gebunden. </w:t>
      </w:r>
      <w:r w:rsidR="00C747F4">
        <w:rPr>
          <w:sz w:val="22"/>
          <w:szCs w:val="22"/>
        </w:rPr>
        <w:t>Sinkt der Referenzzinssatz</w:t>
      </w:r>
      <w:r>
        <w:rPr>
          <w:sz w:val="22"/>
          <w:szCs w:val="22"/>
        </w:rPr>
        <w:t>, haben Mieter</w:t>
      </w:r>
      <w:r w:rsidR="009362AC">
        <w:rPr>
          <w:sz w:val="22"/>
          <w:szCs w:val="22"/>
        </w:rPr>
        <w:t>*</w:t>
      </w:r>
      <w:r>
        <w:rPr>
          <w:sz w:val="22"/>
          <w:szCs w:val="22"/>
        </w:rPr>
        <w:t xml:space="preserve">innen grundsätzlich </w:t>
      </w:r>
      <w:hyperlink r:id="rId14" w:history="1">
        <w:r w:rsidRPr="00C747F4">
          <w:rPr>
            <w:rStyle w:val="Hyperlink"/>
            <w:sz w:val="22"/>
            <w:szCs w:val="22"/>
          </w:rPr>
          <w:t>Anspruch auf eine Mietzinssenkung</w:t>
        </w:r>
      </w:hyperlink>
      <w:r>
        <w:rPr>
          <w:sz w:val="22"/>
          <w:szCs w:val="22"/>
        </w:rPr>
        <w:t xml:space="preserve">. </w:t>
      </w:r>
      <w:r w:rsidR="00C747F4" w:rsidRPr="00C747F4">
        <w:rPr>
          <w:sz w:val="22"/>
          <w:szCs w:val="22"/>
        </w:rPr>
        <w:t xml:space="preserve">Umgekehrt darf </w:t>
      </w:r>
      <w:r w:rsidR="00FB2F47">
        <w:rPr>
          <w:sz w:val="22"/>
          <w:szCs w:val="22"/>
        </w:rPr>
        <w:t>die Vermieterschaft</w:t>
      </w:r>
      <w:r w:rsidR="00C747F4" w:rsidRPr="00C747F4">
        <w:rPr>
          <w:sz w:val="22"/>
          <w:szCs w:val="22"/>
        </w:rPr>
        <w:t xml:space="preserve"> bei einer Erhöhung des Referenzzinssatzes </w:t>
      </w:r>
      <w:r w:rsidR="00FE4BE3">
        <w:rPr>
          <w:sz w:val="22"/>
          <w:szCs w:val="22"/>
        </w:rPr>
        <w:t>den Mietzin</w:t>
      </w:r>
      <w:r w:rsidR="006205FE">
        <w:rPr>
          <w:sz w:val="22"/>
          <w:szCs w:val="22"/>
        </w:rPr>
        <w:t>s</w:t>
      </w:r>
      <w:r w:rsidR="00FE4BE3">
        <w:rPr>
          <w:sz w:val="22"/>
          <w:szCs w:val="22"/>
        </w:rPr>
        <w:t xml:space="preserve"> </w:t>
      </w:r>
      <w:r w:rsidR="00C747F4" w:rsidRPr="00C747F4">
        <w:rPr>
          <w:sz w:val="22"/>
          <w:szCs w:val="22"/>
        </w:rPr>
        <w:t>erhöhen.</w:t>
      </w:r>
      <w:r w:rsidR="00B16517" w:rsidRPr="00B16517">
        <w:rPr>
          <w:lang w:val="de-DE"/>
        </w:rPr>
        <w:t xml:space="preserve"> </w:t>
      </w:r>
      <w:r w:rsidR="00FB2F47" w:rsidRPr="00FE4BE3">
        <w:rPr>
          <w:sz w:val="22"/>
          <w:szCs w:val="22"/>
        </w:rPr>
        <w:t>Diese Praxishilfe unterstützt die Fallführenden bei Mietzinserhöhungen aufgrund eines gestiegenen Ref</w:t>
      </w:r>
      <w:r w:rsidR="00FE4BE3">
        <w:rPr>
          <w:sz w:val="22"/>
          <w:szCs w:val="22"/>
        </w:rPr>
        <w:t>e</w:t>
      </w:r>
      <w:r w:rsidR="00FB2F47" w:rsidRPr="00FE4BE3">
        <w:rPr>
          <w:sz w:val="22"/>
          <w:szCs w:val="22"/>
        </w:rPr>
        <w:t>renzzinssatzes.</w:t>
      </w:r>
    </w:p>
    <w:p w14:paraId="30BAFB0E" w14:textId="305148B9" w:rsidR="00B16517" w:rsidRDefault="00B16517" w:rsidP="00B16517">
      <w:pPr>
        <w:pStyle w:val="berschrift1"/>
        <w:rPr>
          <w:lang w:val="de-DE"/>
        </w:rPr>
      </w:pPr>
      <w:bookmarkStart w:id="0" w:name="_2_Beratung_und"/>
      <w:bookmarkEnd w:id="0"/>
      <w:r>
        <w:rPr>
          <w:lang w:val="de-DE"/>
        </w:rPr>
        <w:t>2 Wer ist von der Erhöhung betroffen?</w:t>
      </w:r>
    </w:p>
    <w:p w14:paraId="57452CB4" w14:textId="13D0CABD" w:rsidR="00FE4BE3" w:rsidRDefault="00FE4BE3" w:rsidP="00B16517">
      <w:pPr>
        <w:spacing w:after="240"/>
        <w:rPr>
          <w:lang w:val="de-DE"/>
        </w:rPr>
      </w:pPr>
      <w:r>
        <w:rPr>
          <w:lang w:val="de-DE"/>
        </w:rPr>
        <w:t>Mieter*innen sind durch die aktuelle Erhöhung betroffen, wenn sie:</w:t>
      </w:r>
    </w:p>
    <w:p w14:paraId="78DA6A82" w14:textId="2CA54C7B" w:rsidR="00FE4BE3" w:rsidRDefault="008D590F" w:rsidP="00FE4BE3">
      <w:pPr>
        <w:pStyle w:val="Listenabsatz"/>
        <w:numPr>
          <w:ilvl w:val="0"/>
          <w:numId w:val="10"/>
        </w:numPr>
        <w:spacing w:after="240"/>
        <w:rPr>
          <w:lang w:val="de-DE"/>
        </w:rPr>
      </w:pPr>
      <w:r>
        <w:rPr>
          <w:lang w:val="de-DE"/>
        </w:rPr>
        <w:t>Seit November 2008 einen neuen Mietvertrag abgeschlossen haben;</w:t>
      </w:r>
    </w:p>
    <w:p w14:paraId="5C73E7AB" w14:textId="703CD152" w:rsidR="008D590F" w:rsidRDefault="008D590F" w:rsidP="00FE4BE3">
      <w:pPr>
        <w:pStyle w:val="Listenabsatz"/>
        <w:numPr>
          <w:ilvl w:val="0"/>
          <w:numId w:val="10"/>
        </w:numPr>
        <w:spacing w:after="240"/>
        <w:rPr>
          <w:lang w:val="de-DE"/>
        </w:rPr>
      </w:pPr>
      <w:r>
        <w:rPr>
          <w:lang w:val="de-DE"/>
        </w:rPr>
        <w:t xml:space="preserve">In den vergangen Jahren eine </w:t>
      </w:r>
      <w:proofErr w:type="spellStart"/>
      <w:r>
        <w:rPr>
          <w:lang w:val="de-DE"/>
        </w:rPr>
        <w:t>Mietzinsenkung</w:t>
      </w:r>
      <w:proofErr w:type="spellEnd"/>
      <w:r>
        <w:rPr>
          <w:lang w:val="de-DE"/>
        </w:rPr>
        <w:t xml:space="preserve"> </w:t>
      </w:r>
      <w:r w:rsidR="001B7592">
        <w:rPr>
          <w:lang w:val="de-DE"/>
        </w:rPr>
        <w:t xml:space="preserve">infolge der Anpassung an den Referenzzinssatz </w:t>
      </w:r>
      <w:r>
        <w:rPr>
          <w:lang w:val="de-DE"/>
        </w:rPr>
        <w:t>erhalten haben.</w:t>
      </w:r>
    </w:p>
    <w:p w14:paraId="4799A875" w14:textId="30931D01" w:rsidR="008D590F" w:rsidRDefault="008D590F" w:rsidP="008D590F">
      <w:pPr>
        <w:spacing w:after="240"/>
        <w:rPr>
          <w:lang w:val="de-DE"/>
        </w:rPr>
      </w:pPr>
      <w:r>
        <w:rPr>
          <w:lang w:val="de-DE"/>
        </w:rPr>
        <w:t>Nicht betroffen sind Mieter*innen, die:</w:t>
      </w:r>
    </w:p>
    <w:p w14:paraId="466173E7" w14:textId="33F1BC65" w:rsidR="008D590F" w:rsidRDefault="008D590F" w:rsidP="008D590F">
      <w:pPr>
        <w:pStyle w:val="Listenabsatz"/>
        <w:numPr>
          <w:ilvl w:val="0"/>
          <w:numId w:val="10"/>
        </w:numPr>
        <w:spacing w:after="240"/>
        <w:rPr>
          <w:lang w:val="de-DE"/>
        </w:rPr>
      </w:pPr>
      <w:r>
        <w:rPr>
          <w:lang w:val="de-DE"/>
        </w:rPr>
        <w:t xml:space="preserve">In den vergangen Jahren keine Mietzinssenkung </w:t>
      </w:r>
      <w:r w:rsidR="001B7592">
        <w:rPr>
          <w:lang w:val="de-DE"/>
        </w:rPr>
        <w:t xml:space="preserve">infolge der Anpassung an den Referenzzinssatz </w:t>
      </w:r>
      <w:r>
        <w:rPr>
          <w:lang w:val="de-DE"/>
        </w:rPr>
        <w:t>erhalten haben</w:t>
      </w:r>
      <w:r w:rsidR="001B7592">
        <w:rPr>
          <w:lang w:val="de-DE"/>
        </w:rPr>
        <w:t>.</w:t>
      </w:r>
      <w:r>
        <w:rPr>
          <w:lang w:val="de-DE"/>
        </w:rPr>
        <w:t xml:space="preserve"> </w:t>
      </w:r>
    </w:p>
    <w:p w14:paraId="103E1198" w14:textId="6C4CC4FA" w:rsidR="00B16517" w:rsidRDefault="00B16517" w:rsidP="008D590F">
      <w:pPr>
        <w:pStyle w:val="Listenabsatz"/>
        <w:numPr>
          <w:ilvl w:val="0"/>
          <w:numId w:val="10"/>
        </w:numPr>
        <w:spacing w:after="240"/>
        <w:rPr>
          <w:lang w:val="de-DE"/>
        </w:rPr>
      </w:pPr>
      <w:r>
        <w:rPr>
          <w:lang w:val="de-DE"/>
        </w:rPr>
        <w:t>in staatlich verbilli</w:t>
      </w:r>
      <w:r w:rsidR="008D590F">
        <w:rPr>
          <w:lang w:val="de-DE"/>
        </w:rPr>
        <w:t xml:space="preserve">gten </w:t>
      </w:r>
      <w:proofErr w:type="spellStart"/>
      <w:r w:rsidR="008D590F">
        <w:rPr>
          <w:lang w:val="de-DE"/>
        </w:rPr>
        <w:t>Mietverhaltnissen</w:t>
      </w:r>
      <w:proofErr w:type="spellEnd"/>
      <w:r>
        <w:rPr>
          <w:lang w:val="de-DE"/>
        </w:rPr>
        <w:t xml:space="preserve"> (oft Baugenossenschaften) </w:t>
      </w:r>
      <w:r w:rsidR="008D590F">
        <w:rPr>
          <w:lang w:val="de-DE"/>
        </w:rPr>
        <w:t>leben</w:t>
      </w:r>
      <w:r>
        <w:rPr>
          <w:lang w:val="de-DE"/>
        </w:rPr>
        <w:t xml:space="preserve">. </w:t>
      </w:r>
    </w:p>
    <w:p w14:paraId="4D4AEC98" w14:textId="73B95224" w:rsidR="0014395B" w:rsidRDefault="00B16517" w:rsidP="00836E1F">
      <w:pPr>
        <w:pStyle w:val="berschrift1"/>
      </w:pPr>
      <w:r>
        <w:t>3</w:t>
      </w:r>
      <w:r w:rsidR="0014395B">
        <w:t xml:space="preserve"> </w:t>
      </w:r>
      <w:r>
        <w:t>Ist die Mietzinserhöhung durch die Vermieterschaft gerechtfertigt?</w:t>
      </w:r>
    </w:p>
    <w:p w14:paraId="3AFA863F" w14:textId="52707280" w:rsidR="00C747F4" w:rsidRPr="000C52FB" w:rsidRDefault="0014395B" w:rsidP="000C52FB">
      <w:pPr>
        <w:spacing w:after="240"/>
        <w:jc w:val="both"/>
        <w:rPr>
          <w:lang w:val="de-DE"/>
        </w:rPr>
      </w:pPr>
      <w:r>
        <w:rPr>
          <w:szCs w:val="22"/>
        </w:rPr>
        <w:t>Der Mietzins muss bezüglich des Referenzzinssatzes und anderer mietzinsrelevanter Faktoren</w:t>
      </w:r>
      <w:r w:rsidR="008D590F">
        <w:rPr>
          <w:rStyle w:val="Funotenzeichen"/>
          <w:szCs w:val="22"/>
        </w:rPr>
        <w:footnoteReference w:id="1"/>
      </w:r>
      <w:r>
        <w:rPr>
          <w:szCs w:val="22"/>
        </w:rPr>
        <w:t xml:space="preserve"> überprüft </w:t>
      </w:r>
      <w:r w:rsidR="000C52FB">
        <w:rPr>
          <w:szCs w:val="22"/>
        </w:rPr>
        <w:t xml:space="preserve">werden. </w:t>
      </w:r>
      <w:r w:rsidR="000C52FB" w:rsidRPr="00BF50AA">
        <w:rPr>
          <w:lang w:val="de-DE"/>
        </w:rPr>
        <w:t xml:space="preserve">Mieter*innen können sich darauf verlassen, dass der bei Vertragsabschluss festgelegte Mietzins «richtig» ist. Deshalb sind Mietzinserhöhungen nur </w:t>
      </w:r>
      <w:r w:rsidR="000C52FB">
        <w:rPr>
          <w:lang w:val="de-DE"/>
        </w:rPr>
        <w:t xml:space="preserve">dann </w:t>
      </w:r>
      <w:r w:rsidR="000C52FB" w:rsidRPr="00BF50AA">
        <w:rPr>
          <w:lang w:val="de-DE"/>
        </w:rPr>
        <w:t xml:space="preserve">zulässig, </w:t>
      </w:r>
      <w:r w:rsidR="000C52FB">
        <w:rPr>
          <w:lang w:val="de-DE"/>
        </w:rPr>
        <w:t>wenn</w:t>
      </w:r>
      <w:r w:rsidR="000C52FB" w:rsidRPr="00BF50AA">
        <w:rPr>
          <w:lang w:val="de-DE"/>
        </w:rPr>
        <w:t xml:space="preserve"> sich die Berechnungsfaktoren </w:t>
      </w:r>
      <w:r w:rsidR="000C52FB">
        <w:rPr>
          <w:lang w:val="de-DE"/>
        </w:rPr>
        <w:t>seit Vertragsabschluss</w:t>
      </w:r>
      <w:r w:rsidR="000C52FB" w:rsidRPr="00BF50AA">
        <w:rPr>
          <w:lang w:val="de-DE"/>
        </w:rPr>
        <w:t xml:space="preserve"> verändert haben.</w:t>
      </w:r>
    </w:p>
    <w:p w14:paraId="07489847" w14:textId="00A6D51F" w:rsidR="000C52FB" w:rsidRDefault="000C52FB">
      <w:pPr>
        <w:rPr>
          <w:rFonts w:cs="Times New Roman"/>
          <w:b/>
          <w:szCs w:val="24"/>
          <w:lang w:val="de-DE"/>
        </w:rPr>
      </w:pPr>
      <w:r>
        <w:rPr>
          <w:szCs w:val="22"/>
        </w:rPr>
        <w:t>Nachfolgende</w:t>
      </w:r>
      <w:r w:rsidR="00454A1E">
        <w:rPr>
          <w:szCs w:val="22"/>
        </w:rPr>
        <w:t xml:space="preserve"> </w:t>
      </w:r>
      <w:r w:rsidR="00454A1E" w:rsidRPr="000C52FB">
        <w:rPr>
          <w:szCs w:val="22"/>
          <w:highlight w:val="lightGray"/>
        </w:rPr>
        <w:t>Checkliste</w:t>
      </w:r>
      <w:r w:rsidR="00454A1E">
        <w:rPr>
          <w:szCs w:val="22"/>
        </w:rPr>
        <w:t xml:space="preserve"> hilft bei der </w:t>
      </w:r>
      <w:r w:rsidR="0014395B">
        <w:rPr>
          <w:szCs w:val="22"/>
        </w:rPr>
        <w:t xml:space="preserve">Prüfung, ob </w:t>
      </w:r>
      <w:r w:rsidR="00C747F4">
        <w:rPr>
          <w:szCs w:val="22"/>
        </w:rPr>
        <w:t>ei</w:t>
      </w:r>
      <w:r w:rsidR="009A2BC5">
        <w:rPr>
          <w:szCs w:val="22"/>
        </w:rPr>
        <w:t>ne M</w:t>
      </w:r>
      <w:r w:rsidR="00C747F4">
        <w:rPr>
          <w:szCs w:val="22"/>
        </w:rPr>
        <w:t>i</w:t>
      </w:r>
      <w:r w:rsidR="009A2BC5">
        <w:rPr>
          <w:szCs w:val="22"/>
        </w:rPr>
        <w:t>e</w:t>
      </w:r>
      <w:r w:rsidR="00C747F4">
        <w:rPr>
          <w:szCs w:val="22"/>
        </w:rPr>
        <w:t xml:space="preserve">tzinserhöhung </w:t>
      </w:r>
      <w:r w:rsidR="006205FE">
        <w:rPr>
          <w:szCs w:val="22"/>
        </w:rPr>
        <w:t>aufgrund des veränderten Refere</w:t>
      </w:r>
      <w:r w:rsidR="008D590F">
        <w:rPr>
          <w:szCs w:val="22"/>
        </w:rPr>
        <w:t xml:space="preserve">nzzinssatzes </w:t>
      </w:r>
      <w:r w:rsidR="00C747F4">
        <w:rPr>
          <w:szCs w:val="22"/>
        </w:rPr>
        <w:t>gerechtfertigt ist</w:t>
      </w:r>
      <w:r w:rsidR="00454A1E">
        <w:rPr>
          <w:szCs w:val="22"/>
        </w:rPr>
        <w:t>. Zudem</w:t>
      </w:r>
      <w:r w:rsidR="0014395B">
        <w:rPr>
          <w:szCs w:val="22"/>
        </w:rPr>
        <w:t xml:space="preserve"> finde</w:t>
      </w:r>
      <w:r w:rsidR="00454A1E">
        <w:rPr>
          <w:szCs w:val="22"/>
        </w:rPr>
        <w:t>n</w:t>
      </w:r>
      <w:r w:rsidR="0014395B">
        <w:rPr>
          <w:szCs w:val="22"/>
        </w:rPr>
        <w:t xml:space="preserve"> sich auf der </w:t>
      </w:r>
      <w:hyperlink r:id="rId15" w:history="1">
        <w:r w:rsidR="0014395B" w:rsidRPr="00836E1F">
          <w:rPr>
            <w:rStyle w:val="Hyperlink"/>
            <w:szCs w:val="22"/>
          </w:rPr>
          <w:t>Homepage des</w:t>
        </w:r>
        <w:r w:rsidR="00454A1E" w:rsidRPr="00836E1F">
          <w:rPr>
            <w:rStyle w:val="Hyperlink"/>
            <w:szCs w:val="22"/>
          </w:rPr>
          <w:t xml:space="preserve"> Mieterverbands</w:t>
        </w:r>
        <w:r w:rsidR="0014395B" w:rsidRPr="00836E1F">
          <w:rPr>
            <w:rStyle w:val="Hyperlink"/>
            <w:szCs w:val="22"/>
          </w:rPr>
          <w:t xml:space="preserve"> </w:t>
        </w:r>
        <w:r w:rsidR="00836E1F" w:rsidRPr="00836E1F">
          <w:rPr>
            <w:rStyle w:val="Hyperlink"/>
            <w:szCs w:val="22"/>
          </w:rPr>
          <w:t>(MV)</w:t>
        </w:r>
      </w:hyperlink>
      <w:r w:rsidR="00454A1E">
        <w:rPr>
          <w:szCs w:val="22"/>
        </w:rPr>
        <w:t xml:space="preserve"> </w:t>
      </w:r>
      <w:proofErr w:type="spellStart"/>
      <w:r w:rsidR="00454A1E">
        <w:rPr>
          <w:szCs w:val="22"/>
        </w:rPr>
        <w:t>detailierte</w:t>
      </w:r>
      <w:proofErr w:type="spellEnd"/>
      <w:r w:rsidR="00454A1E">
        <w:rPr>
          <w:szCs w:val="22"/>
        </w:rPr>
        <w:t xml:space="preserve"> Informationen zum Thema</w:t>
      </w:r>
      <w:r w:rsidR="0014395B">
        <w:rPr>
          <w:szCs w:val="22"/>
        </w:rPr>
        <w:t xml:space="preserve"> Referenzzinssatz</w:t>
      </w:r>
      <w:r w:rsidR="00836E1F">
        <w:rPr>
          <w:szCs w:val="22"/>
        </w:rPr>
        <w:t xml:space="preserve"> und</w:t>
      </w:r>
      <w:r w:rsidR="00454A1E">
        <w:rPr>
          <w:szCs w:val="22"/>
        </w:rPr>
        <w:t xml:space="preserve"> ein</w:t>
      </w:r>
      <w:r w:rsidR="0014395B">
        <w:rPr>
          <w:szCs w:val="22"/>
        </w:rPr>
        <w:t xml:space="preserve"> </w:t>
      </w:r>
      <w:r w:rsidR="00454A1E">
        <w:rPr>
          <w:szCs w:val="22"/>
        </w:rPr>
        <w:t>Mietzinsrechner</w:t>
      </w:r>
      <w:r w:rsidR="0014395B">
        <w:rPr>
          <w:szCs w:val="22"/>
        </w:rPr>
        <w:t>.</w:t>
      </w:r>
      <w:bookmarkStart w:id="1" w:name="_Ref132296371"/>
    </w:p>
    <w:p w14:paraId="6C013AE7" w14:textId="77777777" w:rsidR="005B12BD" w:rsidRDefault="005B12BD">
      <w:pPr>
        <w:rPr>
          <w:rFonts w:cs="Times New Roman"/>
          <w:b/>
          <w:szCs w:val="24"/>
          <w:lang w:val="de-DE"/>
        </w:rPr>
      </w:pPr>
      <w:bookmarkStart w:id="2" w:name="_Ref132298785"/>
      <w:r>
        <w:rPr>
          <w:lang w:val="de-DE"/>
        </w:rPr>
        <w:br w:type="page"/>
      </w:r>
    </w:p>
    <w:p w14:paraId="0A486DA4" w14:textId="55CB1C15" w:rsidR="000C52FB" w:rsidRDefault="000C52FB" w:rsidP="000C52FB">
      <w:pPr>
        <w:pStyle w:val="berschrift2"/>
        <w:numPr>
          <w:ilvl w:val="1"/>
          <w:numId w:val="12"/>
        </w:numPr>
        <w:rPr>
          <w:lang w:val="de-DE"/>
        </w:rPr>
      </w:pPr>
      <w:r w:rsidRPr="00E4791F">
        <w:rPr>
          <w:lang w:val="de-DE"/>
        </w:rPr>
        <w:lastRenderedPageBreak/>
        <w:t>Hat die Vermieterschaft formelle Fehler gemacht?</w:t>
      </w:r>
      <w:bookmarkEnd w:id="1"/>
      <w:bookmarkEnd w:id="2"/>
    </w:p>
    <w:p w14:paraId="17A2EB4C" w14:textId="19896A3D" w:rsidR="000C52FB" w:rsidRPr="00E4791F" w:rsidRDefault="000C52FB" w:rsidP="000C52FB">
      <w:pPr>
        <w:spacing w:after="240"/>
        <w:jc w:val="both"/>
        <w:rPr>
          <w:lang w:val="de-DE"/>
        </w:rPr>
      </w:pPr>
      <w:r w:rsidRPr="00AE4B7B">
        <w:rPr>
          <w:lang w:val="de-DE"/>
        </w:rPr>
        <w:t xml:space="preserve">Anhand der nachfolgenden Checkliste </w:t>
      </w:r>
      <w:r>
        <w:rPr>
          <w:lang w:val="de-DE"/>
        </w:rPr>
        <w:t>kann kontrolliert werden, ob die Vermie</w:t>
      </w:r>
      <w:r w:rsidRPr="00AE4B7B">
        <w:rPr>
          <w:lang w:val="de-DE"/>
        </w:rPr>
        <w:t>terschaft bei der Ankündigung der Mietzinserh</w:t>
      </w:r>
      <w:r>
        <w:rPr>
          <w:lang w:val="de-DE"/>
        </w:rPr>
        <w:t xml:space="preserve">öhung formelle Fehler </w:t>
      </w:r>
      <w:r w:rsidR="00E35CA1">
        <w:rPr>
          <w:lang w:val="de-DE"/>
        </w:rPr>
        <w:t>gemacht hat</w:t>
      </w:r>
      <w:bookmarkStart w:id="3" w:name="_GoBack"/>
      <w:bookmarkEnd w:id="3"/>
      <w:r w:rsidRPr="00AE4B7B">
        <w:rPr>
          <w:lang w:val="de-DE"/>
        </w:rPr>
        <w:t>:</w:t>
      </w:r>
    </w:p>
    <w:p w14:paraId="602985BC" w14:textId="77777777" w:rsidR="000C52FB" w:rsidRPr="00946C2C" w:rsidRDefault="000C52FB" w:rsidP="00946C2C">
      <w:pPr>
        <w:pStyle w:val="Listenabsatz"/>
        <w:numPr>
          <w:ilvl w:val="0"/>
          <w:numId w:val="13"/>
        </w:numPr>
        <w:tabs>
          <w:tab w:val="left" w:pos="567"/>
        </w:tabs>
        <w:spacing w:after="240"/>
        <w:rPr>
          <w:lang w:val="de-DE"/>
        </w:rPr>
      </w:pPr>
      <w:r w:rsidRPr="00946C2C">
        <w:rPr>
          <w:lang w:val="de-DE"/>
        </w:rPr>
        <w:t xml:space="preserve">Wurde das richtige bzw. </w:t>
      </w:r>
      <w:hyperlink r:id="rId16" w:history="1">
        <w:r w:rsidRPr="00946C2C">
          <w:rPr>
            <w:rStyle w:val="Hyperlink"/>
            <w:lang w:val="de-DE"/>
          </w:rPr>
          <w:t>amtlich genehmigte Formular</w:t>
        </w:r>
      </w:hyperlink>
      <w:r w:rsidRPr="00946C2C">
        <w:rPr>
          <w:lang w:val="de-DE"/>
        </w:rPr>
        <w:t xml:space="preserve"> verwendet?</w:t>
      </w:r>
    </w:p>
    <w:p w14:paraId="33FC64A9" w14:textId="05CC6CBB" w:rsidR="000C52FB" w:rsidRDefault="000C52FB" w:rsidP="000C52FB">
      <w:pPr>
        <w:pStyle w:val="Listenabsatz"/>
        <w:tabs>
          <w:tab w:val="left" w:pos="567"/>
          <w:tab w:val="left" w:pos="6804"/>
        </w:tabs>
        <w:spacing w:after="240"/>
        <w:ind w:left="1150"/>
        <w:rPr>
          <w:lang w:val="de-DE"/>
        </w:rPr>
      </w:pPr>
      <w:r>
        <w:rPr>
          <w:lang w:val="de-DE"/>
        </w:rPr>
        <w:tab/>
      </w:r>
      <w:r w:rsidRPr="00E34305">
        <w:rPr>
          <w:lang w:val="de-DE"/>
        </w:rPr>
        <w:t>Ja</w:t>
      </w:r>
      <w:r>
        <w:rPr>
          <w:lang w:val="de-DE"/>
        </w:rPr>
        <w:t xml:space="preserve"> </w:t>
      </w:r>
      <w:r w:rsidR="00D00A18">
        <w:rPr>
          <w:lang w:val="de-DE"/>
        </w:rPr>
        <w:sym w:font="Symbol" w:char="F07F"/>
      </w:r>
      <w:r w:rsidRPr="00E34305">
        <w:rPr>
          <w:lang w:val="de-DE"/>
        </w:rPr>
        <w:tab/>
        <w:t xml:space="preserve">Nein </w:t>
      </w:r>
      <w:r w:rsidR="00D00A18">
        <w:rPr>
          <w:lang w:val="de-DE"/>
        </w:rPr>
        <w:sym w:font="Symbol" w:char="F07F"/>
      </w:r>
    </w:p>
    <w:p w14:paraId="74AE8401" w14:textId="77777777" w:rsidR="000C52FB" w:rsidRPr="00E34305" w:rsidRDefault="000C52FB" w:rsidP="000C52FB">
      <w:pPr>
        <w:pStyle w:val="Listenabsatz"/>
        <w:tabs>
          <w:tab w:val="left" w:pos="567"/>
          <w:tab w:val="left" w:pos="6804"/>
        </w:tabs>
        <w:spacing w:after="240"/>
        <w:ind w:left="1150"/>
        <w:rPr>
          <w:lang w:val="de-DE"/>
        </w:rPr>
      </w:pPr>
    </w:p>
    <w:p w14:paraId="660B07AF" w14:textId="77777777" w:rsidR="000C52FB" w:rsidRPr="00946C2C" w:rsidRDefault="000C52FB" w:rsidP="00946C2C">
      <w:pPr>
        <w:pStyle w:val="Listenabsatz"/>
        <w:numPr>
          <w:ilvl w:val="0"/>
          <w:numId w:val="13"/>
        </w:numPr>
        <w:tabs>
          <w:tab w:val="left" w:pos="567"/>
        </w:tabs>
        <w:spacing w:after="240"/>
        <w:rPr>
          <w:lang w:val="de-DE"/>
        </w:rPr>
      </w:pPr>
      <w:r w:rsidRPr="00946C2C">
        <w:rPr>
          <w:lang w:val="de-DE"/>
        </w:rPr>
        <w:t>Ist die Erhöhung 10 Tage vor Beginn der Kündigungsfrist bei dem*der Mieter*in eingegangen?</w:t>
      </w:r>
    </w:p>
    <w:p w14:paraId="50329F03" w14:textId="1A7D289B" w:rsidR="000C52FB" w:rsidRDefault="000C52FB" w:rsidP="000C52FB">
      <w:pPr>
        <w:pStyle w:val="Listenabsatz"/>
        <w:tabs>
          <w:tab w:val="left" w:pos="567"/>
          <w:tab w:val="left" w:pos="6804"/>
        </w:tabs>
        <w:spacing w:after="240"/>
        <w:ind w:left="1150"/>
        <w:rPr>
          <w:lang w:val="de-DE"/>
        </w:rPr>
      </w:pPr>
      <w:r>
        <w:rPr>
          <w:lang w:val="de-DE"/>
        </w:rPr>
        <w:tab/>
      </w:r>
      <w:r w:rsidRPr="00E34305">
        <w:rPr>
          <w:lang w:val="de-DE"/>
        </w:rPr>
        <w:t>Ja</w:t>
      </w:r>
      <w:r>
        <w:rPr>
          <w:lang w:val="de-DE"/>
        </w:rPr>
        <w:t xml:space="preserve"> </w:t>
      </w:r>
      <w:r w:rsidR="00D00A18">
        <w:rPr>
          <w:lang w:val="de-DE"/>
        </w:rPr>
        <w:sym w:font="Symbol" w:char="F07F"/>
      </w:r>
      <w:r w:rsidRPr="00E34305">
        <w:rPr>
          <w:lang w:val="de-DE"/>
        </w:rPr>
        <w:tab/>
        <w:t xml:space="preserve">Nein </w:t>
      </w:r>
      <w:r w:rsidR="00D00A18">
        <w:rPr>
          <w:lang w:val="de-DE"/>
        </w:rPr>
        <w:sym w:font="Symbol" w:char="F07F"/>
      </w:r>
    </w:p>
    <w:p w14:paraId="410B1925" w14:textId="77777777" w:rsidR="000C52FB" w:rsidRPr="00E34305" w:rsidRDefault="000C52FB" w:rsidP="000C52FB">
      <w:pPr>
        <w:pStyle w:val="Listenabsatz"/>
        <w:tabs>
          <w:tab w:val="left" w:pos="567"/>
        </w:tabs>
        <w:spacing w:after="240"/>
        <w:ind w:left="567"/>
        <w:rPr>
          <w:lang w:val="de-DE"/>
        </w:rPr>
      </w:pPr>
    </w:p>
    <w:p w14:paraId="61D07F39" w14:textId="77777777" w:rsidR="000C52FB" w:rsidRPr="00946C2C" w:rsidRDefault="000C52FB" w:rsidP="00946C2C">
      <w:pPr>
        <w:pStyle w:val="Listenabsatz"/>
        <w:numPr>
          <w:ilvl w:val="0"/>
          <w:numId w:val="13"/>
        </w:numPr>
        <w:tabs>
          <w:tab w:val="left" w:pos="567"/>
        </w:tabs>
        <w:spacing w:after="240"/>
        <w:rPr>
          <w:lang w:val="de-DE"/>
        </w:rPr>
      </w:pPr>
      <w:r w:rsidRPr="00946C2C">
        <w:rPr>
          <w:lang w:val="de-DE"/>
        </w:rPr>
        <w:t>Ist die Erhöhung auf den richtigen Zeitpunkt (Kündigungstermin</w:t>
      </w:r>
      <w:r>
        <w:rPr>
          <w:rStyle w:val="Funotenzeichen"/>
          <w:lang w:val="de-DE"/>
        </w:rPr>
        <w:footnoteReference w:id="2"/>
      </w:r>
      <w:r w:rsidRPr="00946C2C">
        <w:rPr>
          <w:lang w:val="de-DE"/>
        </w:rPr>
        <w:t>) angekündigt?</w:t>
      </w:r>
    </w:p>
    <w:p w14:paraId="16ADA54C" w14:textId="6BE89233" w:rsidR="000C52FB" w:rsidRDefault="000C52FB" w:rsidP="000C52FB">
      <w:pPr>
        <w:pStyle w:val="Listenabsatz"/>
        <w:tabs>
          <w:tab w:val="left" w:pos="567"/>
          <w:tab w:val="left" w:pos="6804"/>
        </w:tabs>
        <w:spacing w:after="240"/>
        <w:ind w:left="1150"/>
        <w:rPr>
          <w:lang w:val="de-DE"/>
        </w:rPr>
      </w:pPr>
      <w:r>
        <w:rPr>
          <w:lang w:val="de-DE"/>
        </w:rPr>
        <w:tab/>
      </w:r>
      <w:r w:rsidRPr="00E34305">
        <w:rPr>
          <w:lang w:val="de-DE"/>
        </w:rPr>
        <w:t>Ja</w:t>
      </w:r>
      <w:r>
        <w:rPr>
          <w:lang w:val="de-DE"/>
        </w:rPr>
        <w:t xml:space="preserve"> </w:t>
      </w:r>
      <w:r w:rsidR="00D00A18">
        <w:rPr>
          <w:lang w:val="de-DE"/>
        </w:rPr>
        <w:sym w:font="Symbol" w:char="F07F"/>
      </w:r>
      <w:r w:rsidRPr="00E34305">
        <w:rPr>
          <w:lang w:val="de-DE"/>
        </w:rPr>
        <w:tab/>
        <w:t xml:space="preserve">Nein </w:t>
      </w:r>
      <w:r w:rsidR="00D00A18">
        <w:rPr>
          <w:lang w:val="de-DE"/>
        </w:rPr>
        <w:sym w:font="Symbol" w:char="F07F"/>
      </w:r>
    </w:p>
    <w:p w14:paraId="1EAB0431" w14:textId="77777777" w:rsidR="000C52FB" w:rsidRPr="00E34305" w:rsidRDefault="000C52FB" w:rsidP="000C52FB">
      <w:pPr>
        <w:pStyle w:val="Listenabsatz"/>
        <w:tabs>
          <w:tab w:val="left" w:pos="567"/>
        </w:tabs>
        <w:spacing w:after="240"/>
        <w:ind w:left="567"/>
        <w:rPr>
          <w:lang w:val="de-DE"/>
        </w:rPr>
      </w:pPr>
    </w:p>
    <w:p w14:paraId="21CC8C64" w14:textId="77777777" w:rsidR="000C52FB" w:rsidRPr="00946C2C" w:rsidRDefault="000C52FB" w:rsidP="00946C2C">
      <w:pPr>
        <w:pStyle w:val="Listenabsatz"/>
        <w:numPr>
          <w:ilvl w:val="0"/>
          <w:numId w:val="13"/>
        </w:numPr>
        <w:tabs>
          <w:tab w:val="left" w:pos="567"/>
        </w:tabs>
        <w:spacing w:after="240"/>
        <w:rPr>
          <w:lang w:val="de-DE"/>
        </w:rPr>
      </w:pPr>
      <w:r w:rsidRPr="00946C2C">
        <w:rPr>
          <w:lang w:val="de-DE"/>
        </w:rPr>
        <w:t>Ist die Erhöhung klar begründet?</w:t>
      </w:r>
    </w:p>
    <w:p w14:paraId="3F32A1D5" w14:textId="45EF2C6D" w:rsidR="000C52FB" w:rsidRDefault="000C52FB" w:rsidP="000C52FB">
      <w:pPr>
        <w:pStyle w:val="Listenabsatz"/>
        <w:tabs>
          <w:tab w:val="left" w:pos="567"/>
          <w:tab w:val="left" w:pos="6804"/>
        </w:tabs>
        <w:spacing w:after="240"/>
        <w:ind w:left="1150"/>
        <w:rPr>
          <w:lang w:val="de-DE"/>
        </w:rPr>
      </w:pPr>
      <w:r>
        <w:rPr>
          <w:lang w:val="de-DE"/>
        </w:rPr>
        <w:tab/>
      </w:r>
      <w:r w:rsidRPr="00E34305">
        <w:rPr>
          <w:lang w:val="de-DE"/>
        </w:rPr>
        <w:t>Ja</w:t>
      </w:r>
      <w:r>
        <w:rPr>
          <w:lang w:val="de-DE"/>
        </w:rPr>
        <w:t xml:space="preserve"> </w:t>
      </w:r>
      <w:r w:rsidR="00D00A18">
        <w:rPr>
          <w:lang w:val="de-DE"/>
        </w:rPr>
        <w:sym w:font="Symbol" w:char="F07F"/>
      </w:r>
      <w:r w:rsidRPr="00E34305">
        <w:rPr>
          <w:lang w:val="de-DE"/>
        </w:rPr>
        <w:tab/>
        <w:t xml:space="preserve">Nein </w:t>
      </w:r>
      <w:r w:rsidR="00D00A18">
        <w:rPr>
          <w:lang w:val="de-DE"/>
        </w:rPr>
        <w:sym w:font="Symbol" w:char="F07F"/>
      </w:r>
    </w:p>
    <w:p w14:paraId="1477497D" w14:textId="77777777" w:rsidR="000C52FB" w:rsidRPr="00E4791F" w:rsidRDefault="000C52FB" w:rsidP="000C52FB">
      <w:pPr>
        <w:pStyle w:val="Listenabsatz"/>
        <w:tabs>
          <w:tab w:val="left" w:pos="567"/>
          <w:tab w:val="left" w:pos="6663"/>
        </w:tabs>
        <w:spacing w:after="240"/>
        <w:ind w:left="1150"/>
        <w:rPr>
          <w:lang w:val="de-DE"/>
        </w:rPr>
      </w:pPr>
    </w:p>
    <w:p w14:paraId="3F4B0379" w14:textId="77777777" w:rsidR="000C52FB" w:rsidRPr="00946C2C" w:rsidRDefault="000C52FB" w:rsidP="00946C2C">
      <w:pPr>
        <w:pStyle w:val="Listenabsatz"/>
        <w:numPr>
          <w:ilvl w:val="0"/>
          <w:numId w:val="13"/>
        </w:numPr>
        <w:tabs>
          <w:tab w:val="left" w:pos="567"/>
        </w:tabs>
        <w:spacing w:after="240"/>
        <w:rPr>
          <w:lang w:val="de-DE"/>
        </w:rPr>
      </w:pPr>
      <w:r w:rsidRPr="00946C2C">
        <w:rPr>
          <w:lang w:val="de-DE"/>
        </w:rPr>
        <w:t xml:space="preserve">Wenn die Erhöhung auf einem </w:t>
      </w:r>
      <w:proofErr w:type="spellStart"/>
      <w:r w:rsidRPr="00946C2C">
        <w:rPr>
          <w:lang w:val="de-DE"/>
        </w:rPr>
        <w:t>Beilageblatt</w:t>
      </w:r>
      <w:proofErr w:type="spellEnd"/>
      <w:r w:rsidRPr="00946C2C">
        <w:rPr>
          <w:lang w:val="de-DE"/>
        </w:rPr>
        <w:t xml:space="preserve"> begründet wird:</w:t>
      </w:r>
      <w:r w:rsidRPr="00946C2C">
        <w:rPr>
          <w:lang w:val="de-DE"/>
        </w:rPr>
        <w:br/>
        <w:t>Findet sich auf dem amtlichen Formular ausdrücklich ein Hinweis darauf?</w:t>
      </w:r>
    </w:p>
    <w:p w14:paraId="3BD1023D" w14:textId="48AB28A3" w:rsidR="000C52FB" w:rsidRDefault="000C52FB" w:rsidP="000C52FB">
      <w:pPr>
        <w:pStyle w:val="Listenabsatz"/>
        <w:tabs>
          <w:tab w:val="left" w:pos="567"/>
          <w:tab w:val="left" w:pos="6804"/>
        </w:tabs>
        <w:spacing w:after="240"/>
        <w:ind w:left="1150"/>
        <w:rPr>
          <w:lang w:val="de-DE"/>
        </w:rPr>
      </w:pPr>
      <w:r>
        <w:rPr>
          <w:lang w:val="de-DE"/>
        </w:rPr>
        <w:tab/>
      </w:r>
      <w:r w:rsidRPr="00E34305">
        <w:rPr>
          <w:lang w:val="de-DE"/>
        </w:rPr>
        <w:t>Ja</w:t>
      </w:r>
      <w:r>
        <w:rPr>
          <w:lang w:val="de-DE"/>
        </w:rPr>
        <w:t xml:space="preserve"> </w:t>
      </w:r>
      <w:r w:rsidR="00D00A18">
        <w:rPr>
          <w:lang w:val="de-DE"/>
        </w:rPr>
        <w:sym w:font="Symbol" w:char="F07F"/>
      </w:r>
      <w:r w:rsidRPr="00E34305">
        <w:rPr>
          <w:lang w:val="de-DE"/>
        </w:rPr>
        <w:tab/>
        <w:t xml:space="preserve">Nein </w:t>
      </w:r>
      <w:r w:rsidR="00D00A18">
        <w:rPr>
          <w:lang w:val="de-DE"/>
        </w:rPr>
        <w:sym w:font="Symbol" w:char="F07F"/>
      </w:r>
    </w:p>
    <w:p w14:paraId="5C4FAA5C" w14:textId="77777777" w:rsidR="000C52FB" w:rsidRPr="00E34305" w:rsidRDefault="000C52FB" w:rsidP="000C52FB">
      <w:pPr>
        <w:pStyle w:val="Listenabsatz"/>
        <w:tabs>
          <w:tab w:val="left" w:pos="567"/>
          <w:tab w:val="left" w:pos="6804"/>
        </w:tabs>
        <w:spacing w:after="240"/>
        <w:ind w:left="1150"/>
        <w:rPr>
          <w:lang w:val="de-DE"/>
        </w:rPr>
      </w:pPr>
    </w:p>
    <w:p w14:paraId="77478135" w14:textId="77777777" w:rsidR="000C52FB" w:rsidRPr="00946C2C" w:rsidRDefault="000C52FB" w:rsidP="00946C2C">
      <w:pPr>
        <w:pStyle w:val="Listenabsatz"/>
        <w:numPr>
          <w:ilvl w:val="0"/>
          <w:numId w:val="13"/>
        </w:numPr>
        <w:tabs>
          <w:tab w:val="left" w:pos="567"/>
        </w:tabs>
        <w:spacing w:after="240"/>
        <w:rPr>
          <w:lang w:val="de-DE"/>
        </w:rPr>
      </w:pPr>
      <w:r w:rsidRPr="00946C2C">
        <w:rPr>
          <w:lang w:val="de-DE"/>
        </w:rPr>
        <w:t xml:space="preserve">Wenn die Erhöhung auf verschiedenen Gründen beruht: </w:t>
      </w:r>
      <w:r w:rsidRPr="00946C2C">
        <w:rPr>
          <w:lang w:val="de-DE"/>
        </w:rPr>
        <w:br/>
        <w:t>Wurden diese in Einzelbeträgen ausgewiesen?</w:t>
      </w:r>
    </w:p>
    <w:p w14:paraId="0D34BCC7" w14:textId="7BE148A8" w:rsidR="000C52FB" w:rsidRDefault="000C52FB" w:rsidP="000C52FB">
      <w:pPr>
        <w:pStyle w:val="Listenabsatz"/>
        <w:tabs>
          <w:tab w:val="left" w:pos="567"/>
          <w:tab w:val="left" w:pos="6804"/>
        </w:tabs>
        <w:spacing w:after="240"/>
        <w:ind w:left="1150"/>
        <w:rPr>
          <w:lang w:val="de-DE"/>
        </w:rPr>
      </w:pPr>
      <w:r>
        <w:rPr>
          <w:lang w:val="de-DE"/>
        </w:rPr>
        <w:tab/>
      </w:r>
      <w:r w:rsidRPr="00E34305">
        <w:rPr>
          <w:lang w:val="de-DE"/>
        </w:rPr>
        <w:t>Ja</w:t>
      </w:r>
      <w:r>
        <w:rPr>
          <w:lang w:val="de-DE"/>
        </w:rPr>
        <w:t xml:space="preserve"> </w:t>
      </w:r>
      <w:r w:rsidR="00D00A18">
        <w:rPr>
          <w:lang w:val="de-DE"/>
        </w:rPr>
        <w:sym w:font="Symbol" w:char="F07F"/>
      </w:r>
      <w:r w:rsidRPr="00E34305">
        <w:rPr>
          <w:lang w:val="de-DE"/>
        </w:rPr>
        <w:tab/>
        <w:t xml:space="preserve">Nein </w:t>
      </w:r>
      <w:r w:rsidR="00D00A18">
        <w:rPr>
          <w:lang w:val="de-DE"/>
        </w:rPr>
        <w:sym w:font="Symbol" w:char="F07F"/>
      </w:r>
    </w:p>
    <w:p w14:paraId="3B3ACEC6" w14:textId="77777777" w:rsidR="000C52FB" w:rsidRPr="00E34305" w:rsidRDefault="000C52FB" w:rsidP="000C52FB">
      <w:pPr>
        <w:pStyle w:val="Listenabsatz"/>
        <w:tabs>
          <w:tab w:val="left" w:pos="567"/>
          <w:tab w:val="left" w:pos="6804"/>
        </w:tabs>
        <w:spacing w:after="240"/>
        <w:ind w:left="1150"/>
        <w:rPr>
          <w:lang w:val="de-DE"/>
        </w:rPr>
      </w:pPr>
    </w:p>
    <w:p w14:paraId="5A1B4969" w14:textId="77777777" w:rsidR="000C52FB" w:rsidRPr="00946C2C" w:rsidRDefault="000C52FB" w:rsidP="00946C2C">
      <w:pPr>
        <w:pStyle w:val="Listenabsatz"/>
        <w:numPr>
          <w:ilvl w:val="0"/>
          <w:numId w:val="13"/>
        </w:numPr>
        <w:tabs>
          <w:tab w:val="left" w:pos="567"/>
        </w:tabs>
        <w:spacing w:after="240"/>
        <w:rPr>
          <w:lang w:val="de-DE"/>
        </w:rPr>
      </w:pPr>
      <w:r w:rsidRPr="00946C2C">
        <w:rPr>
          <w:lang w:val="de-DE"/>
        </w:rPr>
        <w:t>Hat die Vermieterschaft den bisherigen Mietzins (und eventuelle Nebenkosten) auf dem Formular aufgeführt?</w:t>
      </w:r>
    </w:p>
    <w:p w14:paraId="63DC25EC" w14:textId="2BF46CEA" w:rsidR="000C52FB" w:rsidRDefault="000C52FB" w:rsidP="000C52FB">
      <w:pPr>
        <w:pStyle w:val="Listenabsatz"/>
        <w:tabs>
          <w:tab w:val="left" w:pos="567"/>
          <w:tab w:val="left" w:pos="6804"/>
        </w:tabs>
        <w:spacing w:after="240"/>
        <w:ind w:left="1150"/>
        <w:rPr>
          <w:lang w:val="de-DE"/>
        </w:rPr>
      </w:pPr>
      <w:r>
        <w:rPr>
          <w:lang w:val="de-DE"/>
        </w:rPr>
        <w:tab/>
      </w:r>
      <w:r w:rsidRPr="00E34305">
        <w:rPr>
          <w:lang w:val="de-DE"/>
        </w:rPr>
        <w:t>Ja</w:t>
      </w:r>
      <w:r>
        <w:rPr>
          <w:lang w:val="de-DE"/>
        </w:rPr>
        <w:t xml:space="preserve"> </w:t>
      </w:r>
      <w:r w:rsidR="00D00A18">
        <w:rPr>
          <w:lang w:val="de-DE"/>
        </w:rPr>
        <w:sym w:font="Symbol" w:char="F07F"/>
      </w:r>
      <w:r w:rsidRPr="00E34305">
        <w:rPr>
          <w:lang w:val="de-DE"/>
        </w:rPr>
        <w:tab/>
        <w:t xml:space="preserve">Nein </w:t>
      </w:r>
      <w:r w:rsidR="00D00A18">
        <w:rPr>
          <w:lang w:val="de-DE"/>
        </w:rPr>
        <w:sym w:font="Symbol" w:char="F07F"/>
      </w:r>
    </w:p>
    <w:p w14:paraId="0FA7B457" w14:textId="77777777" w:rsidR="000C52FB" w:rsidRPr="00E34305" w:rsidRDefault="000C52FB" w:rsidP="000C52FB">
      <w:pPr>
        <w:pStyle w:val="Listenabsatz"/>
        <w:tabs>
          <w:tab w:val="left" w:pos="567"/>
          <w:tab w:val="left" w:pos="6804"/>
        </w:tabs>
        <w:spacing w:after="240"/>
        <w:ind w:left="1150"/>
        <w:rPr>
          <w:lang w:val="de-DE"/>
        </w:rPr>
      </w:pPr>
    </w:p>
    <w:p w14:paraId="2FBE2CC5" w14:textId="1AF35ACC" w:rsidR="000C52FB" w:rsidRPr="00E4791F" w:rsidRDefault="000C52FB" w:rsidP="000C52FB">
      <w:pPr>
        <w:spacing w:after="240"/>
        <w:rPr>
          <w:lang w:val="de-DE"/>
        </w:rPr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316069" wp14:editId="716CAC85">
                <wp:simplePos x="0" y="0"/>
                <wp:positionH relativeFrom="column">
                  <wp:posOffset>3593465</wp:posOffset>
                </wp:positionH>
                <wp:positionV relativeFrom="paragraph">
                  <wp:posOffset>26035</wp:posOffset>
                </wp:positionV>
                <wp:extent cx="381000" cy="127000"/>
                <wp:effectExtent l="0" t="19050" r="38100" b="44450"/>
                <wp:wrapNone/>
                <wp:docPr id="6" name="Pfeil nach recht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27000"/>
                        </a:xfrm>
                        <a:prstGeom prst="rightArrow">
                          <a:avLst/>
                        </a:prstGeom>
                        <a:noFill/>
                        <a:ln w="12700">
                          <a:solidFill>
                            <a:srgbClr val="0F05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CF4F0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 nach rechts 6" o:spid="_x0000_s1026" type="#_x0000_t13" style="position:absolute;margin-left:282.95pt;margin-top:2.05pt;width:30pt;height:1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" adj="18000" filled="f" strokecolor="#0f05a0" strokeweight="1pt"/>
            </w:pict>
          </mc:Fallback>
        </mc:AlternateContent>
      </w:r>
      <w:r>
        <w:rPr>
          <w:lang w:val="de-DE"/>
        </w:rPr>
        <w:t>Kann</w:t>
      </w:r>
      <w:r w:rsidRPr="00E4791F">
        <w:rPr>
          <w:lang w:val="de-DE"/>
        </w:rPr>
        <w:t xml:space="preserve"> </w:t>
      </w:r>
      <w:r w:rsidRPr="0040338C">
        <w:rPr>
          <w:b/>
          <w:lang w:val="de-DE"/>
        </w:rPr>
        <w:t>eine dieser Fragen</w:t>
      </w:r>
      <w:r>
        <w:rPr>
          <w:lang w:val="de-DE"/>
        </w:rPr>
        <w:t xml:space="preserve"> mit </w:t>
      </w:r>
      <w:r w:rsidRPr="00E4791F">
        <w:rPr>
          <w:b/>
          <w:lang w:val="de-DE"/>
        </w:rPr>
        <w:t>Nein</w:t>
      </w:r>
      <w:r>
        <w:rPr>
          <w:lang w:val="de-DE"/>
        </w:rPr>
        <w:t xml:space="preserve"> beantworten werden? </w:t>
      </w:r>
      <w:r>
        <w:rPr>
          <w:lang w:val="de-DE"/>
        </w:rPr>
        <w:tab/>
      </w:r>
      <w:r>
        <w:rPr>
          <w:lang w:val="de-DE"/>
        </w:rPr>
        <w:tab/>
        <w:t xml:space="preserve">Dann hat </w:t>
      </w:r>
      <w:r w:rsidRPr="00E4791F">
        <w:rPr>
          <w:lang w:val="de-DE"/>
        </w:rPr>
        <w:t xml:space="preserve">die Vermieterschaft einen formellen Fehler gemacht. </w:t>
      </w:r>
      <w:r>
        <w:rPr>
          <w:lang w:val="de-DE"/>
        </w:rPr>
        <w:t xml:space="preserve">Der*die Mieter*in sollte die Erhöhung schnellstmöglich anfechten (Ziffer </w:t>
      </w:r>
      <w:r>
        <w:rPr>
          <w:lang w:val="de-DE"/>
        </w:rPr>
        <w:fldChar w:fldCharType="begin"/>
      </w:r>
      <w:r>
        <w:rPr>
          <w:lang w:val="de-DE"/>
        </w:rPr>
        <w:instrText xml:space="preserve"> REF _Ref132115429 \r \h </w:instrText>
      </w:r>
      <w:r>
        <w:rPr>
          <w:lang w:val="de-DE"/>
        </w:rPr>
      </w:r>
      <w:r>
        <w:rPr>
          <w:lang w:val="de-DE"/>
        </w:rPr>
        <w:fldChar w:fldCharType="separate"/>
      </w:r>
      <w:r w:rsidR="00ED125D">
        <w:rPr>
          <w:lang w:val="de-DE"/>
        </w:rPr>
        <w:t>0</w:t>
      </w:r>
      <w:r>
        <w:rPr>
          <w:lang w:val="de-DE"/>
        </w:rPr>
        <w:fldChar w:fldCharType="end"/>
      </w:r>
      <w:r>
        <w:rPr>
          <w:lang w:val="de-DE"/>
        </w:rPr>
        <w:t>).</w:t>
      </w:r>
    </w:p>
    <w:p w14:paraId="7B1C8E4D" w14:textId="5EC5455A" w:rsidR="000C52FB" w:rsidRDefault="000C52FB" w:rsidP="000C52FB">
      <w:pPr>
        <w:spacing w:after="240"/>
        <w:jc w:val="both"/>
        <w:rPr>
          <w:lang w:val="de-DE"/>
        </w:rPr>
      </w:pPr>
      <w:r w:rsidRPr="00E4791F">
        <w:rPr>
          <w:lang w:val="de-DE"/>
        </w:rPr>
        <w:t>Können alle Fra</w:t>
      </w:r>
      <w:r>
        <w:rPr>
          <w:lang w:val="de-DE"/>
        </w:rPr>
        <w:t xml:space="preserve">gen mit Ja beantwortet werden, ist </w:t>
      </w:r>
      <w:r>
        <w:t xml:space="preserve">in einem nächsten Schritt </w:t>
      </w:r>
      <w:r>
        <w:rPr>
          <w:lang w:val="de-DE"/>
        </w:rPr>
        <w:t xml:space="preserve">zu </w:t>
      </w:r>
      <w:r w:rsidRPr="00E4791F">
        <w:rPr>
          <w:lang w:val="de-DE"/>
        </w:rPr>
        <w:t xml:space="preserve">prüfen, ob </w:t>
      </w:r>
      <w:r>
        <w:rPr>
          <w:lang w:val="de-DE"/>
        </w:rPr>
        <w:t>der geltend gemachte Erhöhungsgrund</w:t>
      </w:r>
      <w:r w:rsidRPr="00E4791F">
        <w:rPr>
          <w:lang w:val="de-DE"/>
        </w:rPr>
        <w:t xml:space="preserve"> gerechtfertigt </w:t>
      </w:r>
      <w:r>
        <w:rPr>
          <w:lang w:val="de-DE"/>
        </w:rPr>
        <w:t xml:space="preserve">ist (Ziffer </w:t>
      </w:r>
      <w:r>
        <w:rPr>
          <w:lang w:val="de-DE"/>
        </w:rPr>
        <w:fldChar w:fldCharType="begin"/>
      </w:r>
      <w:r>
        <w:rPr>
          <w:lang w:val="de-DE"/>
        </w:rPr>
        <w:instrText xml:space="preserve"> REF _Ref132298344 \r \h </w:instrText>
      </w:r>
      <w:r>
        <w:rPr>
          <w:lang w:val="de-DE"/>
        </w:rPr>
      </w:r>
      <w:r>
        <w:rPr>
          <w:lang w:val="de-DE"/>
        </w:rPr>
        <w:fldChar w:fldCharType="separate"/>
      </w:r>
      <w:r w:rsidR="00ED125D">
        <w:rPr>
          <w:lang w:val="de-DE"/>
        </w:rPr>
        <w:t>3.2</w:t>
      </w:r>
      <w:r>
        <w:rPr>
          <w:lang w:val="de-DE"/>
        </w:rPr>
        <w:fldChar w:fldCharType="end"/>
      </w:r>
      <w:r>
        <w:rPr>
          <w:lang w:val="de-DE"/>
        </w:rPr>
        <w:t xml:space="preserve">). </w:t>
      </w:r>
      <w:bookmarkStart w:id="4" w:name="_Ref132110811"/>
    </w:p>
    <w:p w14:paraId="118C28A5" w14:textId="02B2D4B6" w:rsidR="000C52FB" w:rsidRPr="00073B29" w:rsidRDefault="000C52FB" w:rsidP="000C52FB">
      <w:pPr>
        <w:pStyle w:val="berschrift2"/>
        <w:numPr>
          <w:ilvl w:val="1"/>
          <w:numId w:val="12"/>
        </w:numPr>
        <w:rPr>
          <w:lang w:val="de-DE"/>
        </w:rPr>
      </w:pPr>
      <w:bookmarkStart w:id="5" w:name="_Ref132298344"/>
      <w:r w:rsidRPr="00073B29">
        <w:rPr>
          <w:lang w:val="de-DE"/>
        </w:rPr>
        <w:t xml:space="preserve">Hat die Vermieterschaft bei der </w:t>
      </w:r>
      <w:r>
        <w:rPr>
          <w:lang w:val="de-DE"/>
        </w:rPr>
        <w:t xml:space="preserve">Anpassung </w:t>
      </w:r>
      <w:r w:rsidRPr="00073B29">
        <w:rPr>
          <w:lang w:val="de-DE"/>
        </w:rPr>
        <w:t xml:space="preserve">des Nettomietzinses </w:t>
      </w:r>
      <w:r>
        <w:rPr>
          <w:lang w:val="de-DE"/>
        </w:rPr>
        <w:t xml:space="preserve">an den Referenzzinssatz </w:t>
      </w:r>
      <w:r w:rsidRPr="00073B29">
        <w:rPr>
          <w:lang w:val="de-DE"/>
        </w:rPr>
        <w:t>eine</w:t>
      </w:r>
      <w:r>
        <w:rPr>
          <w:lang w:val="de-DE"/>
        </w:rPr>
        <w:t>n</w:t>
      </w:r>
      <w:r w:rsidRPr="00073B29">
        <w:rPr>
          <w:lang w:val="de-DE"/>
        </w:rPr>
        <w:t xml:space="preserve"> Fehler gemacht?</w:t>
      </w:r>
      <w:bookmarkEnd w:id="4"/>
      <w:bookmarkEnd w:id="5"/>
    </w:p>
    <w:p w14:paraId="49000168" w14:textId="77777777" w:rsidR="000C52FB" w:rsidRDefault="000C52FB" w:rsidP="000C52FB">
      <w:pPr>
        <w:spacing w:after="240"/>
        <w:jc w:val="both"/>
      </w:pPr>
      <w:r w:rsidRPr="00FB7116">
        <w:rPr>
          <w:lang w:val="de-DE"/>
        </w:rPr>
        <w:t>Ein</w:t>
      </w:r>
      <w:r>
        <w:t xml:space="preserve"> möglicher Erhöhungsgrund ist die Anpassung an den Referenzzinssatz</w:t>
      </w:r>
      <w:r>
        <w:rPr>
          <w:rStyle w:val="Funotenzeichen"/>
        </w:rPr>
        <w:footnoteReference w:id="3"/>
      </w:r>
      <w:r>
        <w:t>. Die Vermieterschaft</w:t>
      </w:r>
      <w:r w:rsidRPr="00AE38E7">
        <w:t xml:space="preserve"> darf den Mietzins erhöhen, wenn der Referenzzinssatz </w:t>
      </w:r>
      <w:r>
        <w:t>gestiegen ist.</w:t>
      </w:r>
    </w:p>
    <w:p w14:paraId="2042C6DA" w14:textId="77777777" w:rsidR="000C52FB" w:rsidRPr="00E4791F" w:rsidRDefault="000C52FB" w:rsidP="000C52FB">
      <w:pPr>
        <w:spacing w:after="240"/>
        <w:jc w:val="both"/>
        <w:rPr>
          <w:lang w:val="de-DE"/>
        </w:rPr>
      </w:pPr>
      <w:r w:rsidRPr="00AE4B7B">
        <w:rPr>
          <w:lang w:val="de-DE"/>
        </w:rPr>
        <w:t xml:space="preserve">Anhand der nachfolgenden Checkliste </w:t>
      </w:r>
      <w:r>
        <w:rPr>
          <w:lang w:val="de-DE"/>
        </w:rPr>
        <w:t>kann kontrolliert werden, ob und wie viel der Nettomietzins erhöht werde darf</w:t>
      </w:r>
      <w:r w:rsidRPr="00AE4B7B">
        <w:rPr>
          <w:lang w:val="de-DE"/>
        </w:rPr>
        <w:t>:</w:t>
      </w:r>
    </w:p>
    <w:p w14:paraId="3CD36B64" w14:textId="39DD9594" w:rsidR="000C52FB" w:rsidRPr="00946C2C" w:rsidRDefault="000C52FB" w:rsidP="00946C2C">
      <w:pPr>
        <w:pStyle w:val="Listenabsatz"/>
        <w:numPr>
          <w:ilvl w:val="0"/>
          <w:numId w:val="13"/>
        </w:numPr>
        <w:tabs>
          <w:tab w:val="left" w:pos="567"/>
        </w:tabs>
        <w:spacing w:after="240"/>
        <w:rPr>
          <w:lang w:val="de-DE"/>
        </w:rPr>
      </w:pPr>
      <w:r w:rsidRPr="00946C2C">
        <w:rPr>
          <w:lang w:val="de-DE"/>
        </w:rPr>
        <w:lastRenderedPageBreak/>
        <w:t>Welcher Referenzzinssatz galt bisher (siehe Mietvertrag und/oder letzter Mietzinsänderungsanzeige)? Ist der aktuelle Referenzzinssatz höher</w:t>
      </w:r>
      <w:r w:rsidRPr="004F4EEA">
        <w:rPr>
          <w:rStyle w:val="Funotenzeichen"/>
        </w:rPr>
        <w:footnoteReference w:id="4"/>
      </w:r>
      <w:r w:rsidRPr="00946C2C">
        <w:rPr>
          <w:lang w:val="de-DE"/>
        </w:rPr>
        <w:t>?</w:t>
      </w:r>
    </w:p>
    <w:p w14:paraId="15CBBF23" w14:textId="7F6E73C4" w:rsidR="000C52FB" w:rsidRDefault="000C52FB" w:rsidP="000C52FB">
      <w:pPr>
        <w:pStyle w:val="Listenabsatz"/>
        <w:tabs>
          <w:tab w:val="left" w:pos="567"/>
          <w:tab w:val="left" w:pos="6804"/>
        </w:tabs>
        <w:spacing w:after="240"/>
        <w:ind w:left="1150"/>
        <w:rPr>
          <w:lang w:val="de-DE"/>
        </w:rPr>
      </w:pPr>
      <w:r>
        <w:rPr>
          <w:lang w:val="de-DE"/>
        </w:rPr>
        <w:tab/>
      </w:r>
      <w:r w:rsidRPr="00E34305">
        <w:rPr>
          <w:lang w:val="de-DE"/>
        </w:rPr>
        <w:t>Ja</w:t>
      </w:r>
      <w:r>
        <w:rPr>
          <w:lang w:val="de-DE"/>
        </w:rPr>
        <w:t xml:space="preserve"> </w:t>
      </w:r>
      <w:r w:rsidR="00D00A18">
        <w:rPr>
          <w:lang w:val="de-DE"/>
        </w:rPr>
        <w:sym w:font="Symbol" w:char="F07F"/>
      </w:r>
      <w:r w:rsidRPr="00E34305">
        <w:rPr>
          <w:lang w:val="de-DE"/>
        </w:rPr>
        <w:tab/>
        <w:t xml:space="preserve">Nein </w:t>
      </w:r>
      <w:r w:rsidR="00D00A18">
        <w:rPr>
          <w:lang w:val="de-DE"/>
        </w:rPr>
        <w:sym w:font="Symbol" w:char="F07F"/>
      </w:r>
    </w:p>
    <w:p w14:paraId="44705318" w14:textId="77777777" w:rsidR="000C52FB" w:rsidRPr="00E4791F" w:rsidRDefault="000C52FB" w:rsidP="000C52FB">
      <w:pPr>
        <w:pStyle w:val="Listenabsatz"/>
        <w:tabs>
          <w:tab w:val="left" w:pos="567"/>
        </w:tabs>
        <w:spacing w:after="240"/>
        <w:ind w:left="567"/>
        <w:rPr>
          <w:lang w:val="de-DE"/>
        </w:rPr>
      </w:pPr>
    </w:p>
    <w:p w14:paraId="24308E19" w14:textId="77777777" w:rsidR="000C52FB" w:rsidRPr="00946C2C" w:rsidRDefault="000C52FB" w:rsidP="00946C2C">
      <w:pPr>
        <w:pStyle w:val="Listenabsatz"/>
        <w:numPr>
          <w:ilvl w:val="0"/>
          <w:numId w:val="13"/>
        </w:numPr>
        <w:tabs>
          <w:tab w:val="left" w:pos="567"/>
        </w:tabs>
        <w:spacing w:after="240"/>
        <w:rPr>
          <w:lang w:val="de-DE"/>
        </w:rPr>
      </w:pPr>
      <w:r w:rsidRPr="00946C2C">
        <w:rPr>
          <w:lang w:val="de-DE"/>
        </w:rPr>
        <w:t>Sind frühere Referenzzinssatzsenkungen in Form einer Mietzinssenkung weitergegeben worden?</w:t>
      </w:r>
    </w:p>
    <w:p w14:paraId="75C80868" w14:textId="1AF33028" w:rsidR="000C52FB" w:rsidRDefault="000C52FB" w:rsidP="000C52FB">
      <w:pPr>
        <w:pStyle w:val="Listenabsatz"/>
        <w:tabs>
          <w:tab w:val="left" w:pos="567"/>
          <w:tab w:val="left" w:pos="6804"/>
        </w:tabs>
        <w:spacing w:after="240"/>
        <w:ind w:left="1150"/>
        <w:rPr>
          <w:lang w:val="de-DE"/>
        </w:rPr>
      </w:pPr>
      <w:r>
        <w:rPr>
          <w:lang w:val="de-DE"/>
        </w:rPr>
        <w:tab/>
      </w:r>
      <w:r w:rsidRPr="00E34305">
        <w:rPr>
          <w:lang w:val="de-DE"/>
        </w:rPr>
        <w:t>Ja</w:t>
      </w:r>
      <w:r>
        <w:rPr>
          <w:lang w:val="de-DE"/>
        </w:rPr>
        <w:t xml:space="preserve"> </w:t>
      </w:r>
      <w:r w:rsidR="00D00A18">
        <w:rPr>
          <w:lang w:val="de-DE"/>
        </w:rPr>
        <w:sym w:font="Symbol" w:char="F07F"/>
      </w:r>
      <w:r w:rsidRPr="00E34305">
        <w:rPr>
          <w:lang w:val="de-DE"/>
        </w:rPr>
        <w:tab/>
        <w:t xml:space="preserve">Nein </w:t>
      </w:r>
      <w:r w:rsidR="00D00A18">
        <w:rPr>
          <w:lang w:val="de-DE"/>
        </w:rPr>
        <w:sym w:font="Symbol" w:char="F07F"/>
      </w:r>
    </w:p>
    <w:p w14:paraId="15F767E2" w14:textId="77777777" w:rsidR="000C52FB" w:rsidRDefault="000C52FB" w:rsidP="000C52FB">
      <w:pPr>
        <w:pStyle w:val="Listenabsatz"/>
        <w:tabs>
          <w:tab w:val="left" w:pos="567"/>
        </w:tabs>
        <w:spacing w:after="240"/>
        <w:ind w:left="567"/>
        <w:rPr>
          <w:lang w:val="de-DE"/>
        </w:rPr>
      </w:pPr>
    </w:p>
    <w:p w14:paraId="4F59045F" w14:textId="701EDA20" w:rsidR="000C52FB" w:rsidRPr="00946C2C" w:rsidRDefault="00946C2C" w:rsidP="00946C2C">
      <w:pPr>
        <w:pStyle w:val="Listenabsatz"/>
        <w:numPr>
          <w:ilvl w:val="0"/>
          <w:numId w:val="13"/>
        </w:numPr>
        <w:tabs>
          <w:tab w:val="left" w:pos="567"/>
        </w:tabs>
        <w:spacing w:after="240"/>
        <w:rPr>
          <w:lang w:val="de-DE"/>
        </w:rPr>
      </w:pPr>
      <w:r>
        <w:rPr>
          <w:lang w:val="de-DE"/>
        </w:rPr>
        <w:t>I</w:t>
      </w:r>
      <w:r w:rsidR="000C52FB" w:rsidRPr="00946C2C">
        <w:rPr>
          <w:lang w:val="de-DE"/>
        </w:rPr>
        <w:t>st die prozentuale Erhöhung korrekt berechnet (vgl. Tabelle)?</w:t>
      </w:r>
    </w:p>
    <w:p w14:paraId="25097DFD" w14:textId="2F531BB5" w:rsidR="000C52FB" w:rsidRDefault="000C52FB" w:rsidP="000C52FB">
      <w:pPr>
        <w:pStyle w:val="Listenabsatz"/>
        <w:tabs>
          <w:tab w:val="left" w:pos="567"/>
          <w:tab w:val="left" w:pos="6804"/>
        </w:tabs>
        <w:spacing w:after="240"/>
        <w:ind w:left="1150"/>
        <w:rPr>
          <w:lang w:val="de-DE"/>
        </w:rPr>
      </w:pPr>
      <w:r>
        <w:rPr>
          <w:lang w:val="de-DE"/>
        </w:rPr>
        <w:tab/>
      </w:r>
      <w:r w:rsidRPr="00E34305">
        <w:rPr>
          <w:lang w:val="de-DE"/>
        </w:rPr>
        <w:t>Ja</w:t>
      </w:r>
      <w:r>
        <w:rPr>
          <w:lang w:val="de-DE"/>
        </w:rPr>
        <w:t xml:space="preserve"> </w:t>
      </w:r>
      <w:r w:rsidR="00D00A18">
        <w:rPr>
          <w:lang w:val="de-DE"/>
        </w:rPr>
        <w:sym w:font="Symbol" w:char="F07F"/>
      </w:r>
      <w:r w:rsidRPr="00E34305">
        <w:rPr>
          <w:lang w:val="de-DE"/>
        </w:rPr>
        <w:tab/>
        <w:t xml:space="preserve">Nein </w:t>
      </w:r>
      <w:r w:rsidR="00D00A18">
        <w:rPr>
          <w:lang w:val="de-DE"/>
        </w:rPr>
        <w:sym w:font="Symbol" w:char="F07F"/>
      </w:r>
    </w:p>
    <w:p w14:paraId="783325B4" w14:textId="77777777" w:rsidR="000C52FB" w:rsidRPr="00E4791F" w:rsidRDefault="000C52FB" w:rsidP="000C52FB">
      <w:pPr>
        <w:pStyle w:val="Listenabsatz"/>
        <w:tabs>
          <w:tab w:val="left" w:pos="567"/>
        </w:tabs>
        <w:spacing w:after="240"/>
        <w:ind w:left="567"/>
        <w:rPr>
          <w:lang w:val="de-DE"/>
        </w:rPr>
      </w:pPr>
    </w:p>
    <w:p w14:paraId="5D3A5F94" w14:textId="77777777" w:rsidR="000C52FB" w:rsidRPr="008B0B03" w:rsidRDefault="000C52FB" w:rsidP="000C52FB">
      <w:pPr>
        <w:pStyle w:val="Absatz0"/>
        <w:spacing w:after="240"/>
        <w:ind w:left="708"/>
        <w:rPr>
          <w:b/>
          <w:sz w:val="20"/>
          <w:lang w:val="de-DE"/>
        </w:rPr>
      </w:pPr>
      <w:r w:rsidRPr="008B0B03">
        <w:rPr>
          <w:sz w:val="20"/>
        </w:rPr>
        <w:t>Nachfolgende Tabelle zeigt, um wieviel Prozent der Nettomietzins erhöht werden darf, je nachdem wie sich der Referenzinssatz entwickelt.</w:t>
      </w:r>
    </w:p>
    <w:p w14:paraId="23718DE7" w14:textId="77777777" w:rsidR="000C52FB" w:rsidRDefault="000C52FB" w:rsidP="000C52FB">
      <w:pPr>
        <w:pStyle w:val="Absatz0"/>
        <w:spacing w:after="240"/>
        <w:jc w:val="center"/>
        <w:rPr>
          <w:lang w:val="de-DE"/>
        </w:rPr>
      </w:pPr>
      <w:r w:rsidRPr="00EF2862">
        <w:rPr>
          <w:noProof/>
          <w:lang w:eastAsia="de-CH"/>
        </w:rPr>
        <w:drawing>
          <wp:inline distT="0" distB="0" distL="0" distR="0" wp14:anchorId="4036C49C" wp14:editId="10216E4A">
            <wp:extent cx="4432022" cy="889000"/>
            <wp:effectExtent l="0" t="0" r="6985" b="6350"/>
            <wp:docPr id="7" name="Grafik 7" descr="\\szh.loc\soz\users\sozmwr\Download\Referenzzi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szh.loc\soz\users\sozmwr\Download\Referenzzin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138" cy="89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Funotenzeichen"/>
          <w:lang w:val="de-DE"/>
        </w:rPr>
        <w:footnoteReference w:id="5"/>
      </w:r>
    </w:p>
    <w:p w14:paraId="565DA84A" w14:textId="77777777" w:rsidR="000C52FB" w:rsidRPr="008B0B03" w:rsidRDefault="000C52FB" w:rsidP="000C52FB">
      <w:pPr>
        <w:pStyle w:val="Absatz0"/>
        <w:spacing w:after="240"/>
        <w:ind w:left="708"/>
        <w:rPr>
          <w:sz w:val="20"/>
          <w:lang w:val="de-DE"/>
        </w:rPr>
      </w:pPr>
      <w:r>
        <w:rPr>
          <w:sz w:val="20"/>
          <w:lang w:val="de-DE"/>
        </w:rPr>
        <w:t>Lesebeispiel</w:t>
      </w:r>
      <w:r w:rsidRPr="008B0B03">
        <w:rPr>
          <w:sz w:val="20"/>
          <w:lang w:val="de-DE"/>
        </w:rPr>
        <w:t>: Steigt der Referenzzins von 1.25% auf 1.50%, kann der Nettomietzins um 3.00% erhöht werden.</w:t>
      </w:r>
    </w:p>
    <w:p w14:paraId="620E02C3" w14:textId="20396AAA" w:rsidR="000C52FB" w:rsidRPr="00E4791F" w:rsidRDefault="000C52FB" w:rsidP="000C52FB">
      <w:pPr>
        <w:spacing w:after="240"/>
        <w:rPr>
          <w:lang w:val="de-DE"/>
        </w:rPr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90C9A6" wp14:editId="42D64128">
                <wp:simplePos x="0" y="0"/>
                <wp:positionH relativeFrom="column">
                  <wp:posOffset>3593465</wp:posOffset>
                </wp:positionH>
                <wp:positionV relativeFrom="paragraph">
                  <wp:posOffset>26035</wp:posOffset>
                </wp:positionV>
                <wp:extent cx="381000" cy="127000"/>
                <wp:effectExtent l="0" t="19050" r="38100" b="44450"/>
                <wp:wrapNone/>
                <wp:docPr id="8" name="Pfeil nach recht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27000"/>
                        </a:xfrm>
                        <a:prstGeom prst="rightArrow">
                          <a:avLst/>
                        </a:prstGeom>
                        <a:noFill/>
                        <a:ln w="12700">
                          <a:solidFill>
                            <a:srgbClr val="0F05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2072C" id="Pfeil nach rechts 8" o:spid="_x0000_s1026" type="#_x0000_t13" style="position:absolute;margin-left:282.95pt;margin-top:2.05pt;width:30pt;height:1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" adj="18000" filled="f" strokecolor="#0f05a0" strokeweight="1pt"/>
            </w:pict>
          </mc:Fallback>
        </mc:AlternateContent>
      </w:r>
      <w:r>
        <w:rPr>
          <w:lang w:val="de-DE"/>
        </w:rPr>
        <w:t>Kann</w:t>
      </w:r>
      <w:r w:rsidRPr="00E4791F">
        <w:rPr>
          <w:lang w:val="de-DE"/>
        </w:rPr>
        <w:t xml:space="preserve"> </w:t>
      </w:r>
      <w:r w:rsidRPr="0040338C">
        <w:rPr>
          <w:b/>
          <w:lang w:val="de-DE"/>
        </w:rPr>
        <w:t>eine dieser Fragen</w:t>
      </w:r>
      <w:r>
        <w:rPr>
          <w:lang w:val="de-DE"/>
        </w:rPr>
        <w:t xml:space="preserve"> mit </w:t>
      </w:r>
      <w:r w:rsidRPr="00E4791F">
        <w:rPr>
          <w:b/>
          <w:lang w:val="de-DE"/>
        </w:rPr>
        <w:t>Nein</w:t>
      </w:r>
      <w:r>
        <w:rPr>
          <w:lang w:val="de-DE"/>
        </w:rPr>
        <w:t xml:space="preserve"> beantworten werden? </w:t>
      </w:r>
      <w:r>
        <w:rPr>
          <w:lang w:val="de-DE"/>
        </w:rPr>
        <w:tab/>
      </w:r>
      <w:r>
        <w:rPr>
          <w:lang w:val="de-DE"/>
        </w:rPr>
        <w:tab/>
        <w:t xml:space="preserve">Dann hat </w:t>
      </w:r>
      <w:r w:rsidRPr="00E4791F">
        <w:rPr>
          <w:lang w:val="de-DE"/>
        </w:rPr>
        <w:t xml:space="preserve">die Vermieterschaft einen Fehler gemacht. </w:t>
      </w:r>
      <w:r>
        <w:rPr>
          <w:lang w:val="de-DE"/>
        </w:rPr>
        <w:t xml:space="preserve">Der*die Mieter*in sollte die Erhöhung schnellstmöglich anfechten (Ziffer </w:t>
      </w:r>
      <w:r>
        <w:rPr>
          <w:lang w:val="de-DE"/>
        </w:rPr>
        <w:fldChar w:fldCharType="begin"/>
      </w:r>
      <w:r>
        <w:rPr>
          <w:lang w:val="de-DE"/>
        </w:rPr>
        <w:instrText xml:space="preserve"> REF _Ref132115429 \r \h </w:instrText>
      </w:r>
      <w:r>
        <w:rPr>
          <w:lang w:val="de-DE"/>
        </w:rPr>
      </w:r>
      <w:r>
        <w:rPr>
          <w:lang w:val="de-DE"/>
        </w:rPr>
        <w:fldChar w:fldCharType="separate"/>
      </w:r>
      <w:r w:rsidR="00ED125D">
        <w:rPr>
          <w:lang w:val="de-DE"/>
        </w:rPr>
        <w:t>0</w:t>
      </w:r>
      <w:r>
        <w:rPr>
          <w:lang w:val="de-DE"/>
        </w:rPr>
        <w:fldChar w:fldCharType="end"/>
      </w:r>
      <w:r>
        <w:rPr>
          <w:lang w:val="de-DE"/>
        </w:rPr>
        <w:t>).</w:t>
      </w:r>
    </w:p>
    <w:p w14:paraId="4E8CD18C" w14:textId="77777777" w:rsidR="000C52FB" w:rsidRDefault="000C52FB" w:rsidP="000C52FB">
      <w:pPr>
        <w:pStyle w:val="Absatz0"/>
        <w:spacing w:after="240"/>
        <w:rPr>
          <w:szCs w:val="22"/>
        </w:rPr>
      </w:pPr>
      <w:r w:rsidRPr="00E4791F">
        <w:rPr>
          <w:lang w:val="de-DE"/>
        </w:rPr>
        <w:t>Können alle Fra</w:t>
      </w:r>
      <w:r>
        <w:rPr>
          <w:lang w:val="de-DE"/>
        </w:rPr>
        <w:t>gen mit Ja beantwortet werden, ist die Erhöhung wahrscheinlich gerechtfertigt. Es ist nichts weiter zu unternehmen.</w:t>
      </w:r>
    </w:p>
    <w:p w14:paraId="11309A63" w14:textId="5E2D3692" w:rsidR="000C52FB" w:rsidRDefault="000C52FB" w:rsidP="000C52FB">
      <w:pPr>
        <w:pStyle w:val="berschrift1"/>
        <w:tabs>
          <w:tab w:val="num" w:pos="432"/>
        </w:tabs>
        <w:ind w:left="432" w:hanging="432"/>
        <w:rPr>
          <w:lang w:val="de-DE"/>
        </w:rPr>
      </w:pPr>
      <w:bookmarkStart w:id="6" w:name="_Ref132115429"/>
      <w:r>
        <w:rPr>
          <w:lang w:val="de-DE"/>
        </w:rPr>
        <w:t>4 Anfechtung der Mietzinserhöhung</w:t>
      </w:r>
      <w:bookmarkEnd w:id="6"/>
    </w:p>
    <w:p w14:paraId="109F882E" w14:textId="1B85B945" w:rsidR="000C52FB" w:rsidRDefault="000C52FB" w:rsidP="000C52FB">
      <w:pPr>
        <w:pStyle w:val="Absatz0"/>
        <w:spacing w:after="240"/>
        <w:contextualSpacing/>
        <w:rPr>
          <w:lang w:val="de-DE"/>
        </w:rPr>
      </w:pPr>
      <w:r>
        <w:rPr>
          <w:lang w:val="de-DE"/>
        </w:rPr>
        <w:t xml:space="preserve">Hat die Vermieterschaft bei der Erhöhung einen formellen Fehler gemacht (Ziffer </w:t>
      </w:r>
      <w:r>
        <w:rPr>
          <w:lang w:val="de-DE"/>
        </w:rPr>
        <w:fldChar w:fldCharType="begin"/>
      </w:r>
      <w:r>
        <w:rPr>
          <w:lang w:val="de-DE"/>
        </w:rPr>
        <w:instrText xml:space="preserve"> REF _Ref132298785 \r \h </w:instrText>
      </w:r>
      <w:r>
        <w:rPr>
          <w:lang w:val="de-DE"/>
        </w:rPr>
      </w:r>
      <w:r>
        <w:rPr>
          <w:lang w:val="de-DE"/>
        </w:rPr>
        <w:fldChar w:fldCharType="separate"/>
      </w:r>
      <w:r w:rsidR="00ED125D">
        <w:rPr>
          <w:lang w:val="de-DE"/>
        </w:rPr>
        <w:t>0</w:t>
      </w:r>
      <w:r>
        <w:rPr>
          <w:lang w:val="de-DE"/>
        </w:rPr>
        <w:fldChar w:fldCharType="end"/>
      </w:r>
      <w:r>
        <w:rPr>
          <w:lang w:val="de-DE"/>
        </w:rPr>
        <w:t xml:space="preserve">) oder ist die Anpassung an den gestiegenen Referenzzinssatz (Ziffer </w:t>
      </w:r>
      <w:r>
        <w:rPr>
          <w:lang w:val="de-DE"/>
        </w:rPr>
        <w:fldChar w:fldCharType="begin"/>
      </w:r>
      <w:r>
        <w:rPr>
          <w:lang w:val="de-DE"/>
        </w:rPr>
        <w:instrText xml:space="preserve"> REF _Ref132298344 \r \h </w:instrText>
      </w:r>
      <w:r>
        <w:rPr>
          <w:lang w:val="de-DE"/>
        </w:rPr>
      </w:r>
      <w:r>
        <w:rPr>
          <w:lang w:val="de-DE"/>
        </w:rPr>
        <w:fldChar w:fldCharType="separate"/>
      </w:r>
      <w:r w:rsidR="00ED125D">
        <w:rPr>
          <w:lang w:val="de-DE"/>
        </w:rPr>
        <w:t>3.2</w:t>
      </w:r>
      <w:r>
        <w:rPr>
          <w:lang w:val="de-DE"/>
        </w:rPr>
        <w:fldChar w:fldCharType="end"/>
      </w:r>
      <w:r>
        <w:rPr>
          <w:lang w:val="de-DE"/>
        </w:rPr>
        <w:t>) nicht gerechtfertigt?</w:t>
      </w:r>
    </w:p>
    <w:p w14:paraId="533819BD" w14:textId="77777777" w:rsidR="000C52FB" w:rsidRDefault="000C52FB" w:rsidP="000C52FB">
      <w:pPr>
        <w:pStyle w:val="Absatz0"/>
        <w:spacing w:after="240"/>
        <w:contextualSpacing/>
        <w:rPr>
          <w:lang w:val="de-DE"/>
        </w:rPr>
      </w:pPr>
    </w:p>
    <w:p w14:paraId="2A403703" w14:textId="77777777" w:rsidR="000C52FB" w:rsidRDefault="000C52FB" w:rsidP="000C52FB">
      <w:pPr>
        <w:pStyle w:val="Absatz0"/>
        <w:spacing w:after="240"/>
        <w:contextualSpacing/>
        <w:rPr>
          <w:lang w:val="de-DE"/>
        </w:rPr>
      </w:pPr>
      <w:r>
        <w:rPr>
          <w:lang w:val="de-DE"/>
        </w:rPr>
        <w:t xml:space="preserve">Dann sollte der*die Mieter*in die Erhöhung schnellstmöglich </w:t>
      </w:r>
      <w:r w:rsidRPr="00692A85">
        <w:rPr>
          <w:lang w:val="de-DE"/>
        </w:rPr>
        <w:t>bei der Mietschlichtungsbehörde</w:t>
      </w:r>
      <w:r>
        <w:rPr>
          <w:lang w:val="de-DE"/>
        </w:rPr>
        <w:t xml:space="preserve"> anfechten (</w:t>
      </w:r>
      <w:hyperlink r:id="rId18" w:history="1">
        <w:r w:rsidRPr="00EA386C">
          <w:rPr>
            <w:rStyle w:val="Hyperlink"/>
            <w:lang w:val="de-DE"/>
          </w:rPr>
          <w:t>Vorlage Anfechtung Mietzinserhöhung</w:t>
        </w:r>
      </w:hyperlink>
      <w:r>
        <w:rPr>
          <w:lang w:val="de-DE"/>
        </w:rPr>
        <w:t xml:space="preserve">). </w:t>
      </w:r>
      <w:r w:rsidRPr="00692A85">
        <w:rPr>
          <w:lang w:val="de-DE"/>
        </w:rPr>
        <w:t xml:space="preserve">Ein Protest oder eine Erkundigung bei der Vermieterschaft genügt nicht. </w:t>
      </w:r>
    </w:p>
    <w:p w14:paraId="7C8B2F46" w14:textId="77777777" w:rsidR="000C52FB" w:rsidRDefault="000C52FB" w:rsidP="000C52FB">
      <w:pPr>
        <w:pStyle w:val="Absatz0"/>
        <w:spacing w:after="240"/>
        <w:contextualSpacing/>
        <w:rPr>
          <w:lang w:val="de-DE"/>
        </w:rPr>
      </w:pPr>
    </w:p>
    <w:p w14:paraId="02A191AF" w14:textId="77777777" w:rsidR="000C52FB" w:rsidRPr="006A3EF4" w:rsidRDefault="000C52FB" w:rsidP="000C52FB">
      <w:pPr>
        <w:pStyle w:val="Absatz0"/>
        <w:spacing w:after="240"/>
        <w:contextualSpacing/>
        <w:rPr>
          <w:b/>
          <w:lang w:val="de-DE"/>
        </w:rPr>
      </w:pPr>
      <w:r w:rsidRPr="00692A85">
        <w:rPr>
          <w:lang w:val="de-DE"/>
        </w:rPr>
        <w:t xml:space="preserve">Die Anfechtung muss </w:t>
      </w:r>
      <w:r w:rsidRPr="006A3EF4">
        <w:rPr>
          <w:b/>
          <w:lang w:val="de-DE"/>
        </w:rPr>
        <w:t>innert 30 Tagen nach Empfang des Mietzinserhöhungs-</w:t>
      </w:r>
    </w:p>
    <w:p w14:paraId="40912028" w14:textId="484AE9EF" w:rsidR="000C52FB" w:rsidRPr="000C52FB" w:rsidRDefault="000C52FB" w:rsidP="000C52FB">
      <w:pPr>
        <w:pStyle w:val="Absatz0"/>
        <w:spacing w:after="240"/>
        <w:contextualSpacing/>
        <w:rPr>
          <w:lang w:val="de-DE"/>
        </w:rPr>
      </w:pPr>
      <w:proofErr w:type="spellStart"/>
      <w:r w:rsidRPr="006A3EF4">
        <w:rPr>
          <w:b/>
          <w:lang w:val="de-DE"/>
        </w:rPr>
        <w:t>formulars</w:t>
      </w:r>
      <w:proofErr w:type="spellEnd"/>
      <w:r w:rsidRPr="006A3EF4">
        <w:rPr>
          <w:b/>
          <w:lang w:val="de-DE"/>
        </w:rPr>
        <w:t xml:space="preserve"> </w:t>
      </w:r>
      <w:r>
        <w:rPr>
          <w:lang w:val="de-DE"/>
        </w:rPr>
        <w:t xml:space="preserve">erfolgen. </w:t>
      </w:r>
      <w:r w:rsidRPr="00692A85">
        <w:rPr>
          <w:lang w:val="de-DE"/>
        </w:rPr>
        <w:t xml:space="preserve">Eine </w:t>
      </w:r>
      <w:r>
        <w:rPr>
          <w:lang w:val="de-DE"/>
        </w:rPr>
        <w:t>spätere Anfechtung ist wirkungs</w:t>
      </w:r>
      <w:r w:rsidRPr="00692A85">
        <w:rPr>
          <w:lang w:val="de-DE"/>
        </w:rPr>
        <w:t>los.</w:t>
      </w:r>
    </w:p>
    <w:p w14:paraId="46761F34" w14:textId="0985B4B2" w:rsidR="00454A1E" w:rsidRPr="00606B7D" w:rsidRDefault="000C52FB" w:rsidP="00454A1E">
      <w:pPr>
        <w:pStyle w:val="berschrift1"/>
      </w:pPr>
      <w:r>
        <w:t>5</w:t>
      </w:r>
      <w:r w:rsidR="00454A1E" w:rsidRPr="00606B7D">
        <w:t xml:space="preserve"> Beratung und Informationen</w:t>
      </w:r>
    </w:p>
    <w:p w14:paraId="3C97DF30" w14:textId="7A6C3C5D" w:rsidR="00454A1E" w:rsidRDefault="00454A1E" w:rsidP="00454A1E">
      <w:pPr>
        <w:pStyle w:val="Default"/>
        <w:rPr>
          <w:sz w:val="22"/>
          <w:szCs w:val="22"/>
        </w:rPr>
      </w:pPr>
      <w:r w:rsidRPr="00C747F4">
        <w:rPr>
          <w:sz w:val="22"/>
          <w:szCs w:val="22"/>
        </w:rPr>
        <w:t>Sozialarbeiter*innen können sich bei Fragen an die Anlaufste</w:t>
      </w:r>
      <w:r w:rsidR="00EA386C">
        <w:rPr>
          <w:sz w:val="22"/>
          <w:szCs w:val="22"/>
        </w:rPr>
        <w:t xml:space="preserve">lle für Wohnfragen, Fachstab SI, </w:t>
      </w:r>
      <w:r w:rsidRPr="00C747F4">
        <w:rPr>
          <w:sz w:val="22"/>
          <w:szCs w:val="22"/>
        </w:rPr>
        <w:t xml:space="preserve">(sod-si-fachfragen@zuerich.ch), wenden. </w:t>
      </w:r>
    </w:p>
    <w:p w14:paraId="33CB9AA5" w14:textId="77777777" w:rsidR="00A31BB0" w:rsidRPr="00C747F4" w:rsidRDefault="00A31BB0" w:rsidP="00454A1E">
      <w:pPr>
        <w:pStyle w:val="Default"/>
        <w:rPr>
          <w:sz w:val="22"/>
          <w:szCs w:val="22"/>
        </w:rPr>
      </w:pPr>
    </w:p>
    <w:p w14:paraId="295A115A" w14:textId="568CD87E" w:rsidR="00454A1E" w:rsidRPr="00606B7D" w:rsidRDefault="00454A1E" w:rsidP="00454A1E">
      <w:pPr>
        <w:pStyle w:val="Default"/>
        <w:rPr>
          <w:sz w:val="22"/>
          <w:szCs w:val="22"/>
        </w:rPr>
      </w:pPr>
      <w:r w:rsidRPr="00C747F4">
        <w:rPr>
          <w:sz w:val="22"/>
          <w:szCs w:val="22"/>
        </w:rPr>
        <w:t xml:space="preserve">Für die persönliche Direktberatung von Klient*innen steht bei Bedarf der </w:t>
      </w:r>
      <w:r w:rsidR="00EA386C">
        <w:rPr>
          <w:sz w:val="22"/>
          <w:szCs w:val="22"/>
        </w:rPr>
        <w:t>Mieterinnen- und Mieterverband</w:t>
      </w:r>
      <w:r w:rsidRPr="00C747F4">
        <w:rPr>
          <w:sz w:val="22"/>
          <w:szCs w:val="22"/>
        </w:rPr>
        <w:t xml:space="preserve"> (MV) zur Verfügung. Die Kosten für eine einmalige Beratung oder eine private Mitgliedschaft können von der Sozialhilfe via SIL übernommen werden.</w:t>
      </w:r>
      <w:r w:rsidRPr="00DB6AB4">
        <w:rPr>
          <w:sz w:val="22"/>
          <w:szCs w:val="22"/>
        </w:rPr>
        <w:t xml:space="preserve"> </w:t>
      </w:r>
    </w:p>
    <w:sectPr w:rsidR="00454A1E" w:rsidRPr="00606B7D" w:rsidSect="005573E6">
      <w:headerReference w:type="default" r:id="rId19"/>
      <w:footerReference w:type="default" r:id="rId20"/>
      <w:headerReference w:type="first" r:id="rId21"/>
      <w:footerReference w:type="first" r:id="rId22"/>
      <w:pgSz w:w="11906" w:h="16838" w:code="9"/>
      <w:pgMar w:top="1985" w:right="1236" w:bottom="567" w:left="1701" w:header="567" w:footer="22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C4ADBD" w14:textId="77777777" w:rsidR="004F3297" w:rsidRDefault="004F3297">
      <w:r>
        <w:separator/>
      </w:r>
    </w:p>
  </w:endnote>
  <w:endnote w:type="continuationSeparator" w:id="0">
    <w:p w14:paraId="48CCF9A2" w14:textId="77777777" w:rsidR="004F3297" w:rsidRDefault="004F3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33" w:type="dxa"/>
      <w:tblInd w:w="5" w:type="dxa"/>
      <w:tblBorders>
        <w:top w:val="single" w:sz="4" w:space="0" w:color="auto"/>
      </w:tblBorders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5063"/>
      <w:gridCol w:w="1430"/>
      <w:gridCol w:w="2640"/>
    </w:tblGrid>
    <w:tr w:rsidR="002550B7" w14:paraId="194520E3" w14:textId="77777777" w:rsidTr="000C6AF6">
      <w:trPr>
        <w:trHeight w:val="284"/>
      </w:trPr>
      <w:tc>
        <w:tcPr>
          <w:tcW w:w="5063" w:type="dxa"/>
        </w:tcPr>
        <w:p w14:paraId="4A988F4D" w14:textId="41563578" w:rsidR="002550B7" w:rsidRDefault="00EA386C" w:rsidP="00EA386C">
          <w:pPr>
            <w:pStyle w:val="Fuzeile"/>
            <w:tabs>
              <w:tab w:val="clear" w:pos="4536"/>
              <w:tab w:val="clear" w:pos="9072"/>
              <w:tab w:val="right" w:pos="8504"/>
            </w:tabs>
            <w:ind w:right="-742"/>
            <w:rPr>
              <w:sz w:val="17"/>
            </w:rPr>
          </w:pPr>
          <w:r>
            <w:rPr>
              <w:sz w:val="17"/>
            </w:rPr>
            <w:fldChar w:fldCharType="begin"/>
          </w:r>
          <w:r>
            <w:rPr>
              <w:sz w:val="17"/>
            </w:rPr>
            <w:instrText xml:space="preserve"> FILENAME  \* MERGEFORMAT </w:instrText>
          </w:r>
          <w:r>
            <w:rPr>
              <w:sz w:val="17"/>
            </w:rPr>
            <w:fldChar w:fldCharType="separate"/>
          </w:r>
          <w:r w:rsidR="00ED125D">
            <w:rPr>
              <w:noProof/>
              <w:sz w:val="17"/>
            </w:rPr>
            <w:t>PRA_Mietzinserhöhung infolge gestiegenem Referenzzinssatz.docx</w:t>
          </w:r>
          <w:r>
            <w:rPr>
              <w:sz w:val="17"/>
            </w:rPr>
            <w:fldChar w:fldCharType="end"/>
          </w:r>
          <w:r>
            <w:rPr>
              <w:sz w:val="17"/>
            </w:rPr>
            <w:t>x</w:t>
          </w:r>
        </w:p>
      </w:tc>
      <w:tc>
        <w:tcPr>
          <w:tcW w:w="1430" w:type="dxa"/>
        </w:tcPr>
        <w:p w14:paraId="59BE6AE4" w14:textId="76324CA5" w:rsidR="002550B7" w:rsidRDefault="002550B7" w:rsidP="00EA386C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</w:rPr>
          </w:pPr>
        </w:p>
      </w:tc>
      <w:tc>
        <w:tcPr>
          <w:tcW w:w="2640" w:type="dxa"/>
        </w:tcPr>
        <w:p w14:paraId="79179892" w14:textId="1519DE2F" w:rsidR="002550B7" w:rsidRDefault="002550B7" w:rsidP="0026539C">
          <w:pPr>
            <w:pStyle w:val="Fuzeile"/>
            <w:tabs>
              <w:tab w:val="clear" w:pos="4536"/>
              <w:tab w:val="clear" w:pos="9072"/>
              <w:tab w:val="right" w:pos="8504"/>
            </w:tabs>
            <w:jc w:val="right"/>
            <w:rPr>
              <w:sz w:val="17"/>
              <w:lang w:val="de-DE"/>
            </w:rPr>
          </w:pPr>
          <w:r>
            <w:rPr>
              <w:sz w:val="17"/>
              <w:lang w:val="de-DE"/>
            </w:rPr>
            <w:t>V</w:t>
          </w:r>
          <w:r w:rsidR="008D590F">
            <w:rPr>
              <w:sz w:val="17"/>
              <w:lang w:val="de-DE"/>
            </w:rPr>
            <w:t>erfasser*in</w:t>
          </w:r>
          <w:r>
            <w:rPr>
              <w:sz w:val="17"/>
              <w:lang w:val="de-DE"/>
            </w:rPr>
            <w:t xml:space="preserve">: FS SI </w:t>
          </w:r>
        </w:p>
      </w:tc>
    </w:tr>
    <w:tr w:rsidR="002550B7" w14:paraId="2C0B3546" w14:textId="77777777" w:rsidTr="000C6AF6">
      <w:trPr>
        <w:trHeight w:val="284"/>
      </w:trPr>
      <w:tc>
        <w:tcPr>
          <w:tcW w:w="9133" w:type="dxa"/>
          <w:gridSpan w:val="3"/>
        </w:tcPr>
        <w:p w14:paraId="0C0B6415" w14:textId="77777777" w:rsidR="002550B7" w:rsidRDefault="002550B7" w:rsidP="00F92071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  <w:lang w:val="de-DE"/>
            </w:rPr>
          </w:pPr>
          <w:r w:rsidRPr="00A01A95">
            <w:rPr>
              <w:bCs/>
              <w:sz w:val="17"/>
            </w:rPr>
            <w:t>© Copyright: Soziale Dienste. Eine Weiterverwendung ist nur mit dem Zusatz «Soziale Dienste Stadt Zürich»</w:t>
          </w:r>
          <w:r w:rsidRPr="00EA07EB">
            <w:rPr>
              <w:sz w:val="17"/>
            </w:rPr>
            <w:t xml:space="preserve"> erlaubt.</w:t>
          </w:r>
        </w:p>
      </w:tc>
    </w:tr>
  </w:tbl>
  <w:p w14:paraId="45078862" w14:textId="77777777" w:rsidR="002550B7" w:rsidRDefault="002550B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33" w:type="dxa"/>
      <w:tblInd w:w="5" w:type="dxa"/>
      <w:tblBorders>
        <w:top w:val="single" w:sz="4" w:space="0" w:color="auto"/>
      </w:tblBorders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5063"/>
      <w:gridCol w:w="1430"/>
      <w:gridCol w:w="2640"/>
    </w:tblGrid>
    <w:tr w:rsidR="002550B7" w14:paraId="32323160" w14:textId="77777777">
      <w:trPr>
        <w:trHeight w:val="284"/>
      </w:trPr>
      <w:tc>
        <w:tcPr>
          <w:tcW w:w="5063" w:type="dxa"/>
        </w:tcPr>
        <w:p w14:paraId="27BC88D6" w14:textId="0297B657" w:rsidR="002550B7" w:rsidRDefault="002550B7" w:rsidP="00EA386C">
          <w:pPr>
            <w:pStyle w:val="Fuzeile"/>
            <w:tabs>
              <w:tab w:val="clear" w:pos="4536"/>
              <w:tab w:val="clear" w:pos="9072"/>
              <w:tab w:val="right" w:pos="8504"/>
            </w:tabs>
            <w:ind w:right="-317"/>
            <w:rPr>
              <w:sz w:val="17"/>
            </w:rPr>
          </w:pPr>
          <w:r>
            <w:rPr>
              <w:sz w:val="17"/>
            </w:rPr>
            <w:fldChar w:fldCharType="begin"/>
          </w:r>
          <w:r>
            <w:rPr>
              <w:sz w:val="17"/>
            </w:rPr>
            <w:instrText xml:space="preserve"> FILENAME  \* MERGEFORMAT </w:instrText>
          </w:r>
          <w:r>
            <w:rPr>
              <w:sz w:val="17"/>
            </w:rPr>
            <w:fldChar w:fldCharType="separate"/>
          </w:r>
          <w:r w:rsidR="00ED125D">
            <w:rPr>
              <w:noProof/>
              <w:sz w:val="17"/>
            </w:rPr>
            <w:t>PRA_Mietzinserhöhung infolge gestiegenem Referenzzinssatz.docx</w:t>
          </w:r>
          <w:r>
            <w:rPr>
              <w:sz w:val="17"/>
            </w:rPr>
            <w:fldChar w:fldCharType="end"/>
          </w:r>
          <w:r>
            <w:rPr>
              <w:sz w:val="17"/>
            </w:rPr>
            <w:t>x</w:t>
          </w:r>
        </w:p>
      </w:tc>
      <w:tc>
        <w:tcPr>
          <w:tcW w:w="1430" w:type="dxa"/>
        </w:tcPr>
        <w:p w14:paraId="06DA4D11" w14:textId="5C6CA4C4" w:rsidR="002550B7" w:rsidRDefault="002550B7" w:rsidP="00430E55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</w:rPr>
          </w:pPr>
        </w:p>
      </w:tc>
      <w:tc>
        <w:tcPr>
          <w:tcW w:w="2640" w:type="dxa"/>
        </w:tcPr>
        <w:p w14:paraId="7FCB380C" w14:textId="74C7493F" w:rsidR="002550B7" w:rsidRDefault="00EA386C" w:rsidP="00F052BE">
          <w:pPr>
            <w:pStyle w:val="Fuzeile"/>
            <w:tabs>
              <w:tab w:val="clear" w:pos="4536"/>
              <w:tab w:val="clear" w:pos="9072"/>
              <w:tab w:val="right" w:pos="8504"/>
            </w:tabs>
            <w:jc w:val="right"/>
            <w:rPr>
              <w:sz w:val="17"/>
              <w:lang w:val="de-DE"/>
            </w:rPr>
          </w:pPr>
          <w:r>
            <w:rPr>
              <w:sz w:val="17"/>
              <w:lang w:val="de-DE"/>
            </w:rPr>
            <w:t>Verfasser*in</w:t>
          </w:r>
          <w:r w:rsidR="002550B7">
            <w:rPr>
              <w:sz w:val="17"/>
              <w:lang w:val="de-DE"/>
            </w:rPr>
            <w:t xml:space="preserve">: FS </w:t>
          </w:r>
          <w:r w:rsidR="00F052BE">
            <w:rPr>
              <w:sz w:val="17"/>
              <w:lang w:val="de-DE"/>
            </w:rPr>
            <w:t>SI</w:t>
          </w:r>
          <w:r w:rsidR="002550B7">
            <w:rPr>
              <w:sz w:val="17"/>
              <w:lang w:val="de-DE"/>
            </w:rPr>
            <w:t xml:space="preserve"> </w:t>
          </w:r>
        </w:p>
      </w:tc>
    </w:tr>
    <w:tr w:rsidR="00115187" w14:paraId="04B00CFC" w14:textId="77777777" w:rsidTr="000C6AF6">
      <w:trPr>
        <w:trHeight w:val="284"/>
      </w:trPr>
      <w:tc>
        <w:tcPr>
          <w:tcW w:w="9133" w:type="dxa"/>
          <w:gridSpan w:val="3"/>
        </w:tcPr>
        <w:p w14:paraId="4A9D0405" w14:textId="77777777" w:rsidR="00115187" w:rsidRDefault="00115187" w:rsidP="00115187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  <w:lang w:val="de-DE"/>
            </w:rPr>
          </w:pPr>
          <w:r w:rsidRPr="00A01A95">
            <w:rPr>
              <w:bCs/>
              <w:sz w:val="17"/>
            </w:rPr>
            <w:t>© Copyright: Soziale Dienste. Eine Weiterverwendung ist nur mit dem Zusatz «Soziale Dienste Stadt Zürich»</w:t>
          </w:r>
          <w:r w:rsidRPr="00EA07EB">
            <w:rPr>
              <w:sz w:val="17"/>
            </w:rPr>
            <w:t xml:space="preserve"> erlaubt.</w:t>
          </w:r>
        </w:p>
      </w:tc>
    </w:tr>
  </w:tbl>
  <w:p w14:paraId="70EED8DD" w14:textId="77777777" w:rsidR="002550B7" w:rsidRDefault="002550B7" w:rsidP="003E5FC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EC3B9D" w14:textId="77777777" w:rsidR="004F3297" w:rsidRDefault="004F3297">
      <w:r>
        <w:separator/>
      </w:r>
    </w:p>
  </w:footnote>
  <w:footnote w:type="continuationSeparator" w:id="0">
    <w:p w14:paraId="364A7D1B" w14:textId="77777777" w:rsidR="004F3297" w:rsidRDefault="004F3297">
      <w:r>
        <w:continuationSeparator/>
      </w:r>
    </w:p>
  </w:footnote>
  <w:footnote w:id="1">
    <w:p w14:paraId="7C599B31" w14:textId="04A8197E" w:rsidR="008D590F" w:rsidRDefault="008D590F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rPr>
          <w:szCs w:val="22"/>
        </w:rPr>
        <w:t>z.B. Teuerung, allgemeine Kostensteigerungen, wertvermehrende Investitionen, ortsüblicher MZ etc.</w:t>
      </w:r>
    </w:p>
  </w:footnote>
  <w:footnote w:id="2">
    <w:p w14:paraId="753ECBB3" w14:textId="77777777" w:rsidR="000C52FB" w:rsidRDefault="000C52FB" w:rsidP="000C52FB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FB7116">
        <w:rPr>
          <w:sz w:val="19"/>
          <w:szCs w:val="19"/>
        </w:rPr>
        <w:t xml:space="preserve">Sofern im Mietvertrag nicht </w:t>
      </w:r>
      <w:r>
        <w:rPr>
          <w:sz w:val="19"/>
          <w:szCs w:val="19"/>
        </w:rPr>
        <w:t>geregelt, gelten in der Stadt Zürich der</w:t>
      </w:r>
      <w:r w:rsidRPr="00FB7116">
        <w:rPr>
          <w:sz w:val="19"/>
          <w:szCs w:val="19"/>
        </w:rPr>
        <w:t xml:space="preserve"> 31. März und 30. September </w:t>
      </w:r>
      <w:r>
        <w:rPr>
          <w:sz w:val="19"/>
          <w:szCs w:val="19"/>
        </w:rPr>
        <w:t xml:space="preserve">als ortsübliche </w:t>
      </w:r>
      <w:r w:rsidRPr="00FB7116">
        <w:rPr>
          <w:sz w:val="19"/>
          <w:szCs w:val="19"/>
        </w:rPr>
        <w:t>Kündigungstermine</w:t>
      </w:r>
      <w:r>
        <w:rPr>
          <w:sz w:val="19"/>
          <w:szCs w:val="19"/>
        </w:rPr>
        <w:t>.</w:t>
      </w:r>
      <w:r w:rsidRPr="00FB7116">
        <w:rPr>
          <w:sz w:val="19"/>
          <w:szCs w:val="19"/>
        </w:rPr>
        <w:t xml:space="preserve"> </w:t>
      </w:r>
    </w:p>
  </w:footnote>
  <w:footnote w:id="3">
    <w:p w14:paraId="05197649" w14:textId="77777777" w:rsidR="000C52FB" w:rsidRPr="003345A5" w:rsidRDefault="000C52FB" w:rsidP="000C52FB">
      <w:pPr>
        <w:pStyle w:val="Funotentext"/>
        <w:rPr>
          <w:sz w:val="19"/>
          <w:szCs w:val="19"/>
        </w:rPr>
      </w:pPr>
      <w:r>
        <w:rPr>
          <w:rStyle w:val="Funotenzeichen"/>
        </w:rPr>
        <w:footnoteRef/>
      </w:r>
      <w:r>
        <w:t xml:space="preserve"> </w:t>
      </w:r>
      <w:r w:rsidRPr="003345A5">
        <w:rPr>
          <w:sz w:val="19"/>
          <w:szCs w:val="19"/>
        </w:rPr>
        <w:t>Weitere Erhöhungsgründe sind die Anpassung an die Teuerung, an angestiegene Unterhalts- und Betriebskosten oder grössere Umbauten oder Renovationen.</w:t>
      </w:r>
    </w:p>
  </w:footnote>
  <w:footnote w:id="4">
    <w:p w14:paraId="3CDB837F" w14:textId="77777777" w:rsidR="000C52FB" w:rsidRPr="003345A5" w:rsidRDefault="000C52FB" w:rsidP="000C52FB">
      <w:pPr>
        <w:pStyle w:val="Funotentext"/>
        <w:rPr>
          <w:sz w:val="19"/>
          <w:szCs w:val="19"/>
        </w:rPr>
      </w:pPr>
      <w:r w:rsidRPr="003345A5">
        <w:rPr>
          <w:rStyle w:val="Funotenzeichen"/>
          <w:sz w:val="19"/>
          <w:szCs w:val="19"/>
        </w:rPr>
        <w:footnoteRef/>
      </w:r>
      <w:r w:rsidRPr="003345A5">
        <w:rPr>
          <w:sz w:val="19"/>
          <w:szCs w:val="19"/>
        </w:rPr>
        <w:t xml:space="preserve"> Referenzzins wurde am 10. September 2008 auf der Basis von </w:t>
      </w:r>
      <w:r>
        <w:rPr>
          <w:sz w:val="19"/>
          <w:szCs w:val="19"/>
          <w:lang w:val="de-DE"/>
        </w:rPr>
        <w:t>3.</w:t>
      </w:r>
      <w:r w:rsidRPr="003345A5">
        <w:rPr>
          <w:sz w:val="19"/>
          <w:szCs w:val="19"/>
          <w:lang w:val="de-DE"/>
        </w:rPr>
        <w:t xml:space="preserve">5% </w:t>
      </w:r>
      <w:r w:rsidRPr="003345A5">
        <w:rPr>
          <w:sz w:val="19"/>
          <w:szCs w:val="19"/>
        </w:rPr>
        <w:t>eingeführt</w:t>
      </w:r>
    </w:p>
  </w:footnote>
  <w:footnote w:id="5">
    <w:p w14:paraId="4C5062B9" w14:textId="77777777" w:rsidR="000C52FB" w:rsidRPr="003345A5" w:rsidRDefault="000C52FB" w:rsidP="000C52FB">
      <w:pPr>
        <w:pStyle w:val="Funotentext"/>
        <w:rPr>
          <w:sz w:val="19"/>
          <w:szCs w:val="19"/>
        </w:rPr>
      </w:pPr>
      <w:r w:rsidRPr="003345A5">
        <w:rPr>
          <w:rStyle w:val="Funotenzeichen"/>
          <w:sz w:val="19"/>
          <w:szCs w:val="19"/>
        </w:rPr>
        <w:footnoteRef/>
      </w:r>
      <w:r w:rsidRPr="003345A5">
        <w:rPr>
          <w:sz w:val="19"/>
          <w:szCs w:val="19"/>
        </w:rPr>
        <w:t xml:space="preserve"> Auszug aus: </w:t>
      </w:r>
      <w:hyperlink r:id="rId1" w:history="1">
        <w:r w:rsidRPr="003345A5">
          <w:rPr>
            <w:rStyle w:val="Hyperlink"/>
            <w:sz w:val="19"/>
            <w:szCs w:val="19"/>
          </w:rPr>
          <w:t>Hypothekarzins seit 2001 (mietrecht.ch)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2" w:type="dxa"/>
      <w:tblInd w:w="-680" w:type="dxa"/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680"/>
      <w:gridCol w:w="6577"/>
      <w:gridCol w:w="2495"/>
    </w:tblGrid>
    <w:tr w:rsidR="002550B7" w14:paraId="0EFBCE96" w14:textId="77777777">
      <w:tc>
        <w:tcPr>
          <w:tcW w:w="7257" w:type="dxa"/>
          <w:gridSpan w:val="2"/>
        </w:tcPr>
        <w:p w14:paraId="4EFD8EB8" w14:textId="77777777" w:rsidR="002550B7" w:rsidRDefault="002550B7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  <w:r>
            <w:rPr>
              <w:noProof/>
              <w:szCs w:val="22"/>
              <w:lang w:eastAsia="de-CH"/>
            </w:rPr>
            <w:drawing>
              <wp:inline distT="0" distB="0" distL="0" distR="0" wp14:anchorId="56E67A88" wp14:editId="62F79F87">
                <wp:extent cx="1348740" cy="274320"/>
                <wp:effectExtent l="0" t="0" r="0" b="0"/>
                <wp:docPr id="2" name="Bild 2" descr="logo_stzh_SOD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stzh_SOD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87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058F99D" w14:textId="77777777" w:rsidR="002550B7" w:rsidRDefault="002550B7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</w:p>
      </w:tc>
      <w:tc>
        <w:tcPr>
          <w:tcW w:w="2495" w:type="dxa"/>
        </w:tcPr>
        <w:p w14:paraId="206CF4E6" w14:textId="77777777" w:rsidR="002550B7" w:rsidRDefault="002550B7">
          <w:pPr>
            <w:pStyle w:val="Kopfzeile"/>
            <w:tabs>
              <w:tab w:val="clear" w:pos="4536"/>
              <w:tab w:val="clear" w:pos="9072"/>
            </w:tabs>
            <w:rPr>
              <w:sz w:val="17"/>
              <w:szCs w:val="17"/>
            </w:rPr>
          </w:pPr>
        </w:p>
      </w:tc>
    </w:tr>
    <w:tr w:rsidR="002550B7" w14:paraId="4AA4A59D" w14:textId="77777777">
      <w:trPr>
        <w:trHeight w:val="210"/>
      </w:trPr>
      <w:tc>
        <w:tcPr>
          <w:tcW w:w="680" w:type="dxa"/>
        </w:tcPr>
        <w:p w14:paraId="6D30F85A" w14:textId="77777777" w:rsidR="002550B7" w:rsidRDefault="002550B7">
          <w:pPr>
            <w:pStyle w:val="Kopfzeile"/>
          </w:pPr>
        </w:p>
      </w:tc>
      <w:tc>
        <w:tcPr>
          <w:tcW w:w="9072" w:type="dxa"/>
          <w:gridSpan w:val="2"/>
        </w:tcPr>
        <w:p w14:paraId="0AB486D1" w14:textId="1193E80D" w:rsidR="002550B7" w:rsidRDefault="002550B7">
          <w:pPr>
            <w:pStyle w:val="Kopfzeile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35CA1">
            <w:rPr>
              <w:noProof/>
            </w:rPr>
            <w:t>2</w:t>
          </w:r>
          <w:r>
            <w:fldChar w:fldCharType="end"/>
          </w:r>
          <w:r>
            <w:t>/</w:t>
          </w:r>
          <w:r w:rsidR="00D431EB">
            <w:fldChar w:fldCharType="begin"/>
          </w:r>
          <w:r w:rsidR="00D431EB">
            <w:instrText xml:space="preserve"> NUMPAGES   \* MERGEFORMAT </w:instrText>
          </w:r>
          <w:r w:rsidR="00D431EB">
            <w:fldChar w:fldCharType="separate"/>
          </w:r>
          <w:r w:rsidR="00E35CA1">
            <w:rPr>
              <w:noProof/>
            </w:rPr>
            <w:t>3</w:t>
          </w:r>
          <w:r w:rsidR="00D431EB">
            <w:rPr>
              <w:noProof/>
            </w:rPr>
            <w:fldChar w:fldCharType="end"/>
          </w:r>
        </w:p>
      </w:tc>
    </w:tr>
  </w:tbl>
  <w:p w14:paraId="29725FE3" w14:textId="77777777" w:rsidR="002550B7" w:rsidRDefault="002550B7">
    <w:pPr>
      <w:pStyle w:val="Kopfzeile"/>
      <w:tabs>
        <w:tab w:val="clear" w:pos="4536"/>
        <w:tab w:val="clear" w:pos="9072"/>
      </w:tabs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2" w:type="dxa"/>
      <w:tblInd w:w="-680" w:type="dxa"/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7257"/>
      <w:gridCol w:w="2495"/>
    </w:tblGrid>
    <w:tr w:rsidR="002550B7" w14:paraId="2FB907CE" w14:textId="77777777">
      <w:tc>
        <w:tcPr>
          <w:tcW w:w="7257" w:type="dxa"/>
        </w:tcPr>
        <w:p w14:paraId="46615B3B" w14:textId="77777777" w:rsidR="002550B7" w:rsidRDefault="002550B7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  <w:r>
            <w:rPr>
              <w:noProof/>
              <w:szCs w:val="22"/>
              <w:lang w:eastAsia="de-CH"/>
            </w:rPr>
            <w:drawing>
              <wp:inline distT="0" distB="0" distL="0" distR="0" wp14:anchorId="50AFDC01" wp14:editId="0597E3AA">
                <wp:extent cx="1348740" cy="274320"/>
                <wp:effectExtent l="0" t="0" r="0" b="0"/>
                <wp:docPr id="1" name="Bild 1" descr="logo_stzh_SOD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stzh_SOD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87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95" w:type="dxa"/>
        </w:tcPr>
        <w:p w14:paraId="1FF5B1F7" w14:textId="77777777" w:rsidR="002550B7" w:rsidRDefault="002550B7">
          <w:pPr>
            <w:pStyle w:val="Kopfzeile"/>
            <w:tabs>
              <w:tab w:val="clear" w:pos="4536"/>
              <w:tab w:val="clear" w:pos="9072"/>
            </w:tabs>
            <w:rPr>
              <w:sz w:val="17"/>
              <w:szCs w:val="17"/>
            </w:rPr>
          </w:pPr>
        </w:p>
      </w:tc>
    </w:tr>
    <w:tr w:rsidR="002550B7" w14:paraId="6211C25E" w14:textId="77777777">
      <w:tc>
        <w:tcPr>
          <w:tcW w:w="7257" w:type="dxa"/>
        </w:tcPr>
        <w:p w14:paraId="686D30B7" w14:textId="77777777" w:rsidR="002550B7" w:rsidRDefault="002550B7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</w:p>
      </w:tc>
      <w:tc>
        <w:tcPr>
          <w:tcW w:w="2495" w:type="dxa"/>
        </w:tcPr>
        <w:p w14:paraId="3FF2D63D" w14:textId="77777777" w:rsidR="002550B7" w:rsidRDefault="002550B7">
          <w:pPr>
            <w:pStyle w:val="Kopfzeile"/>
            <w:tabs>
              <w:tab w:val="clear" w:pos="4536"/>
              <w:tab w:val="clear" w:pos="9072"/>
            </w:tabs>
            <w:rPr>
              <w:noProof/>
              <w:sz w:val="17"/>
              <w:szCs w:val="17"/>
              <w:lang w:val="de-DE"/>
            </w:rPr>
          </w:pPr>
        </w:p>
      </w:tc>
    </w:tr>
  </w:tbl>
  <w:p w14:paraId="5E5A72AD" w14:textId="77777777" w:rsidR="002550B7" w:rsidRDefault="002550B7">
    <w:pPr>
      <w:pStyle w:val="Kopfzeile"/>
      <w:tabs>
        <w:tab w:val="clear" w:pos="4536"/>
        <w:tab w:val="clear" w:pos="9072"/>
      </w:tabs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216EC"/>
    <w:multiLevelType w:val="multilevel"/>
    <w:tmpl w:val="D8E0A6E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718"/>
        </w:tabs>
        <w:ind w:left="718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CEC5CAD"/>
    <w:multiLevelType w:val="hybridMultilevel"/>
    <w:tmpl w:val="2F5417D6"/>
    <w:lvl w:ilvl="0" w:tplc="2ED2B05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54E31"/>
    <w:multiLevelType w:val="hybridMultilevel"/>
    <w:tmpl w:val="A08E09BE"/>
    <w:lvl w:ilvl="0" w:tplc="03760B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047C5"/>
    <w:multiLevelType w:val="hybridMultilevel"/>
    <w:tmpl w:val="24A40210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C52B7"/>
    <w:multiLevelType w:val="hybridMultilevel"/>
    <w:tmpl w:val="A6047EA6"/>
    <w:lvl w:ilvl="0" w:tplc="0407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32609"/>
    <w:multiLevelType w:val="hybridMultilevel"/>
    <w:tmpl w:val="D4FA3286"/>
    <w:lvl w:ilvl="0" w:tplc="04070007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9962BA"/>
    <w:multiLevelType w:val="hybridMultilevel"/>
    <w:tmpl w:val="A4C0E594"/>
    <w:lvl w:ilvl="0" w:tplc="0807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7" w15:restartNumberingAfterBreak="0">
    <w:nsid w:val="25782A0E"/>
    <w:multiLevelType w:val="hybridMultilevel"/>
    <w:tmpl w:val="0F98AFE6"/>
    <w:lvl w:ilvl="0" w:tplc="60E837B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360BE4"/>
    <w:multiLevelType w:val="multilevel"/>
    <w:tmpl w:val="B01A43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CD12F7F"/>
    <w:multiLevelType w:val="hybridMultilevel"/>
    <w:tmpl w:val="B56EEDC0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6679E7"/>
    <w:multiLevelType w:val="hybridMultilevel"/>
    <w:tmpl w:val="494088CA"/>
    <w:lvl w:ilvl="0" w:tplc="C9BCAD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D53D1"/>
    <w:multiLevelType w:val="hybridMultilevel"/>
    <w:tmpl w:val="9AAC2A4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9"/>
  </w:num>
  <w:num w:numId="5">
    <w:abstractNumId w:val="11"/>
  </w:num>
  <w:num w:numId="6">
    <w:abstractNumId w:val="4"/>
  </w:num>
  <w:num w:numId="7">
    <w:abstractNumId w:val="0"/>
  </w:num>
  <w:num w:numId="8">
    <w:abstractNumId w:val="1"/>
  </w:num>
  <w:num w:numId="9">
    <w:abstractNumId w:val="2"/>
  </w:num>
  <w:num w:numId="10">
    <w:abstractNumId w:val="7"/>
  </w:num>
  <w:num w:numId="11">
    <w:abstractNumId w:val="6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vaFArt" w:val="NeutralA4PI"/>
    <w:docVar w:name="dvaFGroup" w:val="Ntl01"/>
    <w:docVar w:name="dvaFileNameAct" w:val="0"/>
    <w:docVar w:name="dvaFileNameVis" w:val="1"/>
    <w:docVar w:name="dvaFL" w:val="DE"/>
    <w:docVar w:name="dvaFootAct" w:val="0"/>
    <w:docVar w:name="dvaFoPaAct" w:val="0"/>
    <w:docVar w:name="dvaHeadExtInt" w:val="Ext"/>
    <w:docVar w:name="dvaInitRule_L" w:val="SigL"/>
    <w:docVar w:name="dvaInitRule_R" w:val="CoPers"/>
    <w:docVar w:name="dvaLogo" w:val="BW"/>
    <w:docVar w:name="dvaLogoFP" w:val="BW"/>
    <w:docVar w:name="dvaSaveInfoMode" w:val="10"/>
    <w:docVar w:name="dvaSaveMode" w:val="10"/>
    <w:docVar w:name="dvaTrayPage1" w:val="Neutral"/>
    <w:docVar w:name="dvaTrayPage1a" w:val="Neutral"/>
    <w:docVar w:name="dvaTrayPage2" w:val="Neutral"/>
  </w:docVars>
  <w:rsids>
    <w:rsidRoot w:val="0054589B"/>
    <w:rsid w:val="00063118"/>
    <w:rsid w:val="00073A59"/>
    <w:rsid w:val="000A1CDE"/>
    <w:rsid w:val="000C20D0"/>
    <w:rsid w:val="000C52FB"/>
    <w:rsid w:val="000C6AF6"/>
    <w:rsid w:val="00115187"/>
    <w:rsid w:val="001404C9"/>
    <w:rsid w:val="00140FFA"/>
    <w:rsid w:val="0014395B"/>
    <w:rsid w:val="001623EC"/>
    <w:rsid w:val="001658C1"/>
    <w:rsid w:val="00175CC7"/>
    <w:rsid w:val="001B7592"/>
    <w:rsid w:val="002129A1"/>
    <w:rsid w:val="002277E1"/>
    <w:rsid w:val="002550B7"/>
    <w:rsid w:val="0026539C"/>
    <w:rsid w:val="00270EBF"/>
    <w:rsid w:val="00281C63"/>
    <w:rsid w:val="00282304"/>
    <w:rsid w:val="00292E6E"/>
    <w:rsid w:val="002B6344"/>
    <w:rsid w:val="002C2EFE"/>
    <w:rsid w:val="002E4F69"/>
    <w:rsid w:val="003534ED"/>
    <w:rsid w:val="003663B9"/>
    <w:rsid w:val="00375FC2"/>
    <w:rsid w:val="003E5FC8"/>
    <w:rsid w:val="00412706"/>
    <w:rsid w:val="00430E55"/>
    <w:rsid w:val="00451C24"/>
    <w:rsid w:val="00454A1E"/>
    <w:rsid w:val="004711A1"/>
    <w:rsid w:val="00483B14"/>
    <w:rsid w:val="004A4B93"/>
    <w:rsid w:val="004A6D70"/>
    <w:rsid w:val="004C0161"/>
    <w:rsid w:val="004D2BB1"/>
    <w:rsid w:val="004F02E0"/>
    <w:rsid w:val="004F3297"/>
    <w:rsid w:val="0054589B"/>
    <w:rsid w:val="00546E76"/>
    <w:rsid w:val="005573E6"/>
    <w:rsid w:val="005774B0"/>
    <w:rsid w:val="005920FD"/>
    <w:rsid w:val="005B12BD"/>
    <w:rsid w:val="005D3459"/>
    <w:rsid w:val="005E4409"/>
    <w:rsid w:val="005F391F"/>
    <w:rsid w:val="00606B7D"/>
    <w:rsid w:val="00607F45"/>
    <w:rsid w:val="006205FE"/>
    <w:rsid w:val="00672290"/>
    <w:rsid w:val="00680C5D"/>
    <w:rsid w:val="006A5A4A"/>
    <w:rsid w:val="006F71F4"/>
    <w:rsid w:val="00711334"/>
    <w:rsid w:val="007569EE"/>
    <w:rsid w:val="007A4DB1"/>
    <w:rsid w:val="007D20E1"/>
    <w:rsid w:val="007F470A"/>
    <w:rsid w:val="00830BED"/>
    <w:rsid w:val="00836E1F"/>
    <w:rsid w:val="00844086"/>
    <w:rsid w:val="008534FC"/>
    <w:rsid w:val="00854229"/>
    <w:rsid w:val="00877D11"/>
    <w:rsid w:val="008C002A"/>
    <w:rsid w:val="008C5215"/>
    <w:rsid w:val="008D37BE"/>
    <w:rsid w:val="008D590F"/>
    <w:rsid w:val="00924BAC"/>
    <w:rsid w:val="009251BB"/>
    <w:rsid w:val="009362AC"/>
    <w:rsid w:val="00941BB0"/>
    <w:rsid w:val="00946C2C"/>
    <w:rsid w:val="009548E4"/>
    <w:rsid w:val="0096677C"/>
    <w:rsid w:val="0097021D"/>
    <w:rsid w:val="0097503D"/>
    <w:rsid w:val="009A0A52"/>
    <w:rsid w:val="009A0D70"/>
    <w:rsid w:val="009A2BC5"/>
    <w:rsid w:val="009B33BD"/>
    <w:rsid w:val="009D2E9C"/>
    <w:rsid w:val="009E585D"/>
    <w:rsid w:val="009F33E7"/>
    <w:rsid w:val="00A06855"/>
    <w:rsid w:val="00A3111F"/>
    <w:rsid w:val="00A31BB0"/>
    <w:rsid w:val="00A67BAF"/>
    <w:rsid w:val="00AA7C74"/>
    <w:rsid w:val="00AD41D6"/>
    <w:rsid w:val="00B16517"/>
    <w:rsid w:val="00B92738"/>
    <w:rsid w:val="00BB527D"/>
    <w:rsid w:val="00C4164B"/>
    <w:rsid w:val="00C747F4"/>
    <w:rsid w:val="00CB7AC2"/>
    <w:rsid w:val="00D00A18"/>
    <w:rsid w:val="00D3159F"/>
    <w:rsid w:val="00D44B3F"/>
    <w:rsid w:val="00DA024F"/>
    <w:rsid w:val="00DB6AB4"/>
    <w:rsid w:val="00DC1260"/>
    <w:rsid w:val="00DE0335"/>
    <w:rsid w:val="00DF76B0"/>
    <w:rsid w:val="00E35CA1"/>
    <w:rsid w:val="00E51287"/>
    <w:rsid w:val="00E55F5B"/>
    <w:rsid w:val="00E60E41"/>
    <w:rsid w:val="00E72C83"/>
    <w:rsid w:val="00EA386C"/>
    <w:rsid w:val="00EB3A9F"/>
    <w:rsid w:val="00EC27EB"/>
    <w:rsid w:val="00EC6FFC"/>
    <w:rsid w:val="00ED125D"/>
    <w:rsid w:val="00ED4E74"/>
    <w:rsid w:val="00F052BE"/>
    <w:rsid w:val="00F40440"/>
    <w:rsid w:val="00F5285D"/>
    <w:rsid w:val="00F77EFB"/>
    <w:rsid w:val="00F92071"/>
    <w:rsid w:val="00FB2F47"/>
    <w:rsid w:val="00FC57D1"/>
    <w:rsid w:val="00FE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."/>
  <w:listSeparator w:val=";"/>
  <w14:docId w14:val="06F03E2C"/>
  <w15:docId w15:val="{8C920AD3-863C-4B43-B000-0BD38ABF7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Arial" w:hAnsi="Arial" w:cs="Arial"/>
      <w:sz w:val="22"/>
      <w:lang w:eastAsia="de-DE"/>
    </w:rPr>
  </w:style>
  <w:style w:type="paragraph" w:styleId="berschrift1">
    <w:name w:val="heading 1"/>
    <w:basedOn w:val="Standard"/>
    <w:next w:val="Absatz0"/>
    <w:autoRedefine/>
    <w:qFormat/>
    <w:rsid w:val="00836E1F"/>
    <w:pPr>
      <w:shd w:val="clear" w:color="auto" w:fill="99CCFF"/>
      <w:tabs>
        <w:tab w:val="left" w:pos="709"/>
      </w:tabs>
      <w:spacing w:before="240" w:after="240"/>
      <w:outlineLvl w:val="0"/>
    </w:pPr>
    <w:rPr>
      <w:rFonts w:cs="Times New Roman"/>
      <w:b/>
      <w:szCs w:val="24"/>
    </w:rPr>
  </w:style>
  <w:style w:type="paragraph" w:styleId="berschrift2">
    <w:name w:val="heading 2"/>
    <w:basedOn w:val="berschrift1"/>
    <w:next w:val="Absatz0"/>
    <w:qFormat/>
    <w:pPr>
      <w:numPr>
        <w:ilvl w:val="1"/>
        <w:numId w:val="1"/>
      </w:numPr>
      <w:tabs>
        <w:tab w:val="clear" w:pos="718"/>
        <w:tab w:val="left" w:pos="709"/>
      </w:tabs>
      <w:ind w:left="709" w:hanging="709"/>
      <w:outlineLvl w:val="1"/>
    </w:pPr>
  </w:style>
  <w:style w:type="paragraph" w:styleId="berschrift3">
    <w:name w:val="heading 3"/>
    <w:basedOn w:val="berschrift2"/>
    <w:next w:val="Absatz0"/>
    <w:qFormat/>
    <w:pPr>
      <w:numPr>
        <w:ilvl w:val="2"/>
      </w:numPr>
      <w:tabs>
        <w:tab w:val="clear" w:pos="720"/>
        <w:tab w:val="left" w:pos="709"/>
      </w:tabs>
      <w:ind w:left="709" w:hanging="709"/>
      <w:outlineLvl w:val="2"/>
    </w:pPr>
    <w:rPr>
      <w:b w:val="0"/>
    </w:rPr>
  </w:style>
  <w:style w:type="paragraph" w:styleId="berschrift4">
    <w:name w:val="heading 4"/>
    <w:basedOn w:val="berschrift3"/>
    <w:next w:val="Absatz1"/>
    <w:qFormat/>
    <w:pPr>
      <w:numPr>
        <w:ilvl w:val="3"/>
      </w:numPr>
      <w:tabs>
        <w:tab w:val="clear" w:pos="864"/>
      </w:tabs>
      <w:ind w:left="709" w:hanging="709"/>
      <w:outlineLvl w:val="3"/>
    </w:pPr>
  </w:style>
  <w:style w:type="paragraph" w:styleId="berschrift5">
    <w:name w:val="heading 5"/>
    <w:basedOn w:val="berschrift4"/>
    <w:next w:val="Absatz1"/>
    <w:qFormat/>
    <w:pPr>
      <w:numPr>
        <w:ilvl w:val="4"/>
      </w:numPr>
      <w:tabs>
        <w:tab w:val="clear" w:pos="1008"/>
      </w:tabs>
      <w:ind w:left="709" w:hanging="709"/>
      <w:outlineLvl w:val="4"/>
    </w:pPr>
  </w:style>
  <w:style w:type="paragraph" w:styleId="berschrift6">
    <w:name w:val="heading 6"/>
    <w:basedOn w:val="berschrift5"/>
    <w:next w:val="Absatz1"/>
    <w:qFormat/>
    <w:pPr>
      <w:numPr>
        <w:ilvl w:val="5"/>
      </w:numPr>
      <w:tabs>
        <w:tab w:val="clear" w:pos="1152"/>
      </w:tabs>
      <w:ind w:left="709" w:hanging="709"/>
      <w:outlineLvl w:val="5"/>
    </w:pPr>
  </w:style>
  <w:style w:type="paragraph" w:styleId="berschrift7">
    <w:name w:val="heading 7"/>
    <w:basedOn w:val="berschrift6"/>
    <w:next w:val="Absatz1"/>
    <w:qFormat/>
    <w:pPr>
      <w:numPr>
        <w:ilvl w:val="6"/>
      </w:numPr>
      <w:tabs>
        <w:tab w:val="clear" w:pos="1296"/>
      </w:tabs>
      <w:ind w:left="709" w:hanging="709"/>
      <w:outlineLvl w:val="6"/>
    </w:pPr>
  </w:style>
  <w:style w:type="paragraph" w:styleId="berschrift8">
    <w:name w:val="heading 8"/>
    <w:basedOn w:val="berschrift7"/>
    <w:next w:val="Absatz1"/>
    <w:qFormat/>
    <w:pPr>
      <w:numPr>
        <w:ilvl w:val="7"/>
      </w:numPr>
      <w:tabs>
        <w:tab w:val="clear" w:pos="1440"/>
      </w:tabs>
      <w:ind w:left="709" w:hanging="709"/>
      <w:outlineLvl w:val="7"/>
    </w:pPr>
  </w:style>
  <w:style w:type="paragraph" w:styleId="berschrift9">
    <w:name w:val="heading 9"/>
    <w:basedOn w:val="berschrift8"/>
    <w:next w:val="Absatz1"/>
    <w:qFormat/>
    <w:pPr>
      <w:numPr>
        <w:ilvl w:val="8"/>
      </w:numPr>
      <w:tabs>
        <w:tab w:val="clear" w:pos="1584"/>
      </w:tabs>
      <w:ind w:left="709" w:hanging="709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ind w:left="709"/>
    </w:pPr>
  </w:style>
  <w:style w:type="paragraph" w:styleId="Verzeichnis1">
    <w:name w:val="toc 1"/>
    <w:basedOn w:val="Standard"/>
    <w:next w:val="Standard"/>
    <w:semiHidden/>
    <w:pPr>
      <w:tabs>
        <w:tab w:val="right" w:leader="dot" w:pos="9071"/>
      </w:tabs>
      <w:spacing w:before="120" w:after="120" w:line="280" w:lineRule="atLeast"/>
      <w:ind w:left="709" w:hanging="709"/>
    </w:pPr>
    <w:rPr>
      <w:b/>
      <w:caps/>
    </w:rPr>
  </w:style>
  <w:style w:type="paragraph" w:styleId="Verzeichnis2">
    <w:name w:val="toc 2"/>
    <w:basedOn w:val="Standard"/>
    <w:next w:val="Standard"/>
    <w:semiHidden/>
    <w:pPr>
      <w:tabs>
        <w:tab w:val="right" w:leader="dot" w:pos="9071"/>
      </w:tabs>
      <w:spacing w:line="240" w:lineRule="atLeast"/>
      <w:ind w:left="709" w:hanging="709"/>
    </w:pPr>
    <w:rPr>
      <w:smallCaps/>
    </w:rPr>
  </w:style>
  <w:style w:type="paragraph" w:styleId="Verzeichnis3">
    <w:name w:val="toc 3"/>
    <w:basedOn w:val="Standard"/>
    <w:next w:val="Standard"/>
    <w:semiHidden/>
    <w:pPr>
      <w:tabs>
        <w:tab w:val="right" w:leader="dot" w:pos="9071"/>
      </w:tabs>
      <w:ind w:left="1417" w:hanging="709"/>
    </w:pPr>
    <w:rPr>
      <w:i/>
    </w:rPr>
  </w:style>
  <w:style w:type="paragraph" w:customStyle="1" w:styleId="berschrift">
    <w:name w:val="Überschrift"/>
    <w:basedOn w:val="Standard"/>
    <w:next w:val="Standard"/>
    <w:pPr>
      <w:spacing w:before="120" w:after="120"/>
    </w:pPr>
    <w:rPr>
      <w:b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Absatz0">
    <w:name w:val="Absatz 0"/>
    <w:basedOn w:val="Standard"/>
  </w:style>
  <w:style w:type="paragraph" w:customStyle="1" w:styleId="Absatz1">
    <w:name w:val="Absatz 1"/>
    <w:basedOn w:val="Absatz0"/>
    <w:pPr>
      <w:ind w:left="709"/>
    </w:pPr>
  </w:style>
  <w:style w:type="paragraph" w:customStyle="1" w:styleId="Absatz2">
    <w:name w:val="Absatz 2"/>
    <w:basedOn w:val="Absatz0"/>
    <w:pPr>
      <w:ind w:left="1417"/>
    </w:pPr>
  </w:style>
  <w:style w:type="paragraph" w:customStyle="1" w:styleId="Absatz3">
    <w:name w:val="Absatz 3"/>
    <w:basedOn w:val="Absatz0"/>
    <w:pPr>
      <w:ind w:left="1984"/>
    </w:pPr>
  </w:style>
  <w:style w:type="paragraph" w:customStyle="1" w:styleId="Tabellentitel">
    <w:name w:val="Tabellentitel"/>
    <w:basedOn w:val="Standard"/>
    <w:rPr>
      <w:b/>
      <w:sz w:val="17"/>
    </w:rPr>
  </w:style>
  <w:style w:type="paragraph" w:customStyle="1" w:styleId="Tabellentext">
    <w:name w:val="Tabellentext"/>
    <w:basedOn w:val="Standard"/>
    <w:rPr>
      <w:sz w:val="17"/>
    </w:rPr>
  </w:style>
  <w:style w:type="paragraph" w:customStyle="1" w:styleId="WeisungKopfteil">
    <w:name w:val="Weisung Kopfteil"/>
    <w:basedOn w:val="Standard"/>
    <w:pPr>
      <w:framePr w:hSpace="141" w:wrap="around" w:vAnchor="text" w:hAnchor="margin" w:x="70" w:y="2"/>
      <w:spacing w:before="120" w:after="120"/>
    </w:pPr>
    <w:rPr>
      <w:rFonts w:ascii="Arial (W1)" w:hAnsi="Arial (W1)"/>
      <w:b/>
      <w:szCs w:val="24"/>
    </w:rPr>
  </w:style>
  <w:style w:type="character" w:styleId="Seitenzahl">
    <w:name w:val="page number"/>
    <w:basedOn w:val="Absatz-Standardschriftart"/>
  </w:style>
  <w:style w:type="paragraph" w:styleId="Sprechblasentext">
    <w:name w:val="Balloon Text"/>
    <w:basedOn w:val="Standard"/>
    <w:semiHidden/>
    <w:rsid w:val="003E5FC8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qFormat/>
    <w:rsid w:val="002C2EFE"/>
    <w:rPr>
      <w:b/>
      <w:bCs/>
      <w:sz w:val="20"/>
    </w:rPr>
  </w:style>
  <w:style w:type="paragraph" w:customStyle="1" w:styleId="Default">
    <w:name w:val="Default"/>
    <w:rsid w:val="0014395B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styleId="Hyperlink">
    <w:name w:val="Hyperlink"/>
    <w:uiPriority w:val="99"/>
    <w:unhideWhenUsed/>
    <w:rsid w:val="008D37BE"/>
    <w:rPr>
      <w:color w:val="0000FF"/>
      <w:u w:val="single"/>
    </w:rPr>
  </w:style>
  <w:style w:type="character" w:styleId="Kommentarzeichen">
    <w:name w:val="annotation reference"/>
    <w:rsid w:val="00924BAC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924BAC"/>
    <w:rPr>
      <w:sz w:val="20"/>
    </w:rPr>
  </w:style>
  <w:style w:type="character" w:customStyle="1" w:styleId="KommentartextZchn">
    <w:name w:val="Kommentartext Zchn"/>
    <w:link w:val="Kommentartext"/>
    <w:rsid w:val="00924BAC"/>
    <w:rPr>
      <w:rFonts w:ascii="Arial" w:hAnsi="Arial" w:cs="Arial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rsid w:val="00924BAC"/>
    <w:rPr>
      <w:b/>
      <w:bCs/>
    </w:rPr>
  </w:style>
  <w:style w:type="character" w:customStyle="1" w:styleId="KommentarthemaZchn">
    <w:name w:val="Kommentarthema Zchn"/>
    <w:link w:val="Kommentarthema"/>
    <w:rsid w:val="00924BAC"/>
    <w:rPr>
      <w:rFonts w:ascii="Arial" w:hAnsi="Arial" w:cs="Arial"/>
      <w:b/>
      <w:bCs/>
      <w:lang w:eastAsia="de-DE"/>
    </w:rPr>
  </w:style>
  <w:style w:type="character" w:styleId="BesuchterLink">
    <w:name w:val="FollowedHyperlink"/>
    <w:basedOn w:val="Absatz-Standardschriftart"/>
    <w:semiHidden/>
    <w:unhideWhenUsed/>
    <w:rsid w:val="005E4409"/>
    <w:rPr>
      <w:color w:val="800080" w:themeColor="followedHyperlink"/>
      <w:u w:val="single"/>
    </w:rPr>
  </w:style>
  <w:style w:type="paragraph" w:styleId="Funotentext">
    <w:name w:val="footnote text"/>
    <w:basedOn w:val="Standard"/>
    <w:link w:val="FunotentextZchn"/>
    <w:semiHidden/>
    <w:unhideWhenUsed/>
    <w:rsid w:val="00B16517"/>
    <w:rPr>
      <w:sz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B16517"/>
    <w:rPr>
      <w:rFonts w:ascii="Arial" w:hAnsi="Arial" w:cs="Arial"/>
      <w:lang w:eastAsia="de-DE"/>
    </w:rPr>
  </w:style>
  <w:style w:type="character" w:styleId="Funotenzeichen">
    <w:name w:val="footnote reference"/>
    <w:basedOn w:val="Absatz-Standardschriftart"/>
    <w:semiHidden/>
    <w:unhideWhenUsed/>
    <w:rsid w:val="00B16517"/>
    <w:rPr>
      <w:vertAlign w:val="superscript"/>
    </w:rPr>
  </w:style>
  <w:style w:type="paragraph" w:styleId="Listenabsatz">
    <w:name w:val="List Paragraph"/>
    <w:basedOn w:val="Standard"/>
    <w:uiPriority w:val="34"/>
    <w:qFormat/>
    <w:rsid w:val="00FE4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yperlink" Target="https://www.mieterverband.ch/dam/jcr:5781d6bb-4374-43b2-9404-0344876e67bd/mubr-mietzins-erhoehung-anfechten.doc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hyperlink" Target="https://www.zh.ch/content/dam/zhweb/bilder-dokumente/organisation/direktion-der-justiz-und-des-innern/generalsekretariat/mietwesen/mietzinserhoehungsformular.pdf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https://www.mieterverband.ch/mv/mietzinsrechner.html" TargetMode="External"/><Relationship Id="rId23" Type="http://schemas.openxmlformats.org/officeDocument/2006/relationships/fontTable" Target="fontTable.xml"/><Relationship Id="rId10" Type="http://schemas.openxmlformats.org/officeDocument/2006/relationships/settings" Target="setting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yperlink" Target="https://sozeloixps.global.szh.loc/ix-SOZ_ELO_DM01/plugin/de.elo.ix.plugin.proxy/web/pages/startup.jsp?useSSO=true&amp;guid=(FF98CA5B-97F7-0263-FABA-247D1FB5C1DC)" TargetMode="External"/><Relationship Id="rId22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mietrecht.ch/fileadmin/files/Newsletter/Aktuelle_Zahlen/Hypo_u_Ueberwaelzungssaetze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Zu_x0020_konsultierende_x002f_-s_x0020_Fachressort_x002f_-s xmlns="f3b92940-74e1-4b32-811a-cd501d17ae23">
      <Value>3</Value>
      <Value>5</Value>
    </Zu_x0020_konsultierende_x002f_-s_x0020_Fachressort_x002f_-s>
    <Version_x0020_des_x0020_Dokuments xmlns="3905ffbc-9aeb-4d51-937e-ee1e2cf00671">1.4</Version_x0020_des_x0020_Dokuments>
    <Gültig_x0020_bis xmlns="3905ffbc-9aeb-4d51-937e-ee1e2cf00671" xsi:nil="true"/>
    <Kontaktperson_x0020_für_x0020_SOD_x0020_KOM xmlns="3905ffbc-9aeb-4d51-937e-ee1e2cf00671">
      <UserInfo>
        <DisplayName>i:0#.w|global\sozsodk</DisplayName>
        <AccountId>392</AccountId>
        <AccountType/>
      </UserInfo>
    </Kontaktperson_x0020_für_x0020_SOD_x0020_KOM>
    <Kurzbeschreibung_x0020_Dokument xmlns="3905ffbc-9aeb-4d51-937e-ee1e2cf00671">&lt;div&gt;&lt;/div&gt;</Kurzbeschreibung_x0020_Dokument>
    <Verantwortliche_x002f_r_x0020_Autor_x002f_in xmlns="3905ffbc-9aeb-4d51-937e-ee1e2cf00671">
      <UserInfo>
        <DisplayName>i:0#.w|global\sozsodk</DisplayName>
        <AccountId>392</AccountId>
        <AccountType/>
      </UserInfo>
    </Verantwortliche_x002f_r_x0020_Autor_x002f_in>
    <Dokumentenstatus xmlns="f3b92940-74e1-4b32-811a-cd501d17ae23">3</Dokumentenstatus>
    <Gültig_x0020_von xmlns="3905ffbc-9aeb-4d51-937e-ee1e2cf00671">2020-12-31T23:00:00+00:00</Gültig_x0020_von>
    <Dokumentenart1 xmlns="3905ffbc-9aeb-4d51-937e-ee1e2cf00671" xsi:nil="true"/>
    <Federführende_x002f_s_x0020_Fachressort_x002f_Einheit xmlns="f3b92940-74e1-4b32-811a-cd501d17ae23">3</Federführende_x002f_s_x0020_Fachressort_x002f_Einheit>
    <Herausgabe_x0020_bei_x0020_Informationszugangsgesuchen xmlns="f3b92940-74e1-4b32-811a-cd501d17ae23" xsi:nil="true"/>
    <SKOS-Kapitel xmlns="f3b92940-74e1-4b32-811a-cd501d17ae23">
      <Value>3</Value>
    </SKOS-Kapitel>
    <Fachkonzept xmlns="f3b92940-74e1-4b32-811a-cd501d17ae23" xsi:nil="true"/>
    <Leistung xmlns="f3b92940-74e1-4b32-811a-cd501d17ae23" xsi:nil="true"/>
    <Gesetzliche_x0020_Grundlage xmlns="f3b92940-74e1-4b32-811a-cd501d17ae23" xsi:nil="true"/>
    <Thematische_x0020_Zuordnung_x0020_Fachressort_x0028_s_x0029_ xmlns="f3b92940-74e1-4b32-811a-cd501d17ae23">
      <Value>5</Value>
      <Value>3</Value>
    </Thematische_x0020_Zuordnung_x0020_Fachressort_x0028_s_x0029_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635509714904620989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635509714904620989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635509714904620989</Data>
    <Filter/>
  </Receiver>
  <Receiver>
    <Name>Nintex conditional workflow start</Name>
    <Synchronization>Synchronous</Synchronization>
    <Type>10004</Type>
    <SequenceNumber>50000</SequenceNumber>
    <Assembly>Nintex.Workflow, Version=1.0.0.0, Culture=neutral, PublicKeyToken=913f6bae0ca5ae12</Assembly>
    <Class>Nintex.Workflow.ConditionalWorkflowStartReceiver</Class>
    <Data>635509714904620989</Data>
    <Filter/>
  </Receiver>
</spe:Receivers>
</file>

<file path=customXml/item3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LongProperties xmlns="http://schemas.microsoft.com/office/2006/metadata/longProperties"/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SOD Praxishilfe (PRA)" ma:contentTypeID="0x01010012DCBF5558F0D14AB1FD168DE6C7A40C0100309021253101A04D9D9A7096FBAB356B" ma:contentTypeVersion="18" ma:contentTypeDescription="" ma:contentTypeScope="" ma:versionID="7acbe78d3abde7301c4c51a88e734ebb">
  <xsd:schema xmlns:xsd="http://www.w3.org/2001/XMLSchema" xmlns:xs="http://www.w3.org/2001/XMLSchema" xmlns:p="http://schemas.microsoft.com/office/2006/metadata/properties" xmlns:ns2="f3b92940-74e1-4b32-811a-cd501d17ae23" xmlns:ns3="3905ffbc-9aeb-4d51-937e-ee1e2cf00671" targetNamespace="http://schemas.microsoft.com/office/2006/metadata/properties" ma:root="true" ma:fieldsID="396aa12fd7e4edf08136839ced376dc1" ns2:_="" ns3:_="">
    <xsd:import namespace="f3b92940-74e1-4b32-811a-cd501d17ae23"/>
    <xsd:import namespace="3905ffbc-9aeb-4d51-937e-ee1e2cf00671"/>
    <xsd:element name="properties">
      <xsd:complexType>
        <xsd:sequence>
          <xsd:element name="documentManagement">
            <xsd:complexType>
              <xsd:all>
                <xsd:element ref="ns2:Fachkonzept" minOccurs="0"/>
                <xsd:element ref="ns3:Gültig_x0020_von" minOccurs="0"/>
                <xsd:element ref="ns3:Gültig_x0020_bis" minOccurs="0"/>
                <xsd:element ref="ns2:Leistung" minOccurs="0"/>
                <xsd:element ref="ns3:Kurzbeschreibung_x0020_Dokument" minOccurs="0"/>
                <xsd:element ref="ns2:Gesetzliche_x0020_Grundlage" minOccurs="0"/>
                <xsd:element ref="ns2:Dokumentenstatus" minOccurs="0"/>
                <xsd:element ref="ns2:Federführende_x002f_s_x0020_Fachressort_x002f_Einheit" minOccurs="0"/>
                <xsd:element ref="ns3:Verantwortliche_x002f_r_x0020_Autor_x002f_in" minOccurs="0"/>
                <xsd:element ref="ns3:Version_x0020_des_x0020_Dokuments" minOccurs="0"/>
                <xsd:element ref="ns2:Zu_x0020_konsultierende_x002f_-s_x0020_Fachressort_x002f_-s" minOccurs="0"/>
                <xsd:element ref="ns3:Dokumentenart1" minOccurs="0"/>
                <xsd:element ref="ns2:Herausgabe_x0020_bei_x0020_Informationszugangsgesuchen" minOccurs="0"/>
                <xsd:element ref="ns2:Thematische_x0020_Zuordnung_x0020_Fachressort_x0028_s_x0029_" minOccurs="0"/>
                <xsd:element ref="ns2:SKOS-Kapitel" minOccurs="0"/>
                <xsd:element ref="ns3:Kontaktperson_x0020_für_x0020_SOD_x0020_KO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b92940-74e1-4b32-811a-cd501d17ae23" elementFormDefault="qualified">
    <xsd:import namespace="http://schemas.microsoft.com/office/2006/documentManagement/types"/>
    <xsd:import namespace="http://schemas.microsoft.com/office/infopath/2007/PartnerControls"/>
    <xsd:element name="Fachkonzept" ma:index="2" nillable="true" ma:displayName="Fachkonzept" ma:list="{37929010-da33-400d-b3d9-4f8038f81797}" ma:internalName="Fachkonzept" ma:showField="Title" ma:web="f3b92940-74e1-4b32-811a-cd501d17ae23">
      <xsd:simpleType>
        <xsd:restriction base="dms:Lookup"/>
      </xsd:simpleType>
    </xsd:element>
    <xsd:element name="Leistung" ma:index="5" nillable="true" ma:displayName="Leistung" ma:indexed="true" ma:list="{f78fec3a-afd0-4600-b518-45bb4a09e05e}" ma:internalName="Leistung" ma:showField="Title" ma:web="f3b92940-74e1-4b32-811a-cd501d17ae23">
      <xsd:simpleType>
        <xsd:restriction base="dms:Lookup"/>
      </xsd:simpleType>
    </xsd:element>
    <xsd:element name="Gesetzliche_x0020_Grundlage" ma:index="7" nillable="true" ma:displayName="Gesetzliche Grundlage" ma:list="{bd5ad17e-2ee2-436f-8a8a-9b694b97f7e5}" ma:internalName="Gesetzliche_x0020_Grundlage" ma:showField="Title" ma:web="f3b92940-74e1-4b32-811a-cd501d17ae23">
      <xsd:simpleType>
        <xsd:restriction base="dms:Lookup"/>
      </xsd:simpleType>
    </xsd:element>
    <xsd:element name="Dokumentenstatus" ma:index="14" nillable="true" ma:displayName="Dokumentenstatus" ma:list="{c063dc89-2c1e-44f8-81bb-791d596a4159}" ma:internalName="Dokumentenstatus" ma:showField="Title" ma:web="f3b92940-74e1-4b32-811a-cd501d17ae23">
      <xsd:simpleType>
        <xsd:restriction base="dms:Lookup"/>
      </xsd:simpleType>
    </xsd:element>
    <xsd:element name="Federführende_x002f_s_x0020_Fachressort_x002f_Einheit" ma:index="15" nillable="true" ma:displayName="Federführende/s Fachressort/Einheit" ma:indexed="true" ma:list="{09bc735c-2d48-4159-97e9-325642ff7eac}" ma:internalName="Federf_x00fc_hrende_x002F_s_x0020_Fachressort_x002F_Einheit" ma:showField="Title" ma:web="f3b92940-74e1-4b32-811a-cd501d17ae23">
      <xsd:simpleType>
        <xsd:restriction base="dms:Lookup"/>
      </xsd:simpleType>
    </xsd:element>
    <xsd:element name="Zu_x0020_konsultierende_x002f_-s_x0020_Fachressort_x002f_-s" ma:index="18" nillable="true" ma:displayName="Zu konsultierende/-s Fachressort/-s" ma:list="{09bc735c-2d48-4159-97e9-325642ff7eac}" ma:internalName="Zu_x0020_konsultierende_x002F__x002d_s_x0020_Fachressort_x002F__x002d_s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erausgabe_x0020_bei_x0020_Informationszugangsgesuchen" ma:index="20" nillable="true" ma:displayName="Herausgabe bei Informationszugangsgesuchen" ma:format="RadioButtons" ma:internalName="Herausgabe_x0020_bei_x0020_Informationszugangsgesuchen">
      <xsd:simpleType>
        <xsd:union memberTypes="dms:Text">
          <xsd:simpleType>
            <xsd:restriction base="dms:Choice">
              <xsd:enumeration value="kann herausgegeben werden"/>
              <xsd:enumeration value="Herausgabe durch Direktorin zu prüfen"/>
            </xsd:restriction>
          </xsd:simpleType>
        </xsd:union>
      </xsd:simpleType>
    </xsd:element>
    <xsd:element name="Thematische_x0020_Zuordnung_x0020_Fachressort_x0028_s_x0029_" ma:index="21" nillable="true" ma:displayName="Thematische Zuordnung Fachressort(s)" ma:list="{09bc735c-2d48-4159-97e9-325642ff7eac}" ma:internalName="Thematische_x0020_Zuordnung_x0020_Fachressort_x0028_s_x0029_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KOS-Kapitel" ma:index="22" nillable="true" ma:displayName="SKOS-Kapitel" ma:list="{4014a501-2381-48fb-95f7-9f3a71dca39b}" ma:internalName="SKOS_x002d_Kapitel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5ffbc-9aeb-4d51-937e-ee1e2cf00671" elementFormDefault="qualified">
    <xsd:import namespace="http://schemas.microsoft.com/office/2006/documentManagement/types"/>
    <xsd:import namespace="http://schemas.microsoft.com/office/infopath/2007/PartnerControls"/>
    <xsd:element name="Gültig_x0020_von" ma:index="3" nillable="true" ma:displayName="Gültig von" ma:description="Ab wann gilt das Dokument?" ma:format="DateOnly" ma:internalName="G_x00fc_ltig_x0020_von">
      <xsd:simpleType>
        <xsd:restriction base="dms:DateTime"/>
      </xsd:simpleType>
    </xsd:element>
    <xsd:element name="Gültig_x0020_bis" ma:index="4" nillable="true" ma:displayName="Gültig bis" ma:description="Bis wann gilt das Dokument?" ma:format="DateOnly" ma:internalName="G_x00fc_ltig_x0020_bis">
      <xsd:simpleType>
        <xsd:restriction base="dms:DateTime"/>
      </xsd:simpleType>
    </xsd:element>
    <xsd:element name="Kurzbeschreibung_x0020_Dokument" ma:index="6" nillable="true" ma:displayName="Kurzbeschreibung Dokument" ma:description="Um was geht es im Dokument bzw. was wird darin geregelt? Bitte kurz halten." ma:internalName="Kurzbeschreibung_x0020_Dokument">
      <xsd:simpleType>
        <xsd:restriction base="dms:Note">
          <xsd:maxLength value="255"/>
        </xsd:restriction>
      </xsd:simpleType>
    </xsd:element>
    <xsd:element name="Verantwortliche_x002f_r_x0020_Autor_x002f_in" ma:index="16" nillable="true" ma:displayName="Verantwortliche/r Autor/in / Kontaktperson" ma:description="Kürzel oder Verteiler eintragen." ma:list="UserInfo" ma:SearchPeopleOnly="false" ma:SharePointGroup="0" ma:internalName="Verantwortliche_x002F_r_x0020_Autor_x002F_in" ma:showField="NameWithPictureAndDetail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rsion_x0020_des_x0020_Dokuments" ma:index="17" nillable="true" ma:displayName="Version des Dokuments" ma:description="Wird in der Fusszeile aufgeführt." ma:internalName="Version_x0020_des_x0020_Dokuments">
      <xsd:simpleType>
        <xsd:restriction base="dms:Text">
          <xsd:maxLength value="255"/>
        </xsd:restriction>
      </xsd:simpleType>
    </xsd:element>
    <xsd:element name="Dokumentenart1" ma:index="19" nillable="true" ma:displayName="Dokumentenart" ma:indexed="true" ma:internalName="Dokumentenart1" ma:readOnly="false">
      <xsd:simpleType>
        <xsd:restriction base="dms:Text">
          <xsd:maxLength value="255"/>
        </xsd:restriction>
      </xsd:simpleType>
    </xsd:element>
    <xsd:element name="Kontaktperson_x0020_für_x0020_SOD_x0020_KOM" ma:index="23" nillable="true" ma:displayName="Kontaktperson für SOD KOM" ma:description="Wer ist Ansprechperson zu diesem Dokument für das KOM-Team?" ma:list="UserInfo" ma:SharePointGroup="0" ma:internalName="Kontaktperson_x0020_f_x00fc_r_x0020_SOD_x0020_KOM" ma:readOnly="false" ma:showField="NameWithPictureAndDetail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Inhaltstyp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795B0-516B-484F-BA8C-EFF9FCEB5171}">
  <ds:schemaRefs>
    <ds:schemaRef ds:uri="http://schemas.openxmlformats.org/package/2006/metadata/core-properties"/>
    <ds:schemaRef ds:uri="f3b92940-74e1-4b32-811a-cd501d17ae23"/>
    <ds:schemaRef ds:uri="http://purl.org/dc/terms/"/>
    <ds:schemaRef ds:uri="3905ffbc-9aeb-4d51-937e-ee1e2cf00671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B04D1B5-2B2C-4FAC-8EC4-067F9750DC12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E41D34E-0ADC-4E39-B11A-826A92471066}">
  <ds:schemaRefs>
    <ds:schemaRef ds:uri="http://schemas.microsoft.com/office/2006/metadata/customXsn"/>
  </ds:schemaRefs>
</ds:datastoreItem>
</file>

<file path=customXml/itemProps4.xml><?xml version="1.0" encoding="utf-8"?>
<ds:datastoreItem xmlns:ds="http://schemas.openxmlformats.org/officeDocument/2006/customXml" ds:itemID="{C0ED528A-AEAC-4BD1-92F0-B4B667AB2E3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A61FDF8-212B-480F-B88D-419E7DB531AF}">
  <ds:schemaRefs>
    <ds:schemaRef ds:uri="http://schemas.microsoft.com/office/2006/metadata/longProperties"/>
  </ds:schemaRefs>
</ds:datastoreItem>
</file>

<file path=customXml/itemProps6.xml><?xml version="1.0" encoding="utf-8"?>
<ds:datastoreItem xmlns:ds="http://schemas.openxmlformats.org/officeDocument/2006/customXml" ds:itemID="{99965962-DBED-496A-BE09-18F3EA96FF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b92940-74e1-4b32-811a-cd501d17ae23"/>
    <ds:schemaRef ds:uri="3905ffbc-9aeb-4d51-937e-ee1e2cf006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7.xml><?xml version="1.0" encoding="utf-8"?>
<ds:datastoreItem xmlns:ds="http://schemas.openxmlformats.org/officeDocument/2006/customXml" ds:itemID="{4E8E1BDE-9045-400D-B8C6-C9BB64F23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724</Words>
  <Characters>4799</Characters>
  <Application>Microsoft Office Word</Application>
  <DocSecurity>0</DocSecurity>
  <Lines>116</Lines>
  <Paragraphs>58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PRA Leitfaden für Mietzinssenkungsbegehren</vt:lpstr>
    </vt:vector>
  </TitlesOfParts>
  <Company>Soziale Dienste Stadt Zürich</Company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 Leitfaden für Mietzinssenkungsbegehren</dc:title>
  <dc:subject>Outlook Mail</dc:subject>
  <dc:creator>Hohermuth Ivo</dc:creator>
  <cp:lastModifiedBy>Rachel Mosimann (sozmwr)</cp:lastModifiedBy>
  <cp:revision>25</cp:revision>
  <cp:lastPrinted>2023-05-09T12:07:00Z</cp:lastPrinted>
  <dcterms:created xsi:type="dcterms:W3CDTF">2022-08-25T10:15:00Z</dcterms:created>
  <dcterms:modified xsi:type="dcterms:W3CDTF">2023-05-15T12:02:00Z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kumentenart">
    <vt:lpwstr>4</vt:lpwstr>
  </property>
  <property fmtid="{D5CDD505-2E9C-101B-9397-08002B2CF9AE}" pid="3" name="Order">
    <vt:r8>869500</vt:r8>
  </property>
  <property fmtid="{D5CDD505-2E9C-101B-9397-08002B2CF9AE}" pid="4" name="ContentType">
    <vt:lpwstr>SOD Praxishilfe (PRA)</vt:lpwstr>
  </property>
  <property fmtid="{D5CDD505-2E9C-101B-9397-08002B2CF9AE}" pid="5" name="Document Owner">
    <vt:lpwstr/>
  </property>
  <property fmtid="{D5CDD505-2E9C-101B-9397-08002B2CF9AE}" pid="6" name="Spezialdienste">
    <vt:lpwstr/>
  </property>
  <property fmtid="{D5CDD505-2E9C-101B-9397-08002B2CF9AE}" pid="7" name="Inhaltliche Verknüpfungen">
    <vt:lpwstr/>
  </property>
  <property fmtid="{D5CDD505-2E9C-101B-9397-08002B2CF9AE}" pid="8" name="Zielgruppe(n)">
    <vt:lpwstr/>
  </property>
  <property fmtid="{D5CDD505-2E9C-101B-9397-08002B2CF9AE}" pid="9" name="Thema">
    <vt:lpwstr/>
  </property>
  <property fmtid="{D5CDD505-2E9C-101B-9397-08002B2CF9AE}" pid="10" name="display_urn:schemas-microsoft-com:office:office#Editor">
    <vt:lpwstr>Hohermuth Ivo (SD)</vt:lpwstr>
  </property>
  <property fmtid="{D5CDD505-2E9C-101B-9397-08002B2CF9AE}" pid="11" name="TemplateUrl">
    <vt:lpwstr/>
  </property>
  <property fmtid="{D5CDD505-2E9C-101B-9397-08002B2CF9AE}" pid="12" name="xd_ProgID">
    <vt:lpwstr/>
  </property>
  <property fmtid="{D5CDD505-2E9C-101B-9397-08002B2CF9AE}" pid="13" name="display_urn:schemas-microsoft-com:office:office#Author">
    <vt:lpwstr>Hohermuth Ivo (SD)</vt:lpwstr>
  </property>
  <property fmtid="{D5CDD505-2E9C-101B-9397-08002B2CF9AE}" pid="14" name="Bemerkungen">
    <vt:lpwstr/>
  </property>
  <property fmtid="{D5CDD505-2E9C-101B-9397-08002B2CF9AE}" pid="15" name="_dlc_DocId">
    <vt:lpwstr>SDSOD-119-811</vt:lpwstr>
  </property>
  <property fmtid="{D5CDD505-2E9C-101B-9397-08002B2CF9AE}" pid="16" name="_dlc_DocIdItemGuid">
    <vt:lpwstr>0dc2ba60-8ffe-4550-bc37-5d96fbeae62e</vt:lpwstr>
  </property>
  <property fmtid="{D5CDD505-2E9C-101B-9397-08002B2CF9AE}" pid="17" name="_dlc_DocIdUrl">
    <vt:lpwstr>http://portal.sd.intra.stzh.ch/sod/regelwerk/_layouts/DocIdRedir.aspx?ID=SDSOD-119-811, SDSOD-119-811</vt:lpwstr>
  </property>
  <property fmtid="{D5CDD505-2E9C-101B-9397-08002B2CF9AE}" pid="18" name="WorkflowChangePath">
    <vt:lpwstr>52675646-02d6-422a-bf6f-0a8dd6281eff,7;52675646-02d6-422a-bf6f-0a8dd6281eff,9;0d2b39e8-dd18-4502-a924-40335b5a9ad4,11;341fbddd-ec65-48e1-adf9-5a4e166d833e,3;7dbe9e3d-1110-41fa-836b-195a3e49061c,6;7dbe9e3d-1110-41fa-836b-195a3e49061c,8;</vt:lpwstr>
  </property>
  <property fmtid="{D5CDD505-2E9C-101B-9397-08002B2CF9AE}" pid="19" name="Dokumentenart0">
    <vt:lpwstr>5</vt:lpwstr>
  </property>
  <property fmtid="{D5CDD505-2E9C-101B-9397-08002B2CF9AE}" pid="20" name="display_urn:schemas-microsoft-com:office:office#Verantwortliche_x002F_r_x0020_Autor_x002F_in">
    <vt:lpwstr>SD SOD-Kommunikation</vt:lpwstr>
  </property>
  <property fmtid="{D5CDD505-2E9C-101B-9397-08002B2CF9AE}" pid="21" name="PublishingExpirationDate">
    <vt:lpwstr/>
  </property>
  <property fmtid="{D5CDD505-2E9C-101B-9397-08002B2CF9AE}" pid="22" name="PublishingStartDate">
    <vt:lpwstr/>
  </property>
  <property fmtid="{D5CDD505-2E9C-101B-9397-08002B2CF9AE}" pid="23" name="ContentTypeId">
    <vt:lpwstr>0x01010012DCBF5558F0D14AB1FD168DE6C7A40C0100309021253101A04D9D9A7096FBAB356B</vt:lpwstr>
  </property>
  <property fmtid="{D5CDD505-2E9C-101B-9397-08002B2CF9AE}" pid="24" name="Kontaktperson für SOD KOM">
    <vt:lpwstr/>
  </property>
  <property fmtid="{D5CDD505-2E9C-101B-9397-08002B2CF9AE}" pid="25" name="Federführende/s Fachressort/Einheit">
    <vt:lpwstr>3</vt:lpwstr>
  </property>
  <property fmtid="{D5CDD505-2E9C-101B-9397-08002B2CF9AE}" pid="26" name="Herausgabe bei Informationszugangsgesuchen">
    <vt:lpwstr>kann herausgegeben werden</vt:lpwstr>
  </property>
  <property fmtid="{D5CDD505-2E9C-101B-9397-08002B2CF9AE}" pid="27" name="SKOS-Kapitel">
    <vt:lpwstr>2;#</vt:lpwstr>
  </property>
  <property fmtid="{D5CDD505-2E9C-101B-9397-08002B2CF9AE}" pid="28" name="Thematische Zuordnung Fachressort(s)">
    <vt:lpwstr>3;#</vt:lpwstr>
  </property>
</Properties>
</file>